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5A6" w:rsidRDefault="009D75A6" w:rsidP="00C1673A">
      <w:pPr>
        <w:pStyle w:val="TofCHeading"/>
        <w:tabs>
          <w:tab w:val="left" w:pos="1205"/>
        </w:tabs>
        <w:spacing w:after="120"/>
        <w:jc w:val="left"/>
        <w:outlineLvl w:val="9"/>
        <w:rPr>
          <w:rFonts w:asciiTheme="minorHAnsi" w:hAnsiTheme="minorHAnsi"/>
          <w:color w:val="1E6A9A" w:themeColor="text2"/>
          <w:szCs w:val="36"/>
        </w:rPr>
      </w:pPr>
      <w:bookmarkStart w:id="0" w:name="_Toc490322986"/>
      <w:bookmarkStart w:id="1" w:name="_Toc334600987"/>
      <w:bookmarkStart w:id="2" w:name="_Toc365440961"/>
      <w:bookmarkStart w:id="3" w:name="_Toc8727169"/>
    </w:p>
    <w:p w:rsidR="009D75A6" w:rsidRDefault="009D75A6" w:rsidP="00C1673A">
      <w:pPr>
        <w:pStyle w:val="TofCHeading"/>
        <w:tabs>
          <w:tab w:val="left" w:pos="1205"/>
        </w:tabs>
        <w:spacing w:after="120"/>
        <w:jc w:val="left"/>
        <w:outlineLvl w:val="9"/>
        <w:rPr>
          <w:rFonts w:asciiTheme="minorHAnsi" w:hAnsiTheme="minorHAnsi"/>
          <w:color w:val="1E6A9A" w:themeColor="text2"/>
          <w:szCs w:val="36"/>
        </w:rPr>
      </w:pPr>
    </w:p>
    <w:p w:rsidR="00C1673A" w:rsidRDefault="00C1673A" w:rsidP="00C1673A">
      <w:pPr>
        <w:pStyle w:val="TofCHeading"/>
        <w:tabs>
          <w:tab w:val="left" w:pos="1205"/>
        </w:tabs>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w:drawing>
          <wp:anchor distT="0" distB="0" distL="114300" distR="114300" simplePos="0" relativeHeight="251677696" behindDoc="1" locked="0" layoutInCell="1" allowOverlap="1" wp14:anchorId="0CBFC775" wp14:editId="34539178">
            <wp:simplePos x="0" y="0"/>
            <wp:positionH relativeFrom="page">
              <wp:posOffset>-40640</wp:posOffset>
            </wp:positionH>
            <wp:positionV relativeFrom="page">
              <wp:posOffset>28612</wp:posOffset>
            </wp:positionV>
            <wp:extent cx="7772400" cy="100584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rFonts w:ascii="Calibri" w:hAnsi="Calibri" w:cs="OpenSans-Bold"/>
          <w:b w:val="0"/>
          <w:bCs w:val="0"/>
          <w:noProof/>
          <w:color w:val="3D484C"/>
          <w:sz w:val="80"/>
          <w:szCs w:val="80"/>
        </w:rPr>
        <w:drawing>
          <wp:anchor distT="0" distB="0" distL="114300" distR="114300" simplePos="0" relativeHeight="251674624" behindDoc="1" locked="0" layoutInCell="1" allowOverlap="1" wp14:anchorId="05008AC1" wp14:editId="00D7BFA5">
            <wp:simplePos x="0" y="0"/>
            <wp:positionH relativeFrom="page">
              <wp:posOffset>-191347</wp:posOffset>
            </wp:positionH>
            <wp:positionV relativeFrom="page">
              <wp:posOffset>-134620</wp:posOffset>
            </wp:positionV>
            <wp:extent cx="7772400" cy="100584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bookmarkEnd w:id="0"/>
      <w:r>
        <w:rPr>
          <w:rFonts w:asciiTheme="minorHAnsi" w:hAnsiTheme="minorHAnsi"/>
          <w:color w:val="1E6A9A" w:themeColor="text2"/>
          <w:szCs w:val="36"/>
        </w:rPr>
        <w:tab/>
      </w:r>
    </w:p>
    <w:p w:rsidR="00C1673A" w:rsidRPr="00C51028" w:rsidRDefault="00C1673A" w:rsidP="00C1673A">
      <w:pPr>
        <w:pStyle w:val="TofCHeading"/>
        <w:spacing w:after="120"/>
        <w:jc w:val="left"/>
        <w:outlineLvl w:val="9"/>
        <w:rPr>
          <w:rFonts w:asciiTheme="minorHAnsi" w:hAnsiTheme="minorHAnsi"/>
          <w:color w:val="1E6A9A" w:themeColor="text2"/>
          <w:szCs w:val="36"/>
        </w:rPr>
      </w:pPr>
      <w:bookmarkStart w:id="4" w:name="_Toc262722601"/>
      <w:bookmarkStart w:id="5" w:name="_Toc267323565"/>
      <w:bookmarkStart w:id="6" w:name="_Toc271552445"/>
      <w:bookmarkStart w:id="7" w:name="_Toc271632192"/>
      <w:bookmarkStart w:id="8" w:name="_Toc293243687"/>
      <w:bookmarkStart w:id="9" w:name="_Toc293929164"/>
      <w:bookmarkStart w:id="10" w:name="_Toc294097106"/>
      <w:bookmarkStart w:id="11" w:name="_Toc298257107"/>
      <w:bookmarkStart w:id="12" w:name="_Toc299027429"/>
      <w:bookmarkEnd w:id="1"/>
      <w:bookmarkEnd w:id="2"/>
    </w:p>
    <w:p w:rsidR="00C1673A" w:rsidRDefault="00C1673A" w:rsidP="00C1673A">
      <w:pPr>
        <w:pStyle w:val="TofCHeading"/>
        <w:spacing w:after="120"/>
        <w:jc w:val="left"/>
        <w:outlineLvl w:val="9"/>
        <w:rPr>
          <w:rFonts w:asciiTheme="minorHAnsi" w:hAnsiTheme="minorHAnsi"/>
          <w:color w:val="1E6A9A" w:themeColor="text2"/>
          <w:szCs w:val="36"/>
        </w:rPr>
      </w:pPr>
    </w:p>
    <w:p w:rsidR="00C1673A" w:rsidRDefault="00C1673A" w:rsidP="00C1673A">
      <w:pPr>
        <w:pStyle w:val="TofCHeading"/>
        <w:spacing w:after="120"/>
        <w:jc w:val="left"/>
        <w:outlineLvl w:val="9"/>
        <w:rPr>
          <w:rFonts w:asciiTheme="minorHAnsi" w:hAnsiTheme="minorHAnsi"/>
          <w:color w:val="1E6A9A" w:themeColor="text2"/>
          <w:szCs w:val="36"/>
        </w:rPr>
        <w:sectPr w:rsidR="00C1673A" w:rsidSect="00E45D72">
          <w:pgSz w:w="12240" w:h="15840"/>
          <w:pgMar w:top="1440" w:right="1440" w:bottom="1440" w:left="1800" w:header="720" w:footer="720" w:gutter="0"/>
          <w:pgNumType w:fmt="lowerRoman" w:start="1"/>
          <w:cols w:space="720"/>
          <w:docGrid w:linePitch="360"/>
        </w:sectPr>
      </w:pPr>
    </w:p>
    <w:p w:rsidR="00C1673A" w:rsidRDefault="00C1673A" w:rsidP="00C1673A">
      <w:pPr>
        <w:pStyle w:val="TofCHeading"/>
        <w:spacing w:after="120"/>
        <w:jc w:val="left"/>
        <w:outlineLvl w:val="9"/>
        <w:rPr>
          <w:rFonts w:asciiTheme="minorHAnsi" w:hAnsiTheme="minorHAnsi"/>
          <w:color w:val="1E6A9A" w:themeColor="text2"/>
          <w:szCs w:val="36"/>
        </w:rPr>
      </w:pPr>
    </w:p>
    <w:p w:rsidR="00C1673A" w:rsidRDefault="005C5D9A" w:rsidP="00C1673A">
      <w:pPr>
        <w:pStyle w:val="TofCHeading"/>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mc:AlternateContent>
          <mc:Choice Requires="wps">
            <w:drawing>
              <wp:anchor distT="0" distB="0" distL="114300" distR="114300" simplePos="0" relativeHeight="251676672" behindDoc="0" locked="0" layoutInCell="1" allowOverlap="1" wp14:anchorId="3756E1E4" wp14:editId="6C33E003">
                <wp:simplePos x="0" y="0"/>
                <wp:positionH relativeFrom="column">
                  <wp:posOffset>-915035</wp:posOffset>
                </wp:positionH>
                <wp:positionV relativeFrom="paragraph">
                  <wp:posOffset>4708154</wp:posOffset>
                </wp:positionV>
                <wp:extent cx="7315200" cy="309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C5D9A" w:rsidRPr="00716539" w:rsidRDefault="005C5D9A" w:rsidP="00C1673A">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5C5D9A" w:rsidRPr="004759C4" w:rsidRDefault="005C5D9A" w:rsidP="00C1673A">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756E1E4" id="_x0000_t202" coordsize="21600,21600" o:spt="202" path="m,l,21600r21600,l21600,xe">
                <v:stroke joinstyle="miter"/>
                <v:path gradientshapeok="t" o:connecttype="rect"/>
              </v:shapetype>
              <v:shape id="Text Box 7" o:spid="_x0000_s1026" type="#_x0000_t202" style="position:absolute;margin-left:-72.05pt;margin-top:370.7pt;width:8in;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" filled="f" stroked="f">
                <v:path arrowok="t"/>
                <v:textbox>
                  <w:txbxContent>
                    <w:p w:rsidR="005C5D9A" w:rsidRPr="00716539" w:rsidRDefault="005C5D9A" w:rsidP="00C1673A">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5C5D9A" w:rsidRPr="004759C4" w:rsidRDefault="005C5D9A" w:rsidP="00C1673A">
                      <w:pPr>
                        <w:rPr>
                          <w:rFonts w:ascii="Calibri" w:hAnsi="Calibri"/>
                          <w:color w:val="787B7F"/>
                          <w:sz w:val="14"/>
                          <w:szCs w:val="14"/>
                        </w:rPr>
                      </w:pPr>
                    </w:p>
                  </w:txbxContent>
                </v:textbox>
                <w10:wrap type="square"/>
              </v:shape>
            </w:pict>
          </mc:Fallback>
        </mc:AlternateContent>
      </w:r>
      <w:r w:rsidR="00C1673A">
        <w:rPr>
          <w:rFonts w:ascii="Calibri" w:hAnsi="Calibri" w:cs="OpenSans-Bold"/>
          <w:b w:val="0"/>
          <w:bCs w:val="0"/>
          <w:noProof/>
          <w:color w:val="3D484C"/>
          <w:sz w:val="80"/>
          <w:szCs w:val="80"/>
        </w:rPr>
        <mc:AlternateContent>
          <mc:Choice Requires="wps">
            <w:drawing>
              <wp:anchor distT="0" distB="0" distL="114300" distR="114300" simplePos="0" relativeHeight="251675648" behindDoc="0" locked="0" layoutInCell="1" allowOverlap="1" wp14:anchorId="6FDFD2E3" wp14:editId="57A93E89">
                <wp:simplePos x="0" y="0"/>
                <wp:positionH relativeFrom="column">
                  <wp:posOffset>52705</wp:posOffset>
                </wp:positionH>
                <wp:positionV relativeFrom="paragraph">
                  <wp:posOffset>351790</wp:posOffset>
                </wp:positionV>
                <wp:extent cx="6163310" cy="292608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D9A" w:rsidRPr="00C1673A" w:rsidRDefault="005C5D9A" w:rsidP="00C1673A">
                            <w:pPr>
                              <w:spacing w:after="120" w:line="192" w:lineRule="auto"/>
                              <w:rPr>
                                <w:rFonts w:asciiTheme="minorHAnsi" w:hAnsiTheme="minorHAnsi" w:cs="Arial"/>
                                <w:b/>
                                <w:color w:val="FF0000"/>
                                <w:sz w:val="48"/>
                                <w:szCs w:val="48"/>
                              </w:rPr>
                            </w:pPr>
                            <w:r>
                              <w:rPr>
                                <w:rFonts w:asciiTheme="minorHAnsi" w:hAnsiTheme="minorHAnsi" w:cs="Arial"/>
                                <w:b/>
                                <w:color w:val="FF0000"/>
                                <w:sz w:val="48"/>
                                <w:szCs w:val="48"/>
                              </w:rPr>
                              <w:t xml:space="preserve"> </w:t>
                            </w:r>
                          </w:p>
                          <w:p w:rsidR="005C5D9A" w:rsidRDefault="005C5D9A" w:rsidP="00C1673A">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2021</w:t>
                            </w:r>
                            <w:r w:rsidRPr="00904E0B">
                              <w:rPr>
                                <w:rFonts w:asciiTheme="minorHAnsi" w:hAnsiTheme="minorHAnsi" w:cs="Arial"/>
                                <w:b/>
                                <w:color w:val="62777F"/>
                                <w:sz w:val="80"/>
                                <w:szCs w:val="80"/>
                              </w:rPr>
                              <w:t xml:space="preserve"> Regional System Plan</w:t>
                            </w:r>
                          </w:p>
                          <w:p w:rsidR="005C5D9A" w:rsidRDefault="005C5D9A" w:rsidP="00C1673A">
                            <w:pPr>
                              <w:spacing w:after="120" w:line="192" w:lineRule="auto"/>
                              <w:rPr>
                                <w:rFonts w:ascii="Calibri" w:eastAsia="Calibri" w:hAnsi="Calibri"/>
                                <w:color w:val="9B8F83"/>
                              </w:rPr>
                            </w:pPr>
                          </w:p>
                          <w:p w:rsidR="005C5D9A" w:rsidRDefault="005C5D9A" w:rsidP="00C1673A">
                            <w:pPr>
                              <w:spacing w:after="120" w:line="192" w:lineRule="auto"/>
                              <w:rPr>
                                <w:rFonts w:ascii="Calibri" w:eastAsia="Calibri" w:hAnsi="Calibri"/>
                                <w:color w:val="9B8F83"/>
                              </w:rPr>
                            </w:pPr>
                          </w:p>
                          <w:p w:rsidR="005C5D9A" w:rsidRPr="005F45D9" w:rsidRDefault="005C5D9A" w:rsidP="00C1673A">
                            <w:pPr>
                              <w:spacing w:after="120" w:line="192" w:lineRule="auto"/>
                              <w:rPr>
                                <w:rFonts w:asciiTheme="minorHAnsi" w:hAnsiTheme="minorHAnsi" w:cs="Arial"/>
                                <w:b/>
                                <w:color w:val="62777F"/>
                                <w:sz w:val="56"/>
                                <w:szCs w:val="56"/>
                              </w:rPr>
                            </w:pPr>
                          </w:p>
                          <w:p w:rsidR="005C5D9A" w:rsidRPr="003A1975" w:rsidRDefault="005C5D9A" w:rsidP="00C1673A">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Pr>
                                <w:rFonts w:asciiTheme="minorHAnsi" w:hAnsiTheme="minorHAnsi" w:cs="OpenSans-Bold"/>
                                <w:b/>
                                <w:bCs/>
                                <w:caps/>
                                <w:color w:val="FF0000"/>
                                <w:sz w:val="24"/>
                                <w:szCs w:val="24"/>
                              </w:rPr>
                              <w:t>September 3, 2021</w:t>
                            </w:r>
                          </w:p>
                          <w:p w:rsidR="005C5D9A" w:rsidRPr="003A1975" w:rsidRDefault="005C5D9A" w:rsidP="00C1673A">
                            <w:pPr>
                              <w:spacing w:after="0"/>
                              <w:rPr>
                                <w:rFonts w:asciiTheme="minorHAnsi" w:hAnsiTheme="minorHAnsi" w:cs="OpenSans-Bold"/>
                                <w:b/>
                                <w:bCs/>
                                <w:caps/>
                                <w:color w:val="62777F"/>
                                <w:sz w:val="24"/>
                                <w:szCs w:val="24"/>
                              </w:rPr>
                            </w:pPr>
                          </w:p>
                          <w:p w:rsidR="005C5D9A" w:rsidRPr="00716539" w:rsidRDefault="005C5D9A" w:rsidP="00C1673A">
                            <w:pPr>
                              <w:spacing w:after="0"/>
                              <w:rPr>
                                <w:color w:val="62777F"/>
                              </w:rPr>
                            </w:pPr>
                          </w:p>
                          <w:p w:rsidR="005C5D9A" w:rsidRDefault="005C5D9A" w:rsidP="00C1673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DFD2E3" id="Text Box 3" o:spid="_x0000_s1027" type="#_x0000_t202" style="position:absolute;margin-left:4.15pt;margin-top:27.7pt;width:485.3pt;height:230.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1muQIAAME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" filled="f" stroked="f">
                <v:textbox style="mso-fit-shape-to-text:t">
                  <w:txbxContent>
                    <w:p w:rsidR="005C5D9A" w:rsidRPr="00C1673A" w:rsidRDefault="005C5D9A" w:rsidP="00C1673A">
                      <w:pPr>
                        <w:spacing w:after="120" w:line="192" w:lineRule="auto"/>
                        <w:rPr>
                          <w:rFonts w:asciiTheme="minorHAnsi" w:hAnsiTheme="minorHAnsi" w:cs="Arial"/>
                          <w:b/>
                          <w:color w:val="FF0000"/>
                          <w:sz w:val="48"/>
                          <w:szCs w:val="48"/>
                        </w:rPr>
                      </w:pPr>
                      <w:r>
                        <w:rPr>
                          <w:rFonts w:asciiTheme="minorHAnsi" w:hAnsiTheme="minorHAnsi" w:cs="Arial"/>
                          <w:b/>
                          <w:color w:val="FF0000"/>
                          <w:sz w:val="48"/>
                          <w:szCs w:val="48"/>
                        </w:rPr>
                        <w:t xml:space="preserve"> </w:t>
                      </w:r>
                    </w:p>
                    <w:p w:rsidR="005C5D9A" w:rsidRDefault="005C5D9A" w:rsidP="00C1673A">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2021</w:t>
                      </w:r>
                      <w:r w:rsidRPr="00904E0B">
                        <w:rPr>
                          <w:rFonts w:asciiTheme="minorHAnsi" w:hAnsiTheme="minorHAnsi" w:cs="Arial"/>
                          <w:b/>
                          <w:color w:val="62777F"/>
                          <w:sz w:val="80"/>
                          <w:szCs w:val="80"/>
                        </w:rPr>
                        <w:t xml:space="preserve"> Regional System Plan</w:t>
                      </w:r>
                    </w:p>
                    <w:p w:rsidR="005C5D9A" w:rsidRDefault="005C5D9A" w:rsidP="00C1673A">
                      <w:pPr>
                        <w:spacing w:after="120" w:line="192" w:lineRule="auto"/>
                        <w:rPr>
                          <w:rFonts w:ascii="Calibri" w:eastAsia="Calibri" w:hAnsi="Calibri"/>
                          <w:color w:val="9B8F83"/>
                        </w:rPr>
                      </w:pPr>
                    </w:p>
                    <w:p w:rsidR="005C5D9A" w:rsidRDefault="005C5D9A" w:rsidP="00C1673A">
                      <w:pPr>
                        <w:spacing w:after="120" w:line="192" w:lineRule="auto"/>
                        <w:rPr>
                          <w:rFonts w:ascii="Calibri" w:eastAsia="Calibri" w:hAnsi="Calibri"/>
                          <w:color w:val="9B8F83"/>
                        </w:rPr>
                      </w:pPr>
                    </w:p>
                    <w:p w:rsidR="005C5D9A" w:rsidRPr="005F45D9" w:rsidRDefault="005C5D9A" w:rsidP="00C1673A">
                      <w:pPr>
                        <w:spacing w:after="120" w:line="192" w:lineRule="auto"/>
                        <w:rPr>
                          <w:rFonts w:asciiTheme="minorHAnsi" w:hAnsiTheme="minorHAnsi" w:cs="Arial"/>
                          <w:b/>
                          <w:color w:val="62777F"/>
                          <w:sz w:val="56"/>
                          <w:szCs w:val="56"/>
                        </w:rPr>
                      </w:pPr>
                    </w:p>
                    <w:p w:rsidR="005C5D9A" w:rsidRPr="003A1975" w:rsidRDefault="005C5D9A" w:rsidP="00C1673A">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Pr>
                          <w:rFonts w:asciiTheme="minorHAnsi" w:hAnsiTheme="minorHAnsi" w:cs="OpenSans-Bold"/>
                          <w:b/>
                          <w:bCs/>
                          <w:caps/>
                          <w:color w:val="FF0000"/>
                          <w:sz w:val="24"/>
                          <w:szCs w:val="24"/>
                        </w:rPr>
                        <w:t>September 3, 2021</w:t>
                      </w:r>
                    </w:p>
                    <w:p w:rsidR="005C5D9A" w:rsidRPr="003A1975" w:rsidRDefault="005C5D9A" w:rsidP="00C1673A">
                      <w:pPr>
                        <w:spacing w:after="0"/>
                        <w:rPr>
                          <w:rFonts w:asciiTheme="minorHAnsi" w:hAnsiTheme="minorHAnsi" w:cs="OpenSans-Bold"/>
                          <w:b/>
                          <w:bCs/>
                          <w:caps/>
                          <w:color w:val="62777F"/>
                          <w:sz w:val="24"/>
                          <w:szCs w:val="24"/>
                        </w:rPr>
                      </w:pPr>
                    </w:p>
                    <w:p w:rsidR="005C5D9A" w:rsidRPr="00716539" w:rsidRDefault="005C5D9A" w:rsidP="00C1673A">
                      <w:pPr>
                        <w:spacing w:after="0"/>
                        <w:rPr>
                          <w:color w:val="62777F"/>
                        </w:rPr>
                      </w:pPr>
                    </w:p>
                    <w:p w:rsidR="005C5D9A" w:rsidRDefault="005C5D9A" w:rsidP="00C1673A"/>
                  </w:txbxContent>
                </v:textbox>
              </v:shape>
            </w:pict>
          </mc:Fallback>
        </mc:AlternateContent>
      </w:r>
    </w:p>
    <w:p w:rsidR="00C1673A" w:rsidRPr="00DA4E63" w:rsidRDefault="00C1673A" w:rsidP="00C1673A">
      <w:pPr>
        <w:pStyle w:val="TofCHeading"/>
        <w:spacing w:after="120"/>
        <w:jc w:val="left"/>
        <w:outlineLvl w:val="9"/>
        <w:rPr>
          <w:rFonts w:asciiTheme="minorHAnsi" w:hAnsiTheme="minorHAnsi"/>
          <w:b w:val="0"/>
          <w:color w:val="1E6A9A" w:themeColor="text2"/>
          <w:sz w:val="20"/>
          <w:szCs w:val="20"/>
        </w:rPr>
        <w:sectPr w:rsidR="00C1673A" w:rsidRPr="00DA4E63" w:rsidSect="00E45D72">
          <w:type w:val="continuous"/>
          <w:pgSz w:w="12240" w:h="15840"/>
          <w:pgMar w:top="1440" w:right="1440" w:bottom="1440" w:left="1800" w:header="720" w:footer="720" w:gutter="0"/>
          <w:pgNumType w:fmt="lowerRoman" w:start="1"/>
          <w:cols w:space="720"/>
          <w:docGrid w:linePitch="360"/>
        </w:sectPr>
      </w:pPr>
    </w:p>
    <w:p w:rsidR="00C1673A" w:rsidRDefault="00C1673A" w:rsidP="00C1673A">
      <w:pPr>
        <w:pStyle w:val="TofCHeading"/>
        <w:spacing w:after="120"/>
        <w:jc w:val="left"/>
        <w:outlineLvl w:val="9"/>
        <w:rPr>
          <w:rFonts w:asciiTheme="minorHAnsi" w:hAnsiTheme="minorHAnsi"/>
          <w:color w:val="0C95D2"/>
          <w:szCs w:val="36"/>
        </w:rPr>
      </w:pPr>
    </w:p>
    <w:p w:rsidR="00C1673A" w:rsidRDefault="00C1673A" w:rsidP="00C1673A">
      <w:pPr>
        <w:spacing w:after="120"/>
        <w:rPr>
          <w:rFonts w:asciiTheme="minorHAnsi" w:hAnsiTheme="minorHAnsi"/>
          <w:color w:val="0C95D2"/>
          <w:szCs w:val="36"/>
        </w:rPr>
        <w:sectPr w:rsidR="00C1673A" w:rsidSect="00E45D72">
          <w:headerReference w:type="default" r:id="rId10"/>
          <w:footerReference w:type="default" r:id="rId11"/>
          <w:pgSz w:w="12240" w:h="15840"/>
          <w:pgMar w:top="1440" w:right="1440" w:bottom="1440" w:left="1800" w:header="720" w:footer="720" w:gutter="0"/>
          <w:pgNumType w:fmt="lowerRoman"/>
          <w:cols w:space="720"/>
          <w:docGrid w:linePitch="360"/>
        </w:sectPr>
      </w:pPr>
    </w:p>
    <w:p w:rsidR="00C1673A" w:rsidRDefault="00C1673A" w:rsidP="00C1673A">
      <w:pPr>
        <w:spacing w:after="120"/>
        <w:rPr>
          <w:rFonts w:asciiTheme="minorHAnsi" w:hAnsiTheme="minorHAnsi"/>
          <w:color w:val="0C95D2"/>
          <w:szCs w:val="36"/>
        </w:rPr>
        <w:sectPr w:rsidR="00C1673A" w:rsidSect="00E45D72">
          <w:type w:val="continuous"/>
          <w:pgSz w:w="12240" w:h="15840"/>
          <w:pgMar w:top="1440" w:right="1440" w:bottom="1440" w:left="1800" w:header="720" w:footer="720" w:gutter="0"/>
          <w:pgNumType w:fmt="lowerRoman"/>
          <w:cols w:space="720"/>
          <w:docGrid w:linePitch="360"/>
        </w:sectPr>
      </w:pPr>
    </w:p>
    <w:p w:rsidR="00C1673A" w:rsidRPr="00B04315" w:rsidRDefault="00C1673A" w:rsidP="00C1673A">
      <w:pPr>
        <w:pStyle w:val="TofCHeading"/>
        <w:spacing w:after="120"/>
        <w:jc w:val="left"/>
        <w:rPr>
          <w:rFonts w:asciiTheme="minorHAnsi" w:hAnsiTheme="minorHAnsi"/>
          <w:color w:val="1795D2" w:themeColor="accent1"/>
          <w:sz w:val="20"/>
          <w:szCs w:val="20"/>
        </w:rPr>
      </w:pPr>
      <w:bookmarkStart w:id="13" w:name="_Toc81544483"/>
      <w:r w:rsidRPr="00B04315">
        <w:rPr>
          <w:rFonts w:asciiTheme="minorHAnsi" w:hAnsiTheme="minorHAnsi"/>
          <w:color w:val="1795D2" w:themeColor="accent1"/>
          <w:szCs w:val="36"/>
        </w:rPr>
        <w:t>Preface</w:t>
      </w:r>
      <w:bookmarkEnd w:id="13"/>
    </w:p>
    <w:p w:rsidR="00C1673A" w:rsidRPr="003C4E05" w:rsidRDefault="00C1673A" w:rsidP="00C1673A">
      <w:r w:rsidRPr="001C3362">
        <w:t>ISO New England Inc. (</w:t>
      </w:r>
      <w:r w:rsidR="00703F79">
        <w:t xml:space="preserve">the </w:t>
      </w:r>
      <w:r w:rsidRPr="001C3362">
        <w:t>ISO</w:t>
      </w:r>
      <w:r w:rsidR="00703F79">
        <w:t xml:space="preserve"> or ISO-NE</w:t>
      </w:r>
      <w:r w:rsidRPr="001C3362">
        <w:t>)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w:t>
      </w:r>
      <w:r>
        <w:t xml:space="preserve">periodic </w:t>
      </w:r>
      <w:r w:rsidRPr="003C4E05">
        <w:t xml:space="preserve">preparation of a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w:t>
      </w:r>
      <w:r>
        <w:t xml:space="preserve">n (FERC). Regional System Plans </w:t>
      </w:r>
      <w:r w:rsidRPr="003C4E05">
        <w:t>meet the tariff requirements</w:t>
      </w:r>
      <w:r>
        <w:t xml:space="preserve"> </w:t>
      </w:r>
      <w:r w:rsidRPr="003C4E05">
        <w:t xml:space="preserve">by </w:t>
      </w:r>
      <w:r>
        <w:t xml:space="preserve">summarizing planning activities that </w:t>
      </w:r>
      <w:r w:rsidRPr="003C4E05">
        <w:t>includ</w:t>
      </w:r>
      <w:r>
        <w:t>e</w:t>
      </w:r>
      <w:r w:rsidRPr="003C4E05">
        <w:t xml:space="preserve"> the following:</w:t>
      </w:r>
    </w:p>
    <w:p w:rsidR="00C1673A" w:rsidRPr="0043615A" w:rsidRDefault="00C1673A" w:rsidP="00DB3A74">
      <w:pPr>
        <w:numPr>
          <w:ilvl w:val="0"/>
          <w:numId w:val="48"/>
        </w:numPr>
        <w:spacing w:after="120"/>
        <w:rPr>
          <w:color w:val="000000"/>
        </w:rPr>
      </w:pPr>
      <w:r w:rsidRPr="0043615A">
        <w:rPr>
          <w:color w:val="000000"/>
        </w:rPr>
        <w:t>Forecasts of annual energy use and peak loads (i.e., the demand for electricity) for a 10-year planning horizon and the need for resources (i.e., capacity)</w:t>
      </w:r>
    </w:p>
    <w:p w:rsidR="00C1673A" w:rsidRPr="0043615A" w:rsidRDefault="00C1673A" w:rsidP="00DB3A74">
      <w:pPr>
        <w:numPr>
          <w:ilvl w:val="0"/>
          <w:numId w:val="48"/>
        </w:numPr>
        <w:spacing w:after="120"/>
        <w:rPr>
          <w:color w:val="000000"/>
        </w:rPr>
      </w:pPr>
      <w:r w:rsidRPr="0043615A">
        <w:rPr>
          <w:color w:val="000000"/>
        </w:rPr>
        <w:t xml:space="preserve">Information about the amounts, locations, and characteristics of market responses (e.g., </w:t>
      </w:r>
      <w:r w:rsidRPr="00B0316B">
        <w:rPr>
          <w:color w:val="000000"/>
        </w:rPr>
        <w:t>generation or demand resources or elective transmission upgrades) that can meet the</w:t>
      </w:r>
      <w:r w:rsidRPr="0043615A">
        <w:rPr>
          <w:color w:val="000000"/>
        </w:rPr>
        <w:t xml:space="preserve"> defined system needs—systemwide and in specific areas </w:t>
      </w:r>
    </w:p>
    <w:p w:rsidR="00C1673A" w:rsidRPr="0043615A" w:rsidRDefault="00C1673A" w:rsidP="00DB3A74">
      <w:pPr>
        <w:numPr>
          <w:ilvl w:val="0"/>
          <w:numId w:val="48"/>
        </w:numPr>
        <w:rPr>
          <w:color w:val="000000"/>
        </w:rPr>
      </w:pPr>
      <w:r w:rsidRPr="0043615A">
        <w:rPr>
          <w:color w:val="000000"/>
        </w:rPr>
        <w:t xml:space="preserve">Descriptions of transmission projects for the region that meet the identified needs, as summarized in an </w:t>
      </w:r>
      <w:hyperlink r:id="rId12" w:history="1">
        <w:r w:rsidR="002367C7" w:rsidRPr="00D476EE">
          <w:rPr>
            <w:rStyle w:val="Hyperlink"/>
            <w:i/>
          </w:rPr>
          <w:t>RSP Project List</w:t>
        </w:r>
      </w:hyperlink>
      <w:r w:rsidRPr="0043615A">
        <w:rPr>
          <w:color w:val="000000"/>
        </w:rPr>
        <w:t>, which includes information on project status and cost estimates and is updated several times each year</w:t>
      </w:r>
    </w:p>
    <w:p w:rsidR="00C1673A" w:rsidRPr="003C4E05" w:rsidRDefault="00962025" w:rsidP="00C1673A">
      <w:r>
        <w:t>Regional System Plans</w:t>
      </w:r>
      <w:r w:rsidRPr="003C4E05">
        <w:t xml:space="preserve"> </w:t>
      </w:r>
      <w:r w:rsidR="00C1673A" w:rsidRPr="003C4E05">
        <w:t>also must summarize the ISO’s coordination of its system plans with those of neighboring systems, the results of economic studies of the New England power system, and information that can be used for improving the design of the regional wholesale electricity markets. In addition to these requirements, RSPs identify other actions taken by the ISO, state officials, regional policy</w:t>
      </w:r>
      <w:r w:rsidR="005C5D9A">
        <w:t>-</w:t>
      </w:r>
      <w:r w:rsidR="00C1673A" w:rsidRPr="003C4E05">
        <w:t>makers, participating transmission owners, New England Power Pool (NEPOOL) members, market participants, and other stakeholders to meet or modify the needs of the system.</w:t>
      </w:r>
    </w:p>
    <w:p w:rsidR="00C1673A" w:rsidRPr="003C4E05" w:rsidRDefault="00C1673A" w:rsidP="00C1673A">
      <w:r w:rsidRPr="003C4E05">
        <w:t xml:space="preserve">The regional system planning process in New England is </w:t>
      </w:r>
      <w:r w:rsidR="00C907CF" w:rsidRPr="003C4E05">
        <w:t>open</w:t>
      </w:r>
      <w:r w:rsidR="00C907CF">
        <w:t>,</w:t>
      </w:r>
      <w:r w:rsidR="00C907CF" w:rsidRPr="003C4E05">
        <w:t xml:space="preserve"> transparent</w:t>
      </w:r>
      <w:r w:rsidR="00C907CF">
        <w:t>,</w:t>
      </w:r>
      <w:r w:rsidRPr="003C4E05">
        <w:t xml:space="preserve"> and reflects advisory input from regional stakeholders, particularly members of the Planning Advisory Committee (PAC),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rsidR="00C1673A" w:rsidRDefault="00C1673A" w:rsidP="00C1673A">
      <w:r w:rsidRPr="003C4E05">
        <w:t xml:space="preserve">The </w:t>
      </w:r>
      <w:r>
        <w:rPr>
          <w:i/>
        </w:rPr>
        <w:t>2021</w:t>
      </w:r>
      <w:r w:rsidRPr="003C4E05">
        <w:rPr>
          <w:i/>
        </w:rPr>
        <w:t xml:space="preserve"> Regional System Plan</w:t>
      </w:r>
      <w:r w:rsidR="004753D6">
        <w:t xml:space="preserve"> (RSP21</w:t>
      </w:r>
      <w:r w:rsidRPr="003C4E05">
        <w:t>) and the regional system planning process identify the region’s electricity needs and plans for meeting these needs for 20</w:t>
      </w:r>
      <w:r>
        <w:t>21 through 2030</w:t>
      </w:r>
      <w:r w:rsidRPr="003C4E05">
        <w:t xml:space="preserve">. </w:t>
      </w:r>
      <w:r>
        <w:t>RSP21 updates the RSP19 report by discussing s</w:t>
      </w:r>
      <w:r w:rsidRPr="003C4E05">
        <w:t>tudy proposals, scopes of work, ass</w:t>
      </w:r>
      <w:r>
        <w:t xml:space="preserve">umptions, draft and final study </w:t>
      </w:r>
      <w:r w:rsidRPr="003C4E05">
        <w:t>results, and other materials</w:t>
      </w:r>
      <w:r>
        <w:t xml:space="preserve">. </w:t>
      </w:r>
      <w:r w:rsidR="00962025">
        <w:t xml:space="preserve">The </w:t>
      </w:r>
      <w:r>
        <w:t xml:space="preserve">RSP21 also identifies key electric power system issues the region faces and how they can be addressed. </w:t>
      </w:r>
      <w:r w:rsidR="00962025">
        <w:t>P</w:t>
      </w:r>
      <w:r>
        <w:t>lanning activities</w:t>
      </w:r>
      <w:r w:rsidR="00962025">
        <w:t xml:space="preserve"> identified in RSP21</w:t>
      </w:r>
      <w:r>
        <w:t xml:space="preserve"> </w:t>
      </w:r>
      <w:r w:rsidRPr="003C4E05">
        <w:t xml:space="preserve">were </w:t>
      </w:r>
      <w:r>
        <w:t>reviewed</w:t>
      </w:r>
      <w:r w:rsidRPr="003C4E05">
        <w:t xml:space="preserve"> </w:t>
      </w:r>
      <w:r>
        <w:t>at</w:t>
      </w:r>
      <w:r w:rsidRPr="003C4E05">
        <w:t xml:space="preserve"> PAC meetings held from September 201</w:t>
      </w:r>
      <w:r>
        <w:t>9</w:t>
      </w:r>
      <w:r w:rsidRPr="003C4E05">
        <w:t xml:space="preserve"> </w:t>
      </w:r>
      <w:r>
        <w:t>through August 2021</w:t>
      </w:r>
      <w:r w:rsidRPr="003C4E05">
        <w:t xml:space="preserve">. The ISO also posted to its website PAC presentations, meeting minutes, reports, </w:t>
      </w:r>
      <w:r>
        <w:t xml:space="preserve">study base cases, </w:t>
      </w:r>
      <w:r w:rsidRPr="003C4E05">
        <w:t>databases, and other materials for stakeholder review</w:t>
      </w:r>
      <w:r>
        <w:t xml:space="preserve"> and use</w:t>
      </w:r>
      <w:r w:rsidRPr="003C4E05">
        <w:t xml:space="preserve">. On </w:t>
      </w:r>
      <w:r>
        <w:t>August 18, 2021</w:t>
      </w:r>
      <w:r w:rsidRPr="003C4E05">
        <w:t>, the ISO and the PAC discussed stakeholder comm</w:t>
      </w:r>
      <w:r w:rsidR="004753D6">
        <w:t>ents on an earlier draft of RSP21</w:t>
      </w:r>
      <w:r w:rsidRPr="003C4E05">
        <w:t xml:space="preserve">, </w:t>
      </w:r>
      <w:r w:rsidRPr="00BC0DD2">
        <w:t xml:space="preserve">and the ISO held a public meeting on </w:t>
      </w:r>
      <w:r>
        <w:t xml:space="preserve">October </w:t>
      </w:r>
      <w:r w:rsidRPr="002A09B9">
        <w:t>6, 2021,</w:t>
      </w:r>
      <w:r>
        <w:t xml:space="preserve"> to discuss RSP21</w:t>
      </w:r>
      <w:r w:rsidRPr="00BC0DD2">
        <w:t xml:space="preserve"> and other planning issues facing the New England region.</w:t>
      </w:r>
      <w:r>
        <w:t xml:space="preserve"> </w:t>
      </w:r>
    </w:p>
    <w:p w:rsidR="00C1673A" w:rsidRDefault="00C1673A" w:rsidP="00C1673A">
      <w:pPr>
        <w:rPr>
          <w:color w:val="211D1E"/>
        </w:rPr>
      </w:pPr>
      <w:r>
        <w:t>Through the planning process, the ISO demonstrates compliance with all planning criteria and regulatory requirements</w:t>
      </w:r>
      <w:r w:rsidRPr="00BC0DD2">
        <w:t>.</w:t>
      </w:r>
      <w:r w:rsidRPr="00BC0DD2">
        <w:rPr>
          <w:color w:val="211D1E"/>
        </w:rPr>
        <w:t xml:space="preserve"> </w:t>
      </w:r>
      <w:r w:rsidRPr="00137648">
        <w:rPr>
          <w:color w:val="211D1E"/>
          <w:highlight w:val="yellow"/>
        </w:rPr>
        <w:t xml:space="preserve">As required by the OATT Attachment K, the ISO New England Board of Directors has approved the </w:t>
      </w:r>
      <w:r w:rsidRPr="00137648">
        <w:rPr>
          <w:i/>
          <w:color w:val="211D1E"/>
          <w:highlight w:val="yellow"/>
        </w:rPr>
        <w:t>2021 Regional System Plan.</w:t>
      </w:r>
    </w:p>
    <w:p w:rsidR="00C1673A" w:rsidRDefault="00C1673A" w:rsidP="00C1673A">
      <w:pPr>
        <w:rPr>
          <w:color w:val="211D1E"/>
        </w:rPr>
        <w:sectPr w:rsidR="00C1673A" w:rsidSect="00E45D72">
          <w:headerReference w:type="default" r:id="rId13"/>
          <w:footerReference w:type="default" r:id="rId14"/>
          <w:pgSz w:w="12240" w:h="15840"/>
          <w:pgMar w:top="1440" w:right="1440" w:bottom="1440" w:left="1800" w:header="720" w:footer="720" w:gutter="0"/>
          <w:pgNumType w:fmt="lowerRoman"/>
          <w:cols w:space="720"/>
          <w:docGrid w:linePitch="360"/>
        </w:sectPr>
      </w:pPr>
    </w:p>
    <w:p w:rsidR="005D5648" w:rsidRPr="00B04315" w:rsidRDefault="005D5648" w:rsidP="005D5648">
      <w:pPr>
        <w:pStyle w:val="TofCHeading"/>
        <w:spacing w:after="120"/>
        <w:jc w:val="left"/>
        <w:rPr>
          <w:rFonts w:asciiTheme="minorHAnsi" w:hAnsiTheme="minorHAnsi"/>
          <w:color w:val="1795D2" w:themeColor="accent1"/>
          <w:sz w:val="20"/>
          <w:szCs w:val="20"/>
        </w:rPr>
      </w:pPr>
      <w:bookmarkStart w:id="14" w:name="_Toc81544484"/>
      <w:r>
        <w:rPr>
          <w:rFonts w:asciiTheme="minorHAnsi" w:hAnsiTheme="minorHAnsi"/>
          <w:color w:val="1795D2" w:themeColor="accent1"/>
          <w:szCs w:val="36"/>
        </w:rPr>
        <w:t>Dedication</w:t>
      </w:r>
      <w:bookmarkEnd w:id="14"/>
    </w:p>
    <w:p w:rsidR="006053C7" w:rsidRDefault="006053C7" w:rsidP="005D5648"/>
    <w:p w:rsidR="00C1673A" w:rsidRPr="008D5E64" w:rsidRDefault="006053C7" w:rsidP="005D5648">
      <w:pPr>
        <w:rPr>
          <w:color w:val="211D1E"/>
        </w:rPr>
        <w:sectPr w:rsidR="00C1673A" w:rsidRPr="008D5E64" w:rsidSect="00E45D72">
          <w:headerReference w:type="default" r:id="rId15"/>
          <w:footerReference w:type="default" r:id="rId16"/>
          <w:pgSz w:w="12240" w:h="15840"/>
          <w:pgMar w:top="1440" w:right="1440" w:bottom="1440" w:left="1800" w:header="720" w:footer="720" w:gutter="0"/>
          <w:pgNumType w:fmt="lowerRoman"/>
          <w:cols w:space="720"/>
          <w:docGrid w:linePitch="360"/>
        </w:sectPr>
      </w:pPr>
      <w:r>
        <w:rPr>
          <w:noProof/>
        </w:rPr>
        <w:drawing>
          <wp:anchor distT="0" distB="0" distL="114300" distR="114300" simplePos="0" relativeHeight="251678720" behindDoc="0" locked="0" layoutInCell="1" allowOverlap="1" wp14:anchorId="6D294327" wp14:editId="6302154B">
            <wp:simplePos x="0" y="0"/>
            <wp:positionH relativeFrom="column">
              <wp:posOffset>0</wp:posOffset>
            </wp:positionH>
            <wp:positionV relativeFrom="paragraph">
              <wp:posOffset>-1905</wp:posOffset>
            </wp:positionV>
            <wp:extent cx="1333500" cy="1760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e-Henderson-NY-cap-IEEE-shi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1760220"/>
                    </a:xfrm>
                    <a:prstGeom prst="rect">
                      <a:avLst/>
                    </a:prstGeom>
                  </pic:spPr>
                </pic:pic>
              </a:graphicData>
            </a:graphic>
          </wp:anchor>
        </w:drawing>
      </w:r>
      <w:r w:rsidR="005D5648">
        <w:t xml:space="preserve">RSP21 is dedicated </w:t>
      </w:r>
      <w:r w:rsidR="008A39B6">
        <w:t xml:space="preserve">to </w:t>
      </w:r>
      <w:r w:rsidR="005D5648">
        <w:t>Michael “Mike” Henderson as a remembrance of his contributions to planning the New England power system. Mike passed</w:t>
      </w:r>
      <w:r w:rsidR="00F15F62">
        <w:t xml:space="preserve"> away</w:t>
      </w:r>
      <w:r w:rsidR="005D5648">
        <w:t xml:space="preserve"> </w:t>
      </w:r>
      <w:r w:rsidR="005D5648" w:rsidRPr="005D5648">
        <w:t xml:space="preserve">on May 22, 2021. </w:t>
      </w:r>
      <w:r w:rsidR="005D5648">
        <w:t>He</w:t>
      </w:r>
      <w:r w:rsidR="005D5648" w:rsidRPr="005D5648">
        <w:t xml:space="preserve"> retired from his Director of Regional Planning and Coordination position with the ISO in April 2020 after more than two decades of service. For much of his tenure, Mike spearheaded the creation of the Regional System Plan and the associated coordination with the Planning Advisory Committee. He was a dedicated team member, an active member in many professional organizations such as IEEE, and advanced transmission planning in New England throughout his long-standing career. Though his clever New York wit always garnered a laugh, Mike will perhaps be most remembered for the enthusiasm he displayed both for engineering and for helping mentor those in the field. He was always quick to give of his time and talent as colleagues and mentees pursued their engineering career goals. We will certainly miss his presence and continue to be inspired by his dedication.</w:t>
      </w:r>
      <w:r w:rsidR="005D5648">
        <w:t xml:space="preserve"> </w:t>
      </w:r>
    </w:p>
    <w:p w:rsidR="00C1673A" w:rsidRPr="007A39CE" w:rsidRDefault="00C1673A" w:rsidP="007A39CE">
      <w:pPr>
        <w:pBdr>
          <w:bottom w:val="single" w:sz="18" w:space="1" w:color="1E6A9A"/>
        </w:pBdr>
        <w:spacing w:before="480" w:after="120"/>
        <w:rPr>
          <w:rFonts w:asciiTheme="minorHAnsi" w:hAnsiTheme="minorHAnsi" w:cstheme="minorHAnsi"/>
          <w:b/>
          <w:color w:val="1E6A9A"/>
          <w:sz w:val="44"/>
          <w:szCs w:val="44"/>
          <w14:textOutline w14:w="9525" w14:cap="rnd" w14:cmpd="sng" w14:algn="ctr">
            <w14:noFill/>
            <w14:prstDash w14:val="solid"/>
            <w14:bevel/>
          </w14:textOutline>
        </w:rPr>
      </w:pPr>
      <w:bookmarkStart w:id="15" w:name="_Toc422904494"/>
      <w:bookmarkStart w:id="16" w:name="_Toc428516333"/>
      <w:bookmarkStart w:id="17" w:name="_Toc429063348"/>
      <w:bookmarkStart w:id="18" w:name="_Toc481676744"/>
      <w:bookmarkStart w:id="19" w:name="_Toc482013887"/>
      <w:bookmarkStart w:id="20" w:name="_Toc484101683"/>
      <w:bookmarkStart w:id="21" w:name="_Toc484355998"/>
      <w:bookmarkStart w:id="22" w:name="_Toc485656662"/>
      <w:bookmarkStart w:id="23" w:name="_Toc485803787"/>
      <w:bookmarkStart w:id="24" w:name="_Toc486321215"/>
      <w:bookmarkStart w:id="25" w:name="_Toc490322988"/>
      <w:bookmarkStart w:id="26" w:name="_Toc8926909"/>
      <w:bookmarkStart w:id="27" w:name="_Toc12214944"/>
      <w:bookmarkStart w:id="28" w:name="_Toc12795130"/>
      <w:r w:rsidRPr="007A39CE">
        <w:rPr>
          <w:rFonts w:asciiTheme="minorHAnsi" w:hAnsiTheme="minorHAnsi" w:cstheme="minorHAnsi"/>
          <w:b/>
          <w:color w:val="1E6A9A"/>
          <w:sz w:val="44"/>
          <w:szCs w:val="44"/>
          <w14:textOutline w14:w="9525" w14:cap="rnd" w14:cmpd="sng" w14:algn="ctr">
            <w14:noFill/>
            <w14:prstDash w14:val="solid"/>
            <w14:bevel/>
          </w14:textOutline>
        </w:rPr>
        <w:t>Contents</w:t>
      </w:r>
      <w:bookmarkEnd w:id="4"/>
      <w:bookmarkEnd w:id="5"/>
      <w:bookmarkEnd w:id="6"/>
      <w:bookmarkEnd w:id="7"/>
      <w:bookmarkEnd w:id="8"/>
      <w:bookmarkEnd w:id="9"/>
      <w:bookmarkEnd w:id="10"/>
      <w:bookmarkEnd w:id="11"/>
      <w:bookmarkEnd w:id="12"/>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5C5D9A" w:rsidRDefault="00C1673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r w:rsidRPr="005A4357">
        <w:rPr>
          <w:rFonts w:eastAsia="Times New Roman"/>
        </w:rPr>
        <w:fldChar w:fldCharType="begin"/>
      </w:r>
      <w:r w:rsidRPr="005A4357">
        <w:rPr>
          <w:rFonts w:eastAsia="Times New Roman"/>
        </w:rPr>
        <w:instrText xml:space="preserve"> TOC \o "1-3" \h \z \u </w:instrText>
      </w:r>
      <w:r w:rsidRPr="005A4357">
        <w:rPr>
          <w:rFonts w:eastAsia="Times New Roman"/>
        </w:rPr>
        <w:fldChar w:fldCharType="separate"/>
      </w:r>
      <w:hyperlink w:anchor="_Toc81544483" w:history="1">
        <w:r w:rsidR="005C5D9A" w:rsidRPr="00EE2B18">
          <w:rPr>
            <w:rStyle w:val="Hyperlink"/>
          </w:rPr>
          <w:t>Preface</w:t>
        </w:r>
        <w:r w:rsidR="005C5D9A">
          <w:rPr>
            <w:webHidden/>
          </w:rPr>
          <w:tab/>
        </w:r>
        <w:r w:rsidR="005C5D9A">
          <w:rPr>
            <w:webHidden/>
          </w:rPr>
          <w:fldChar w:fldCharType="begin"/>
        </w:r>
        <w:r w:rsidR="005C5D9A">
          <w:rPr>
            <w:webHidden/>
          </w:rPr>
          <w:instrText xml:space="preserve"> PAGEREF _Toc81544483 \h </w:instrText>
        </w:r>
        <w:r w:rsidR="005C5D9A">
          <w:rPr>
            <w:webHidden/>
          </w:rPr>
        </w:r>
        <w:r w:rsidR="005C5D9A">
          <w:rPr>
            <w:webHidden/>
          </w:rPr>
          <w:fldChar w:fldCharType="separate"/>
        </w:r>
        <w:r w:rsidR="005C5D9A">
          <w:rPr>
            <w:webHidden/>
          </w:rPr>
          <w:t>iii</w:t>
        </w:r>
        <w:r w:rsidR="005C5D9A">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484" w:history="1">
        <w:r w:rsidRPr="00EE2B18">
          <w:rPr>
            <w:rStyle w:val="Hyperlink"/>
          </w:rPr>
          <w:t>Dedication</w:t>
        </w:r>
        <w:r>
          <w:rPr>
            <w:webHidden/>
          </w:rPr>
          <w:tab/>
        </w:r>
        <w:r>
          <w:rPr>
            <w:webHidden/>
          </w:rPr>
          <w:fldChar w:fldCharType="begin"/>
        </w:r>
        <w:r>
          <w:rPr>
            <w:webHidden/>
          </w:rPr>
          <w:instrText xml:space="preserve"> PAGEREF _Toc81544484 \h </w:instrText>
        </w:r>
        <w:r>
          <w:rPr>
            <w:webHidden/>
          </w:rPr>
        </w:r>
        <w:r>
          <w:rPr>
            <w:webHidden/>
          </w:rPr>
          <w:fldChar w:fldCharType="separate"/>
        </w:r>
        <w:r>
          <w:rPr>
            <w:webHidden/>
          </w:rPr>
          <w:t>iv</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485" w:history="1">
        <w:r w:rsidRPr="00EE2B18">
          <w:rPr>
            <w:rStyle w:val="Hyperlink"/>
          </w:rPr>
          <w:t>Figures</w:t>
        </w:r>
        <w:r>
          <w:rPr>
            <w:webHidden/>
          </w:rPr>
          <w:tab/>
        </w:r>
        <w:r>
          <w:rPr>
            <w:webHidden/>
          </w:rPr>
          <w:fldChar w:fldCharType="begin"/>
        </w:r>
        <w:r>
          <w:rPr>
            <w:webHidden/>
          </w:rPr>
          <w:instrText xml:space="preserve"> PAGEREF _Toc81544485 \h </w:instrText>
        </w:r>
        <w:r>
          <w:rPr>
            <w:webHidden/>
          </w:rPr>
        </w:r>
        <w:r>
          <w:rPr>
            <w:webHidden/>
          </w:rPr>
          <w:fldChar w:fldCharType="separate"/>
        </w:r>
        <w:r>
          <w:rPr>
            <w:webHidden/>
          </w:rPr>
          <w:t>9</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486" w:history="1">
        <w:r w:rsidRPr="00EE2B18">
          <w:rPr>
            <w:rStyle w:val="Hyperlink"/>
          </w:rPr>
          <w:t>Tables</w:t>
        </w:r>
        <w:r>
          <w:rPr>
            <w:webHidden/>
          </w:rPr>
          <w:tab/>
        </w:r>
        <w:r>
          <w:rPr>
            <w:webHidden/>
          </w:rPr>
          <w:fldChar w:fldCharType="begin"/>
        </w:r>
        <w:r>
          <w:rPr>
            <w:webHidden/>
          </w:rPr>
          <w:instrText xml:space="preserve"> PAGEREF _Toc81544486 \h </w:instrText>
        </w:r>
        <w:r>
          <w:rPr>
            <w:webHidden/>
          </w:rPr>
        </w:r>
        <w:r>
          <w:rPr>
            <w:webHidden/>
          </w:rPr>
          <w:fldChar w:fldCharType="separate"/>
        </w:r>
        <w:r>
          <w:rPr>
            <w:webHidden/>
          </w:rPr>
          <w:t>10</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487" w:history="1">
        <w:r w:rsidRPr="00EE2B18">
          <w:rPr>
            <w:rStyle w:val="Hyperlink"/>
            <w:rFonts w:ascii="Arial" w:hAnsi="Arial" w:cs="Times New Roman"/>
          </w:rPr>
          <w:t>Chapter 1:</w:t>
        </w:r>
        <w:r w:rsidRPr="00EE2B18">
          <w:rPr>
            <w:rStyle w:val="Hyperlink"/>
          </w:rPr>
          <w:t xml:space="preserve"> Executive Summary</w:t>
        </w:r>
        <w:r>
          <w:rPr>
            <w:webHidden/>
          </w:rPr>
          <w:tab/>
        </w:r>
        <w:r>
          <w:rPr>
            <w:webHidden/>
          </w:rPr>
          <w:fldChar w:fldCharType="begin"/>
        </w:r>
        <w:r>
          <w:rPr>
            <w:webHidden/>
          </w:rPr>
          <w:instrText xml:space="preserve"> PAGEREF _Toc81544487 \h </w:instrText>
        </w:r>
        <w:r>
          <w:rPr>
            <w:webHidden/>
          </w:rPr>
        </w:r>
        <w:r>
          <w:rPr>
            <w:webHidden/>
          </w:rPr>
          <w:fldChar w:fldCharType="separate"/>
        </w:r>
        <w:r>
          <w:rPr>
            <w:webHidden/>
          </w:rPr>
          <w:t>11</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88" w:history="1">
        <w:r w:rsidRPr="00EE2B18">
          <w:rPr>
            <w:rStyle w:val="Hyperlink"/>
            <w:rFonts w:cs="Calibri"/>
          </w:rPr>
          <w:t>1.1</w:t>
        </w:r>
        <w:r w:rsidRPr="00EE2B18">
          <w:rPr>
            <w:rStyle w:val="Hyperlink"/>
          </w:rPr>
          <w:t xml:space="preserve"> Highlights and Key Results of RSP21</w:t>
        </w:r>
        <w:r>
          <w:rPr>
            <w:webHidden/>
          </w:rPr>
          <w:tab/>
        </w:r>
        <w:r>
          <w:rPr>
            <w:webHidden/>
          </w:rPr>
          <w:fldChar w:fldCharType="begin"/>
        </w:r>
        <w:r>
          <w:rPr>
            <w:webHidden/>
          </w:rPr>
          <w:instrText xml:space="preserve"> PAGEREF _Toc81544488 \h </w:instrText>
        </w:r>
        <w:r>
          <w:rPr>
            <w:webHidden/>
          </w:rPr>
        </w:r>
        <w:r>
          <w:rPr>
            <w:webHidden/>
          </w:rPr>
          <w:fldChar w:fldCharType="separate"/>
        </w:r>
        <w:r>
          <w:rPr>
            <w:webHidden/>
          </w:rPr>
          <w:t>14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489" w:history="1">
        <w:r w:rsidRPr="00EE2B18">
          <w:rPr>
            <w:rStyle w:val="Hyperlink"/>
          </w:rPr>
          <w:t>1.1.1 Forecasts of the Annual and Peak Use of Electric Energy (Chapter 3)</w:t>
        </w:r>
        <w:r>
          <w:rPr>
            <w:webHidden/>
          </w:rPr>
          <w:tab/>
        </w:r>
        <w:r>
          <w:rPr>
            <w:webHidden/>
          </w:rPr>
          <w:fldChar w:fldCharType="begin"/>
        </w:r>
        <w:r>
          <w:rPr>
            <w:webHidden/>
          </w:rPr>
          <w:instrText xml:space="preserve"> PAGEREF _Toc81544489 \h </w:instrText>
        </w:r>
        <w:r>
          <w:rPr>
            <w:webHidden/>
          </w:rPr>
        </w:r>
        <w:r>
          <w:rPr>
            <w:webHidden/>
          </w:rPr>
          <w:fldChar w:fldCharType="separate"/>
        </w:r>
        <w:r>
          <w:rPr>
            <w:webHidden/>
          </w:rPr>
          <w:t>14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490" w:history="1">
        <w:r w:rsidRPr="00EE2B18">
          <w:rPr>
            <w:rStyle w:val="Hyperlink"/>
          </w:rPr>
          <w:t>1.1.2 Resource Adequacy (Chapter 4)</w:t>
        </w:r>
        <w:r>
          <w:rPr>
            <w:webHidden/>
          </w:rPr>
          <w:tab/>
        </w:r>
        <w:r>
          <w:rPr>
            <w:webHidden/>
          </w:rPr>
          <w:fldChar w:fldCharType="begin"/>
        </w:r>
        <w:r>
          <w:rPr>
            <w:webHidden/>
          </w:rPr>
          <w:instrText xml:space="preserve"> PAGEREF _Toc81544490 \h </w:instrText>
        </w:r>
        <w:r>
          <w:rPr>
            <w:webHidden/>
          </w:rPr>
        </w:r>
        <w:r>
          <w:rPr>
            <w:webHidden/>
          </w:rPr>
          <w:fldChar w:fldCharType="separate"/>
        </w:r>
        <w:r>
          <w:rPr>
            <w:webHidden/>
          </w:rPr>
          <w:t>15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491" w:history="1">
        <w:r w:rsidRPr="00EE2B18">
          <w:rPr>
            <w:rStyle w:val="Hyperlink"/>
          </w:rPr>
          <w:t>1.1.3 Transmission System Needs, Solutions, and Cost Considerations (Chapter 5)</w:t>
        </w:r>
        <w:r>
          <w:rPr>
            <w:webHidden/>
          </w:rPr>
          <w:tab/>
        </w:r>
        <w:r>
          <w:rPr>
            <w:webHidden/>
          </w:rPr>
          <w:fldChar w:fldCharType="begin"/>
        </w:r>
        <w:r>
          <w:rPr>
            <w:webHidden/>
          </w:rPr>
          <w:instrText xml:space="preserve"> PAGEREF _Toc81544491 \h </w:instrText>
        </w:r>
        <w:r>
          <w:rPr>
            <w:webHidden/>
          </w:rPr>
        </w:r>
        <w:r>
          <w:rPr>
            <w:webHidden/>
          </w:rPr>
          <w:fldChar w:fldCharType="separate"/>
        </w:r>
        <w:r>
          <w:rPr>
            <w:webHidden/>
          </w:rPr>
          <w:t>19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92" w:history="1">
        <w:r w:rsidRPr="00EE2B18">
          <w:rPr>
            <w:rStyle w:val="Hyperlink"/>
            <w:rFonts w:cs="Calibri"/>
          </w:rPr>
          <w:t>1.2</w:t>
        </w:r>
        <w:r w:rsidRPr="00EE2B18">
          <w:rPr>
            <w:rStyle w:val="Hyperlink"/>
          </w:rPr>
          <w:t xml:space="preserve"> ISO Studies and Results (Chapter 4 and Chapter 5)</w:t>
        </w:r>
        <w:r>
          <w:rPr>
            <w:webHidden/>
          </w:rPr>
          <w:tab/>
        </w:r>
        <w:r>
          <w:rPr>
            <w:webHidden/>
          </w:rPr>
          <w:fldChar w:fldCharType="begin"/>
        </w:r>
        <w:r>
          <w:rPr>
            <w:webHidden/>
          </w:rPr>
          <w:instrText xml:space="preserve"> PAGEREF _Toc81544492 \h </w:instrText>
        </w:r>
        <w:r>
          <w:rPr>
            <w:webHidden/>
          </w:rPr>
        </w:r>
        <w:r>
          <w:rPr>
            <w:webHidden/>
          </w:rPr>
          <w:fldChar w:fldCharType="separate"/>
        </w:r>
        <w:r>
          <w:rPr>
            <w:webHidden/>
          </w:rPr>
          <w:t>22</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93" w:history="1">
        <w:r w:rsidRPr="00EE2B18">
          <w:rPr>
            <w:rStyle w:val="Hyperlink"/>
            <w:rFonts w:cs="Calibri"/>
          </w:rPr>
          <w:t>1.3</w:t>
        </w:r>
        <w:r w:rsidRPr="00EE2B18">
          <w:rPr>
            <w:rStyle w:val="Hyperlink"/>
          </w:rPr>
          <w:t xml:space="preserve"> Environmental Considerations (Chapter 6)</w:t>
        </w:r>
        <w:r>
          <w:rPr>
            <w:webHidden/>
          </w:rPr>
          <w:tab/>
        </w:r>
        <w:r>
          <w:rPr>
            <w:webHidden/>
          </w:rPr>
          <w:fldChar w:fldCharType="begin"/>
        </w:r>
        <w:r>
          <w:rPr>
            <w:webHidden/>
          </w:rPr>
          <w:instrText xml:space="preserve"> PAGEREF _Toc81544493 \h </w:instrText>
        </w:r>
        <w:r>
          <w:rPr>
            <w:webHidden/>
          </w:rPr>
        </w:r>
        <w:r>
          <w:rPr>
            <w:webHidden/>
          </w:rPr>
          <w:fldChar w:fldCharType="separate"/>
        </w:r>
        <w:r>
          <w:rPr>
            <w:webHidden/>
          </w:rPr>
          <w:t>26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94" w:history="1">
        <w:r w:rsidRPr="00EE2B18">
          <w:rPr>
            <w:rStyle w:val="Hyperlink"/>
            <w:rFonts w:cs="Calibri"/>
          </w:rPr>
          <w:t>1.4</w:t>
        </w:r>
        <w:r w:rsidRPr="00EE2B18">
          <w:rPr>
            <w:rStyle w:val="Hyperlink"/>
          </w:rPr>
          <w:t xml:space="preserve"> Multistate and State Initiatives that Affect System Planning (Chapter 7)</w:t>
        </w:r>
        <w:r>
          <w:rPr>
            <w:webHidden/>
          </w:rPr>
          <w:tab/>
        </w:r>
        <w:r>
          <w:rPr>
            <w:webHidden/>
          </w:rPr>
          <w:fldChar w:fldCharType="begin"/>
        </w:r>
        <w:r>
          <w:rPr>
            <w:webHidden/>
          </w:rPr>
          <w:instrText xml:space="preserve"> PAGEREF _Toc81544494 \h </w:instrText>
        </w:r>
        <w:r>
          <w:rPr>
            <w:webHidden/>
          </w:rPr>
        </w:r>
        <w:r>
          <w:rPr>
            <w:webHidden/>
          </w:rPr>
          <w:fldChar w:fldCharType="separate"/>
        </w:r>
        <w:r>
          <w:rPr>
            <w:webHidden/>
          </w:rPr>
          <w:t>27</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95" w:history="1">
        <w:r w:rsidRPr="00EE2B18">
          <w:rPr>
            <w:rStyle w:val="Hyperlink"/>
            <w:rFonts w:cs="Calibri"/>
          </w:rPr>
          <w:t>1.5</w:t>
        </w:r>
        <w:r w:rsidRPr="00EE2B18">
          <w:rPr>
            <w:rStyle w:val="Hyperlink"/>
          </w:rPr>
          <w:t xml:space="preserve"> Key Findings and Conclusions</w:t>
        </w:r>
        <w:r>
          <w:rPr>
            <w:webHidden/>
          </w:rPr>
          <w:tab/>
        </w:r>
        <w:r>
          <w:rPr>
            <w:webHidden/>
          </w:rPr>
          <w:fldChar w:fldCharType="begin"/>
        </w:r>
        <w:r>
          <w:rPr>
            <w:webHidden/>
          </w:rPr>
          <w:instrText xml:space="preserve"> PAGEREF _Toc81544495 \h </w:instrText>
        </w:r>
        <w:r>
          <w:rPr>
            <w:webHidden/>
          </w:rPr>
        </w:r>
        <w:r>
          <w:rPr>
            <w:webHidden/>
          </w:rPr>
          <w:fldChar w:fldCharType="separate"/>
        </w:r>
        <w:r>
          <w:rPr>
            <w:webHidden/>
          </w:rPr>
          <w:t>27</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496" w:history="1">
        <w:r w:rsidRPr="00EE2B18">
          <w:rPr>
            <w:rStyle w:val="Hyperlink"/>
            <w:rFonts w:ascii="Arial" w:hAnsi="Arial" w:cs="Times New Roman"/>
          </w:rPr>
          <w:t>Chapter 2:</w:t>
        </w:r>
        <w:r w:rsidRPr="00EE2B18">
          <w:rPr>
            <w:rStyle w:val="Hyperlink"/>
          </w:rPr>
          <w:t xml:space="preserve"> Overview of RSP, the Power System, and Regional System Planning</w:t>
        </w:r>
        <w:r>
          <w:rPr>
            <w:webHidden/>
          </w:rPr>
          <w:tab/>
        </w:r>
        <w:r>
          <w:rPr>
            <w:webHidden/>
          </w:rPr>
          <w:fldChar w:fldCharType="begin"/>
        </w:r>
        <w:r>
          <w:rPr>
            <w:webHidden/>
          </w:rPr>
          <w:instrText xml:space="preserve"> PAGEREF _Toc81544496 \h </w:instrText>
        </w:r>
        <w:r>
          <w:rPr>
            <w:webHidden/>
          </w:rPr>
        </w:r>
        <w:r>
          <w:rPr>
            <w:webHidden/>
          </w:rPr>
          <w:fldChar w:fldCharType="separate"/>
        </w:r>
        <w:r>
          <w:rPr>
            <w:webHidden/>
          </w:rPr>
          <w:t>30</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497" w:history="1">
        <w:r w:rsidRPr="00EE2B18">
          <w:rPr>
            <w:rStyle w:val="Hyperlink"/>
            <w:rFonts w:cs="Calibri"/>
          </w:rPr>
          <w:t>2.1</w:t>
        </w:r>
        <w:r w:rsidRPr="00EE2B18">
          <w:rPr>
            <w:rStyle w:val="Hyperlink"/>
          </w:rPr>
          <w:t xml:space="preserve"> Overview of the System Planning Process and this RSP</w:t>
        </w:r>
        <w:r>
          <w:rPr>
            <w:webHidden/>
          </w:rPr>
          <w:tab/>
        </w:r>
        <w:r>
          <w:rPr>
            <w:webHidden/>
          </w:rPr>
          <w:fldChar w:fldCharType="begin"/>
        </w:r>
        <w:r>
          <w:rPr>
            <w:webHidden/>
          </w:rPr>
          <w:instrText xml:space="preserve"> PAGEREF _Toc81544497 \h </w:instrText>
        </w:r>
        <w:r>
          <w:rPr>
            <w:webHidden/>
          </w:rPr>
        </w:r>
        <w:r>
          <w:rPr>
            <w:webHidden/>
          </w:rPr>
          <w:fldChar w:fldCharType="separate"/>
        </w:r>
        <w:r>
          <w:rPr>
            <w:webHidden/>
          </w:rPr>
          <w:t>30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498" w:history="1">
        <w:r w:rsidRPr="00EE2B18">
          <w:rPr>
            <w:rStyle w:val="Hyperlink"/>
          </w:rPr>
          <w:t>2.1.1 Types of Transmission Upgrades</w:t>
        </w:r>
        <w:r>
          <w:rPr>
            <w:webHidden/>
          </w:rPr>
          <w:tab/>
        </w:r>
        <w:r>
          <w:rPr>
            <w:webHidden/>
          </w:rPr>
          <w:fldChar w:fldCharType="begin"/>
        </w:r>
        <w:r>
          <w:rPr>
            <w:webHidden/>
          </w:rPr>
          <w:instrText xml:space="preserve"> PAGEREF _Toc81544498 \h </w:instrText>
        </w:r>
        <w:r>
          <w:rPr>
            <w:webHidden/>
          </w:rPr>
        </w:r>
        <w:r>
          <w:rPr>
            <w:webHidden/>
          </w:rPr>
          <w:fldChar w:fldCharType="separate"/>
        </w:r>
        <w:r>
          <w:rPr>
            <w:webHidden/>
          </w:rPr>
          <w:t>31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499" w:history="1">
        <w:r w:rsidRPr="00EE2B18">
          <w:rPr>
            <w:rStyle w:val="Hyperlink"/>
          </w:rPr>
          <w:t>2.1.2 Transmission Planning Guides</w:t>
        </w:r>
        <w:r>
          <w:rPr>
            <w:webHidden/>
          </w:rPr>
          <w:tab/>
        </w:r>
        <w:r>
          <w:rPr>
            <w:webHidden/>
          </w:rPr>
          <w:fldChar w:fldCharType="begin"/>
        </w:r>
        <w:r>
          <w:rPr>
            <w:webHidden/>
          </w:rPr>
          <w:instrText xml:space="preserve"> PAGEREF _Toc81544499 \h </w:instrText>
        </w:r>
        <w:r>
          <w:rPr>
            <w:webHidden/>
          </w:rPr>
        </w:r>
        <w:r>
          <w:rPr>
            <w:webHidden/>
          </w:rPr>
          <w:fldChar w:fldCharType="separate"/>
        </w:r>
        <w:r>
          <w:rPr>
            <w:webHidden/>
          </w:rPr>
          <w:t>31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00" w:history="1">
        <w:r w:rsidRPr="00EE2B18">
          <w:rPr>
            <w:rStyle w:val="Hyperlink"/>
          </w:rPr>
          <w:t>2.1.3 Planning Studies Conducted for and Summarized in this RSP</w:t>
        </w:r>
        <w:r>
          <w:rPr>
            <w:webHidden/>
          </w:rPr>
          <w:tab/>
        </w:r>
        <w:r>
          <w:rPr>
            <w:webHidden/>
          </w:rPr>
          <w:fldChar w:fldCharType="begin"/>
        </w:r>
        <w:r>
          <w:rPr>
            <w:webHidden/>
          </w:rPr>
          <w:instrText xml:space="preserve"> PAGEREF _Toc81544500 \h </w:instrText>
        </w:r>
        <w:r>
          <w:rPr>
            <w:webHidden/>
          </w:rPr>
        </w:r>
        <w:r>
          <w:rPr>
            <w:webHidden/>
          </w:rPr>
          <w:fldChar w:fldCharType="separate"/>
        </w:r>
        <w:r>
          <w:rPr>
            <w:webHidden/>
          </w:rPr>
          <w:t>31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01" w:history="1">
        <w:r w:rsidRPr="00EE2B18">
          <w:rPr>
            <w:rStyle w:val="Hyperlink"/>
          </w:rPr>
          <w:t>2.1.4 Working with the Planning Advisory Committee and Other Committees</w:t>
        </w:r>
        <w:r>
          <w:rPr>
            <w:webHidden/>
          </w:rPr>
          <w:tab/>
        </w:r>
        <w:r>
          <w:rPr>
            <w:webHidden/>
          </w:rPr>
          <w:fldChar w:fldCharType="begin"/>
        </w:r>
        <w:r>
          <w:rPr>
            <w:webHidden/>
          </w:rPr>
          <w:instrText xml:space="preserve"> PAGEREF _Toc81544501 \h </w:instrText>
        </w:r>
        <w:r>
          <w:rPr>
            <w:webHidden/>
          </w:rPr>
        </w:r>
        <w:r>
          <w:rPr>
            <w:webHidden/>
          </w:rPr>
          <w:fldChar w:fldCharType="separate"/>
        </w:r>
        <w:r>
          <w:rPr>
            <w:webHidden/>
          </w:rPr>
          <w:t>33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02" w:history="1">
        <w:r w:rsidRPr="00EE2B18">
          <w:rPr>
            <w:rStyle w:val="Hyperlink"/>
          </w:rPr>
          <w:t>2.1.5 Providing Information to Stakeholders</w:t>
        </w:r>
        <w:r>
          <w:rPr>
            <w:webHidden/>
          </w:rPr>
          <w:tab/>
        </w:r>
        <w:r>
          <w:rPr>
            <w:webHidden/>
          </w:rPr>
          <w:fldChar w:fldCharType="begin"/>
        </w:r>
        <w:r>
          <w:rPr>
            <w:webHidden/>
          </w:rPr>
          <w:instrText xml:space="preserve"> PAGEREF _Toc81544502 \h </w:instrText>
        </w:r>
        <w:r>
          <w:rPr>
            <w:webHidden/>
          </w:rPr>
        </w:r>
        <w:r>
          <w:rPr>
            <w:webHidden/>
          </w:rPr>
          <w:fldChar w:fldCharType="separate"/>
        </w:r>
        <w:r>
          <w:rPr>
            <w:webHidden/>
          </w:rPr>
          <w:t>33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03" w:history="1">
        <w:r w:rsidRPr="00EE2B18">
          <w:rPr>
            <w:rStyle w:val="Hyperlink"/>
          </w:rPr>
          <w:t>2.1.6 Meeting All Requirements</w:t>
        </w:r>
        <w:r>
          <w:rPr>
            <w:webHidden/>
          </w:rPr>
          <w:tab/>
        </w:r>
        <w:r>
          <w:rPr>
            <w:webHidden/>
          </w:rPr>
          <w:fldChar w:fldCharType="begin"/>
        </w:r>
        <w:r>
          <w:rPr>
            <w:webHidden/>
          </w:rPr>
          <w:instrText xml:space="preserve"> PAGEREF _Toc81544503 \h </w:instrText>
        </w:r>
        <w:r>
          <w:rPr>
            <w:webHidden/>
          </w:rPr>
        </w:r>
        <w:r>
          <w:rPr>
            <w:webHidden/>
          </w:rPr>
          <w:fldChar w:fldCharType="separate"/>
        </w:r>
        <w:r>
          <w:rPr>
            <w:webHidden/>
          </w:rPr>
          <w:t>34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04" w:history="1">
        <w:r w:rsidRPr="00EE2B18">
          <w:rPr>
            <w:rStyle w:val="Hyperlink"/>
            <w:rFonts w:cs="Calibri"/>
          </w:rPr>
          <w:t>2.2</w:t>
        </w:r>
        <w:r w:rsidRPr="00EE2B18">
          <w:rPr>
            <w:rStyle w:val="Hyperlink"/>
          </w:rPr>
          <w:t xml:space="preserve"> Overview of the New England Electric Power System</w:t>
        </w:r>
        <w:r>
          <w:rPr>
            <w:webHidden/>
          </w:rPr>
          <w:tab/>
        </w:r>
        <w:r>
          <w:rPr>
            <w:webHidden/>
          </w:rPr>
          <w:fldChar w:fldCharType="begin"/>
        </w:r>
        <w:r>
          <w:rPr>
            <w:webHidden/>
          </w:rPr>
          <w:instrText xml:space="preserve"> PAGEREF _Toc81544504 \h </w:instrText>
        </w:r>
        <w:r>
          <w:rPr>
            <w:webHidden/>
          </w:rPr>
        </w:r>
        <w:r>
          <w:rPr>
            <w:webHidden/>
          </w:rPr>
          <w:fldChar w:fldCharType="separate"/>
        </w:r>
        <w:r>
          <w:rPr>
            <w:webHidden/>
          </w:rPr>
          <w:t>34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05" w:history="1">
        <w:r w:rsidRPr="00EE2B18">
          <w:rPr>
            <w:rStyle w:val="Hyperlink"/>
            <w:rFonts w:cs="Calibri"/>
          </w:rPr>
          <w:t>2.3</w:t>
        </w:r>
        <w:r w:rsidRPr="00EE2B18">
          <w:rPr>
            <w:rStyle w:val="Hyperlink"/>
          </w:rPr>
          <w:t xml:space="preserve"> Overview of the New England Wholesale Electricity Market Structure</w:t>
        </w:r>
        <w:r>
          <w:rPr>
            <w:webHidden/>
          </w:rPr>
          <w:tab/>
        </w:r>
        <w:r>
          <w:rPr>
            <w:webHidden/>
          </w:rPr>
          <w:fldChar w:fldCharType="begin"/>
        </w:r>
        <w:r>
          <w:rPr>
            <w:webHidden/>
          </w:rPr>
          <w:instrText xml:space="preserve"> PAGEREF _Toc81544505 \h </w:instrText>
        </w:r>
        <w:r>
          <w:rPr>
            <w:webHidden/>
          </w:rPr>
        </w:r>
        <w:r>
          <w:rPr>
            <w:webHidden/>
          </w:rPr>
          <w:fldChar w:fldCharType="separate"/>
        </w:r>
        <w:r>
          <w:rPr>
            <w:webHidden/>
          </w:rPr>
          <w:t>34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06" w:history="1">
        <w:r w:rsidRPr="00EE2B18">
          <w:rPr>
            <w:rStyle w:val="Hyperlink"/>
            <w:rFonts w:cs="Calibri"/>
          </w:rPr>
          <w:t>2.4</w:t>
        </w:r>
        <w:r w:rsidRPr="00EE2B18">
          <w:rPr>
            <w:rStyle w:val="Hyperlink"/>
          </w:rPr>
          <w:t xml:space="preserve"> Overview of System Subdivisions Used for Analyzing and Planning the System</w:t>
        </w:r>
        <w:r>
          <w:rPr>
            <w:webHidden/>
          </w:rPr>
          <w:tab/>
        </w:r>
        <w:r>
          <w:rPr>
            <w:webHidden/>
          </w:rPr>
          <w:fldChar w:fldCharType="begin"/>
        </w:r>
        <w:r>
          <w:rPr>
            <w:webHidden/>
          </w:rPr>
          <w:instrText xml:space="preserve"> PAGEREF _Toc81544506 \h </w:instrText>
        </w:r>
        <w:r>
          <w:rPr>
            <w:webHidden/>
          </w:rPr>
        </w:r>
        <w:r>
          <w:rPr>
            <w:webHidden/>
          </w:rPr>
          <w:fldChar w:fldCharType="separate"/>
        </w:r>
        <w:r>
          <w:rPr>
            <w:webHidden/>
          </w:rPr>
          <w:t>35</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507" w:history="1">
        <w:r w:rsidRPr="00EE2B18">
          <w:rPr>
            <w:rStyle w:val="Hyperlink"/>
            <w:rFonts w:ascii="Arial" w:hAnsi="Arial" w:cs="Times New Roman"/>
          </w:rPr>
          <w:t>Chapter 3:</w:t>
        </w:r>
        <w:r w:rsidRPr="00EE2B18">
          <w:rPr>
            <w:rStyle w:val="Hyperlink"/>
          </w:rPr>
          <w:t xml:space="preserve"> Forecasts of New England’s Peak Demand and Annual Use of Electric Energy</w:t>
        </w:r>
        <w:r>
          <w:rPr>
            <w:webHidden/>
          </w:rPr>
          <w:tab/>
        </w:r>
        <w:r>
          <w:rPr>
            <w:webHidden/>
          </w:rPr>
          <w:fldChar w:fldCharType="begin"/>
        </w:r>
        <w:r>
          <w:rPr>
            <w:webHidden/>
          </w:rPr>
          <w:instrText xml:space="preserve"> PAGEREF _Toc81544507 \h </w:instrText>
        </w:r>
        <w:r>
          <w:rPr>
            <w:webHidden/>
          </w:rPr>
        </w:r>
        <w:r>
          <w:rPr>
            <w:webHidden/>
          </w:rPr>
          <w:fldChar w:fldCharType="separate"/>
        </w:r>
        <w:r>
          <w:rPr>
            <w:webHidden/>
          </w:rPr>
          <w:t>36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08" w:history="1">
        <w:r w:rsidRPr="00EE2B18">
          <w:rPr>
            <w:rStyle w:val="Hyperlink"/>
            <w:rFonts w:cs="Calibri"/>
          </w:rPr>
          <w:t>3.1</w:t>
        </w:r>
        <w:r w:rsidRPr="00EE2B18">
          <w:rPr>
            <w:rStyle w:val="Hyperlink"/>
          </w:rPr>
          <w:t xml:space="preserve"> ISO New England Gross Forecasts</w:t>
        </w:r>
        <w:r>
          <w:rPr>
            <w:webHidden/>
          </w:rPr>
          <w:tab/>
        </w:r>
        <w:r>
          <w:rPr>
            <w:webHidden/>
          </w:rPr>
          <w:fldChar w:fldCharType="begin"/>
        </w:r>
        <w:r>
          <w:rPr>
            <w:webHidden/>
          </w:rPr>
          <w:instrText xml:space="preserve"> PAGEREF _Toc81544508 \h </w:instrText>
        </w:r>
        <w:r>
          <w:rPr>
            <w:webHidden/>
          </w:rPr>
        </w:r>
        <w:r>
          <w:rPr>
            <w:webHidden/>
          </w:rPr>
          <w:fldChar w:fldCharType="separate"/>
        </w:r>
        <w:r>
          <w:rPr>
            <w:webHidden/>
          </w:rPr>
          <w:t>37</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09" w:history="1">
        <w:r w:rsidRPr="00EE2B18">
          <w:rPr>
            <w:rStyle w:val="Hyperlink"/>
            <w:rFonts w:cs="Calibri"/>
          </w:rPr>
          <w:t>3.2</w:t>
        </w:r>
        <w:r w:rsidRPr="00EE2B18">
          <w:rPr>
            <w:rStyle w:val="Hyperlink"/>
          </w:rPr>
          <w:t xml:space="preserve"> Electrification Forecasts</w:t>
        </w:r>
        <w:r>
          <w:rPr>
            <w:webHidden/>
          </w:rPr>
          <w:tab/>
        </w:r>
        <w:r>
          <w:rPr>
            <w:webHidden/>
          </w:rPr>
          <w:fldChar w:fldCharType="begin"/>
        </w:r>
        <w:r>
          <w:rPr>
            <w:webHidden/>
          </w:rPr>
          <w:instrText xml:space="preserve"> PAGEREF _Toc81544509 \h </w:instrText>
        </w:r>
        <w:r>
          <w:rPr>
            <w:webHidden/>
          </w:rPr>
        </w:r>
        <w:r>
          <w:rPr>
            <w:webHidden/>
          </w:rPr>
          <w:fldChar w:fldCharType="separate"/>
        </w:r>
        <w:r>
          <w:rPr>
            <w:webHidden/>
          </w:rPr>
          <w:t>38</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10" w:history="1">
        <w:r w:rsidRPr="00EE2B18">
          <w:rPr>
            <w:rStyle w:val="Hyperlink"/>
          </w:rPr>
          <w:t>3.2.1 Heating Electrification</w:t>
        </w:r>
        <w:r>
          <w:rPr>
            <w:webHidden/>
          </w:rPr>
          <w:tab/>
        </w:r>
        <w:r>
          <w:rPr>
            <w:webHidden/>
          </w:rPr>
          <w:fldChar w:fldCharType="begin"/>
        </w:r>
        <w:r>
          <w:rPr>
            <w:webHidden/>
          </w:rPr>
          <w:instrText xml:space="preserve"> PAGEREF _Toc81544510 \h </w:instrText>
        </w:r>
        <w:r>
          <w:rPr>
            <w:webHidden/>
          </w:rPr>
        </w:r>
        <w:r>
          <w:rPr>
            <w:webHidden/>
          </w:rPr>
          <w:fldChar w:fldCharType="separate"/>
        </w:r>
        <w:r>
          <w:rPr>
            <w:webHidden/>
          </w:rPr>
          <w:t>38</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11" w:history="1">
        <w:r w:rsidRPr="00EE2B18">
          <w:rPr>
            <w:rStyle w:val="Hyperlink"/>
          </w:rPr>
          <w:t>3.2.2 Transportation Electrification</w:t>
        </w:r>
        <w:r>
          <w:rPr>
            <w:webHidden/>
          </w:rPr>
          <w:tab/>
        </w:r>
        <w:r>
          <w:rPr>
            <w:webHidden/>
          </w:rPr>
          <w:fldChar w:fldCharType="begin"/>
        </w:r>
        <w:r>
          <w:rPr>
            <w:webHidden/>
          </w:rPr>
          <w:instrText xml:space="preserve"> PAGEREF _Toc81544511 \h </w:instrText>
        </w:r>
        <w:r>
          <w:rPr>
            <w:webHidden/>
          </w:rPr>
        </w:r>
        <w:r>
          <w:rPr>
            <w:webHidden/>
          </w:rPr>
          <w:fldChar w:fldCharType="separate"/>
        </w:r>
        <w:r>
          <w:rPr>
            <w:webHidden/>
          </w:rPr>
          <w:t>39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12" w:history="1">
        <w:r w:rsidRPr="00EE2B18">
          <w:rPr>
            <w:rStyle w:val="Hyperlink"/>
            <w:rFonts w:cs="Calibri"/>
          </w:rPr>
          <w:t>3.3</w:t>
        </w:r>
        <w:r w:rsidRPr="00EE2B18">
          <w:rPr>
            <w:rStyle w:val="Hyperlink"/>
          </w:rPr>
          <w:t xml:space="preserve"> Energy-Efficiency Forecast</w:t>
        </w:r>
        <w:r>
          <w:rPr>
            <w:webHidden/>
          </w:rPr>
          <w:tab/>
        </w:r>
        <w:r>
          <w:rPr>
            <w:webHidden/>
          </w:rPr>
          <w:fldChar w:fldCharType="begin"/>
        </w:r>
        <w:r>
          <w:rPr>
            <w:webHidden/>
          </w:rPr>
          <w:instrText xml:space="preserve"> PAGEREF _Toc81544512 \h </w:instrText>
        </w:r>
        <w:r>
          <w:rPr>
            <w:webHidden/>
          </w:rPr>
        </w:r>
        <w:r>
          <w:rPr>
            <w:webHidden/>
          </w:rPr>
          <w:fldChar w:fldCharType="separate"/>
        </w:r>
        <w:r>
          <w:rPr>
            <w:webHidden/>
          </w:rPr>
          <w:t>40</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13" w:history="1">
        <w:r w:rsidRPr="00EE2B18">
          <w:rPr>
            <w:rStyle w:val="Hyperlink"/>
            <w:rFonts w:cs="Calibri"/>
          </w:rPr>
          <w:t>3.4</w:t>
        </w:r>
        <w:r w:rsidRPr="00EE2B18">
          <w:rPr>
            <w:rStyle w:val="Hyperlink"/>
          </w:rPr>
          <w:t xml:space="preserve"> Distributed Photovoltaic Generation Forecast</w:t>
        </w:r>
        <w:r>
          <w:rPr>
            <w:webHidden/>
          </w:rPr>
          <w:tab/>
        </w:r>
        <w:r>
          <w:rPr>
            <w:webHidden/>
          </w:rPr>
          <w:fldChar w:fldCharType="begin"/>
        </w:r>
        <w:r>
          <w:rPr>
            <w:webHidden/>
          </w:rPr>
          <w:instrText xml:space="preserve"> PAGEREF _Toc81544513 \h </w:instrText>
        </w:r>
        <w:r>
          <w:rPr>
            <w:webHidden/>
          </w:rPr>
        </w:r>
        <w:r>
          <w:rPr>
            <w:webHidden/>
          </w:rPr>
          <w:fldChar w:fldCharType="separate"/>
        </w:r>
        <w:r>
          <w:rPr>
            <w:webHidden/>
          </w:rPr>
          <w:t>40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14" w:history="1">
        <w:r w:rsidRPr="00EE2B18">
          <w:rPr>
            <w:rStyle w:val="Hyperlink"/>
          </w:rPr>
          <w:t>3.4.1 PV Nameplate Capacity Forecast</w:t>
        </w:r>
        <w:r>
          <w:rPr>
            <w:webHidden/>
          </w:rPr>
          <w:tab/>
        </w:r>
        <w:r>
          <w:rPr>
            <w:webHidden/>
          </w:rPr>
          <w:fldChar w:fldCharType="begin"/>
        </w:r>
        <w:r>
          <w:rPr>
            <w:webHidden/>
          </w:rPr>
          <w:instrText xml:space="preserve"> PAGEREF _Toc81544514 \h </w:instrText>
        </w:r>
        <w:r>
          <w:rPr>
            <w:webHidden/>
          </w:rPr>
        </w:r>
        <w:r>
          <w:rPr>
            <w:webHidden/>
          </w:rPr>
          <w:fldChar w:fldCharType="separate"/>
        </w:r>
        <w:r>
          <w:rPr>
            <w:webHidden/>
          </w:rPr>
          <w:t>41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15" w:history="1">
        <w:r w:rsidRPr="00EE2B18">
          <w:rPr>
            <w:rStyle w:val="Hyperlink"/>
          </w:rPr>
          <w:t>3.4.2 Forecasts of Behind-the Meter Photovoltaic Energy and Summer Peak Demand Reductions</w:t>
        </w:r>
        <w:r>
          <w:rPr>
            <w:webHidden/>
          </w:rPr>
          <w:tab/>
        </w:r>
        <w:r>
          <w:rPr>
            <w:webHidden/>
          </w:rPr>
          <w:fldChar w:fldCharType="begin"/>
        </w:r>
        <w:r>
          <w:rPr>
            <w:webHidden/>
          </w:rPr>
          <w:instrText xml:space="preserve"> PAGEREF _Toc81544515 \h </w:instrText>
        </w:r>
        <w:r>
          <w:rPr>
            <w:webHidden/>
          </w:rPr>
        </w:r>
        <w:r>
          <w:rPr>
            <w:webHidden/>
          </w:rPr>
          <w:fldChar w:fldCharType="separate"/>
        </w:r>
        <w:r>
          <w:rPr>
            <w:webHidden/>
          </w:rPr>
          <w:t>42</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16" w:history="1">
        <w:r w:rsidRPr="00EE2B18">
          <w:rPr>
            <w:rStyle w:val="Hyperlink"/>
            <w:rFonts w:cs="Calibri"/>
          </w:rPr>
          <w:t>3.5</w:t>
        </w:r>
        <w:r w:rsidRPr="00EE2B18">
          <w:rPr>
            <w:rStyle w:val="Hyperlink"/>
          </w:rPr>
          <w:t xml:space="preserve"> The Net Demand Forecast</w:t>
        </w:r>
        <w:r>
          <w:rPr>
            <w:webHidden/>
          </w:rPr>
          <w:tab/>
        </w:r>
        <w:r>
          <w:rPr>
            <w:webHidden/>
          </w:rPr>
          <w:fldChar w:fldCharType="begin"/>
        </w:r>
        <w:r>
          <w:rPr>
            <w:webHidden/>
          </w:rPr>
          <w:instrText xml:space="preserve"> PAGEREF _Toc81544516 \h </w:instrText>
        </w:r>
        <w:r>
          <w:rPr>
            <w:webHidden/>
          </w:rPr>
        </w:r>
        <w:r>
          <w:rPr>
            <w:webHidden/>
          </w:rPr>
          <w:fldChar w:fldCharType="separate"/>
        </w:r>
        <w:r>
          <w:rPr>
            <w:webHidden/>
          </w:rPr>
          <w:t>43</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17" w:history="1">
        <w:r w:rsidRPr="00EE2B18">
          <w:rPr>
            <w:rStyle w:val="Hyperlink"/>
            <w:rFonts w:cs="Calibri"/>
          </w:rPr>
          <w:t>3.6</w:t>
        </w:r>
        <w:r w:rsidRPr="00EE2B18">
          <w:rPr>
            <w:rStyle w:val="Hyperlink"/>
          </w:rPr>
          <w:t xml:space="preserve"> Summary of Key Findings of the Demand and Annual Energy Forecasts</w:t>
        </w:r>
        <w:r>
          <w:rPr>
            <w:webHidden/>
          </w:rPr>
          <w:tab/>
        </w:r>
        <w:r>
          <w:rPr>
            <w:webHidden/>
          </w:rPr>
          <w:fldChar w:fldCharType="begin"/>
        </w:r>
        <w:r>
          <w:rPr>
            <w:webHidden/>
          </w:rPr>
          <w:instrText xml:space="preserve"> PAGEREF _Toc81544517 \h </w:instrText>
        </w:r>
        <w:r>
          <w:rPr>
            <w:webHidden/>
          </w:rPr>
        </w:r>
        <w:r>
          <w:rPr>
            <w:webHidden/>
          </w:rPr>
          <w:fldChar w:fldCharType="separate"/>
        </w:r>
        <w:r>
          <w:rPr>
            <w:webHidden/>
          </w:rPr>
          <w:t>47</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518" w:history="1">
        <w:r w:rsidRPr="00EE2B18">
          <w:rPr>
            <w:rStyle w:val="Hyperlink"/>
            <w:rFonts w:ascii="Arial" w:hAnsi="Arial" w:cs="Times New Roman"/>
          </w:rPr>
          <w:t>Chapter 4:</w:t>
        </w:r>
        <w:r w:rsidRPr="00EE2B18">
          <w:rPr>
            <w:rStyle w:val="Hyperlink"/>
          </w:rPr>
          <w:t xml:space="preserve"> Resource Adequacy—Resources, Capacity, and Reserves</w:t>
        </w:r>
        <w:r>
          <w:rPr>
            <w:webHidden/>
          </w:rPr>
          <w:tab/>
        </w:r>
        <w:r>
          <w:rPr>
            <w:webHidden/>
          </w:rPr>
          <w:fldChar w:fldCharType="begin"/>
        </w:r>
        <w:r>
          <w:rPr>
            <w:webHidden/>
          </w:rPr>
          <w:instrText xml:space="preserve"> PAGEREF _Toc81544518 \h </w:instrText>
        </w:r>
        <w:r>
          <w:rPr>
            <w:webHidden/>
          </w:rPr>
        </w:r>
        <w:r>
          <w:rPr>
            <w:webHidden/>
          </w:rPr>
          <w:fldChar w:fldCharType="separate"/>
        </w:r>
        <w:r>
          <w:rPr>
            <w:webHidden/>
          </w:rPr>
          <w:t>49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19" w:history="1">
        <w:r w:rsidRPr="00EE2B18">
          <w:rPr>
            <w:rStyle w:val="Hyperlink"/>
            <w:rFonts w:cs="Calibri"/>
          </w:rPr>
          <w:t>4.1</w:t>
        </w:r>
        <w:r w:rsidRPr="00EE2B18">
          <w:rPr>
            <w:rStyle w:val="Hyperlink"/>
          </w:rPr>
          <w:t xml:space="preserve"> Determining Systemwide and Local-Area Capacity Needs</w:t>
        </w:r>
        <w:r>
          <w:rPr>
            <w:webHidden/>
          </w:rPr>
          <w:tab/>
        </w:r>
        <w:r>
          <w:rPr>
            <w:webHidden/>
          </w:rPr>
          <w:fldChar w:fldCharType="begin"/>
        </w:r>
        <w:r>
          <w:rPr>
            <w:webHidden/>
          </w:rPr>
          <w:instrText xml:space="preserve"> PAGEREF _Toc81544519 \h </w:instrText>
        </w:r>
        <w:r>
          <w:rPr>
            <w:webHidden/>
          </w:rPr>
        </w:r>
        <w:r>
          <w:rPr>
            <w:webHidden/>
          </w:rPr>
          <w:fldChar w:fldCharType="separate"/>
        </w:r>
        <w:r>
          <w:rPr>
            <w:webHidden/>
          </w:rPr>
          <w:t>49</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0" w:history="1">
        <w:r w:rsidRPr="00EE2B18">
          <w:rPr>
            <w:rStyle w:val="Hyperlink"/>
          </w:rPr>
          <w:t>4.1.1 Systemwide Installed Capacity Requirements</w:t>
        </w:r>
        <w:r>
          <w:rPr>
            <w:webHidden/>
          </w:rPr>
          <w:tab/>
        </w:r>
        <w:r>
          <w:rPr>
            <w:webHidden/>
          </w:rPr>
          <w:fldChar w:fldCharType="begin"/>
        </w:r>
        <w:r>
          <w:rPr>
            <w:webHidden/>
          </w:rPr>
          <w:instrText xml:space="preserve"> PAGEREF _Toc81544520 \h </w:instrText>
        </w:r>
        <w:r>
          <w:rPr>
            <w:webHidden/>
          </w:rPr>
        </w:r>
        <w:r>
          <w:rPr>
            <w:webHidden/>
          </w:rPr>
          <w:fldChar w:fldCharType="separate"/>
        </w:r>
        <w:r>
          <w:rPr>
            <w:webHidden/>
          </w:rPr>
          <w:t>50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1" w:history="1">
        <w:r w:rsidRPr="00EE2B18">
          <w:rPr>
            <w:rStyle w:val="Hyperlink"/>
          </w:rPr>
          <w:t>4.1.2 Local Resource Requirements and Limits</w:t>
        </w:r>
        <w:r>
          <w:rPr>
            <w:webHidden/>
          </w:rPr>
          <w:tab/>
        </w:r>
        <w:r>
          <w:rPr>
            <w:webHidden/>
          </w:rPr>
          <w:fldChar w:fldCharType="begin"/>
        </w:r>
        <w:r>
          <w:rPr>
            <w:webHidden/>
          </w:rPr>
          <w:instrText xml:space="preserve"> PAGEREF _Toc81544521 \h </w:instrText>
        </w:r>
        <w:r>
          <w:rPr>
            <w:webHidden/>
          </w:rPr>
        </w:r>
        <w:r>
          <w:rPr>
            <w:webHidden/>
          </w:rPr>
          <w:fldChar w:fldCharType="separate"/>
        </w:r>
        <w:r>
          <w:rPr>
            <w:webHidden/>
          </w:rPr>
          <w:t>51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2" w:history="1">
        <w:r w:rsidRPr="00EE2B18">
          <w:rPr>
            <w:rStyle w:val="Hyperlink"/>
          </w:rPr>
          <w:t>4.1.3 Import Capabilities</w:t>
        </w:r>
        <w:r>
          <w:rPr>
            <w:webHidden/>
          </w:rPr>
          <w:tab/>
        </w:r>
        <w:r>
          <w:rPr>
            <w:webHidden/>
          </w:rPr>
          <w:fldChar w:fldCharType="begin"/>
        </w:r>
        <w:r>
          <w:rPr>
            <w:webHidden/>
          </w:rPr>
          <w:instrText xml:space="preserve"> PAGEREF _Toc81544522 \h </w:instrText>
        </w:r>
        <w:r>
          <w:rPr>
            <w:webHidden/>
          </w:rPr>
        </w:r>
        <w:r>
          <w:rPr>
            <w:webHidden/>
          </w:rPr>
          <w:fldChar w:fldCharType="separate"/>
        </w:r>
        <w:r>
          <w:rPr>
            <w:webHidden/>
          </w:rPr>
          <w:t>52</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3" w:history="1">
        <w:r w:rsidRPr="00EE2B18">
          <w:rPr>
            <w:rStyle w:val="Hyperlink"/>
          </w:rPr>
          <w:t>4.1.4 Capacity Supply Obligations from the Forward Capacity Auctions</w:t>
        </w:r>
        <w:r>
          <w:rPr>
            <w:webHidden/>
          </w:rPr>
          <w:tab/>
        </w:r>
        <w:r>
          <w:rPr>
            <w:webHidden/>
          </w:rPr>
          <w:fldChar w:fldCharType="begin"/>
        </w:r>
        <w:r>
          <w:rPr>
            <w:webHidden/>
          </w:rPr>
          <w:instrText xml:space="preserve"> PAGEREF _Toc81544523 \h </w:instrText>
        </w:r>
        <w:r>
          <w:rPr>
            <w:webHidden/>
          </w:rPr>
        </w:r>
        <w:r>
          <w:rPr>
            <w:webHidden/>
          </w:rPr>
          <w:fldChar w:fldCharType="separate"/>
        </w:r>
        <w:r>
          <w:rPr>
            <w:webHidden/>
          </w:rPr>
          <w:t>53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4" w:history="1">
        <w:r w:rsidRPr="00EE2B18">
          <w:rPr>
            <w:rStyle w:val="Hyperlink"/>
          </w:rPr>
          <w:t>4.1.5 Representative Systemwide Resource Needs</w:t>
        </w:r>
        <w:r>
          <w:rPr>
            <w:webHidden/>
          </w:rPr>
          <w:tab/>
        </w:r>
        <w:r>
          <w:rPr>
            <w:webHidden/>
          </w:rPr>
          <w:fldChar w:fldCharType="begin"/>
        </w:r>
        <w:r>
          <w:rPr>
            <w:webHidden/>
          </w:rPr>
          <w:instrText xml:space="preserve"> PAGEREF _Toc81544524 \h </w:instrText>
        </w:r>
        <w:r>
          <w:rPr>
            <w:webHidden/>
          </w:rPr>
        </w:r>
        <w:r>
          <w:rPr>
            <w:webHidden/>
          </w:rPr>
          <w:fldChar w:fldCharType="separate"/>
        </w:r>
        <w:r>
          <w:rPr>
            <w:webHidden/>
          </w:rPr>
          <w:t>55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5" w:history="1">
        <w:r w:rsidRPr="00EE2B18">
          <w:rPr>
            <w:rStyle w:val="Hyperlink"/>
          </w:rPr>
          <w:t>4.1.6 Analyzing Operable Capacity</w:t>
        </w:r>
        <w:r>
          <w:rPr>
            <w:webHidden/>
          </w:rPr>
          <w:tab/>
        </w:r>
        <w:r>
          <w:rPr>
            <w:webHidden/>
          </w:rPr>
          <w:fldChar w:fldCharType="begin"/>
        </w:r>
        <w:r>
          <w:rPr>
            <w:webHidden/>
          </w:rPr>
          <w:instrText xml:space="preserve"> PAGEREF _Toc81544525 \h </w:instrText>
        </w:r>
        <w:r>
          <w:rPr>
            <w:webHidden/>
          </w:rPr>
        </w:r>
        <w:r>
          <w:rPr>
            <w:webHidden/>
          </w:rPr>
          <w:fldChar w:fldCharType="separate"/>
        </w:r>
        <w:r>
          <w:rPr>
            <w:webHidden/>
          </w:rPr>
          <w:t>56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26" w:history="1">
        <w:r w:rsidRPr="00EE2B18">
          <w:rPr>
            <w:rStyle w:val="Hyperlink"/>
            <w:rFonts w:cs="Calibri"/>
          </w:rPr>
          <w:t>4.2</w:t>
        </w:r>
        <w:r w:rsidRPr="00EE2B18">
          <w:rPr>
            <w:rStyle w:val="Hyperlink"/>
          </w:rPr>
          <w:t xml:space="preserve"> Determining Operating Reserves and Regulation</w:t>
        </w:r>
        <w:r>
          <w:rPr>
            <w:webHidden/>
          </w:rPr>
          <w:tab/>
        </w:r>
        <w:r>
          <w:rPr>
            <w:webHidden/>
          </w:rPr>
          <w:fldChar w:fldCharType="begin"/>
        </w:r>
        <w:r>
          <w:rPr>
            <w:webHidden/>
          </w:rPr>
          <w:instrText xml:space="preserve"> PAGEREF _Toc81544526 \h </w:instrText>
        </w:r>
        <w:r>
          <w:rPr>
            <w:webHidden/>
          </w:rPr>
        </w:r>
        <w:r>
          <w:rPr>
            <w:webHidden/>
          </w:rPr>
          <w:fldChar w:fldCharType="separate"/>
        </w:r>
        <w:r>
          <w:rPr>
            <w:webHidden/>
          </w:rPr>
          <w:t>60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7" w:history="1">
        <w:r w:rsidRPr="00EE2B18">
          <w:rPr>
            <w:rStyle w:val="Hyperlink"/>
          </w:rPr>
          <w:t>4.2.1 Systemwide Operating-Reserve Requirements</w:t>
        </w:r>
        <w:r>
          <w:rPr>
            <w:webHidden/>
          </w:rPr>
          <w:tab/>
        </w:r>
        <w:r>
          <w:rPr>
            <w:webHidden/>
          </w:rPr>
          <w:fldChar w:fldCharType="begin"/>
        </w:r>
        <w:r>
          <w:rPr>
            <w:webHidden/>
          </w:rPr>
          <w:instrText xml:space="preserve"> PAGEREF _Toc81544527 \h </w:instrText>
        </w:r>
        <w:r>
          <w:rPr>
            <w:webHidden/>
          </w:rPr>
        </w:r>
        <w:r>
          <w:rPr>
            <w:webHidden/>
          </w:rPr>
          <w:fldChar w:fldCharType="separate"/>
        </w:r>
        <w:r>
          <w:rPr>
            <w:webHidden/>
          </w:rPr>
          <w:t>60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28" w:history="1">
        <w:r w:rsidRPr="00EE2B18">
          <w:rPr>
            <w:rStyle w:val="Hyperlink"/>
          </w:rPr>
          <w:t>4.2.2 Locational Reserve Needs for Major Import Areas</w:t>
        </w:r>
        <w:r>
          <w:rPr>
            <w:webHidden/>
          </w:rPr>
          <w:tab/>
        </w:r>
        <w:r>
          <w:rPr>
            <w:webHidden/>
          </w:rPr>
          <w:fldChar w:fldCharType="begin"/>
        </w:r>
        <w:r>
          <w:rPr>
            <w:webHidden/>
          </w:rPr>
          <w:instrText xml:space="preserve"> PAGEREF _Toc81544528 \h </w:instrText>
        </w:r>
        <w:r>
          <w:rPr>
            <w:webHidden/>
          </w:rPr>
        </w:r>
        <w:r>
          <w:rPr>
            <w:webHidden/>
          </w:rPr>
          <w:fldChar w:fldCharType="separate"/>
        </w:r>
        <w:r>
          <w:rPr>
            <w:webHidden/>
          </w:rPr>
          <w:t>61</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29" w:history="1">
        <w:r w:rsidRPr="00EE2B18">
          <w:rPr>
            <w:rStyle w:val="Hyperlink"/>
            <w:rFonts w:cs="Calibri"/>
          </w:rPr>
          <w:t>4.3</w:t>
        </w:r>
        <w:r w:rsidRPr="00EE2B18">
          <w:rPr>
            <w:rStyle w:val="Hyperlink"/>
          </w:rPr>
          <w:t xml:space="preserve"> Existing and Future Resource Development</w:t>
        </w:r>
        <w:r>
          <w:rPr>
            <w:webHidden/>
          </w:rPr>
          <w:tab/>
        </w:r>
        <w:r>
          <w:rPr>
            <w:webHidden/>
          </w:rPr>
          <w:fldChar w:fldCharType="begin"/>
        </w:r>
        <w:r>
          <w:rPr>
            <w:webHidden/>
          </w:rPr>
          <w:instrText xml:space="preserve"> PAGEREF _Toc81544529 \h </w:instrText>
        </w:r>
        <w:r>
          <w:rPr>
            <w:webHidden/>
          </w:rPr>
        </w:r>
        <w:r>
          <w:rPr>
            <w:webHidden/>
          </w:rPr>
          <w:fldChar w:fldCharType="separate"/>
        </w:r>
        <w:r>
          <w:rPr>
            <w:webHidden/>
          </w:rPr>
          <w:t>64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0" w:history="1">
        <w:r w:rsidRPr="00EE2B18">
          <w:rPr>
            <w:rStyle w:val="Hyperlink"/>
          </w:rPr>
          <w:t>4.3.1 Existing Generating Capacity by Load Zone and State</w:t>
        </w:r>
        <w:r>
          <w:rPr>
            <w:webHidden/>
          </w:rPr>
          <w:tab/>
        </w:r>
        <w:r>
          <w:rPr>
            <w:webHidden/>
          </w:rPr>
          <w:fldChar w:fldCharType="begin"/>
        </w:r>
        <w:r>
          <w:rPr>
            <w:webHidden/>
          </w:rPr>
          <w:instrText xml:space="preserve"> PAGEREF _Toc81544530 \h </w:instrText>
        </w:r>
        <w:r>
          <w:rPr>
            <w:webHidden/>
          </w:rPr>
        </w:r>
        <w:r>
          <w:rPr>
            <w:webHidden/>
          </w:rPr>
          <w:fldChar w:fldCharType="separate"/>
        </w:r>
        <w:r>
          <w:rPr>
            <w:webHidden/>
          </w:rPr>
          <w:t>64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1" w:history="1">
        <w:r w:rsidRPr="00EE2B18">
          <w:rPr>
            <w:rStyle w:val="Hyperlink"/>
          </w:rPr>
          <w:t>4.3.2 Generator Fuels</w:t>
        </w:r>
        <w:r>
          <w:rPr>
            <w:webHidden/>
          </w:rPr>
          <w:tab/>
        </w:r>
        <w:r>
          <w:rPr>
            <w:webHidden/>
          </w:rPr>
          <w:fldChar w:fldCharType="begin"/>
        </w:r>
        <w:r>
          <w:rPr>
            <w:webHidden/>
          </w:rPr>
          <w:instrText xml:space="preserve"> PAGEREF _Toc81544531 \h </w:instrText>
        </w:r>
        <w:r>
          <w:rPr>
            <w:webHidden/>
          </w:rPr>
        </w:r>
        <w:r>
          <w:rPr>
            <w:webHidden/>
          </w:rPr>
          <w:fldChar w:fldCharType="separate"/>
        </w:r>
        <w:r>
          <w:rPr>
            <w:webHidden/>
          </w:rPr>
          <w:t>65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2" w:history="1">
        <w:r w:rsidRPr="00EE2B18">
          <w:rPr>
            <w:rStyle w:val="Hyperlink"/>
          </w:rPr>
          <w:t>4.3.3 Summer and Winter Seasonal Claimed Capabilities of New England’s Generating Resources</w:t>
        </w:r>
        <w:r>
          <w:rPr>
            <w:webHidden/>
          </w:rPr>
          <w:tab/>
        </w:r>
        <w:r>
          <w:rPr>
            <w:webHidden/>
          </w:rPr>
          <w:fldChar w:fldCharType="begin"/>
        </w:r>
        <w:r>
          <w:rPr>
            <w:webHidden/>
          </w:rPr>
          <w:instrText xml:space="preserve"> PAGEREF _Toc81544532 \h </w:instrText>
        </w:r>
        <w:r>
          <w:rPr>
            <w:webHidden/>
          </w:rPr>
        </w:r>
        <w:r>
          <w:rPr>
            <w:webHidden/>
          </w:rPr>
          <w:fldChar w:fldCharType="separate"/>
        </w:r>
        <w:r>
          <w:rPr>
            <w:webHidden/>
          </w:rPr>
          <w:t>68</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33" w:history="1">
        <w:r w:rsidRPr="00EE2B18">
          <w:rPr>
            <w:rStyle w:val="Hyperlink"/>
            <w:rFonts w:cs="Calibri"/>
          </w:rPr>
          <w:t>4.4</w:t>
        </w:r>
        <w:r w:rsidRPr="00EE2B18">
          <w:rPr>
            <w:rStyle w:val="Hyperlink"/>
          </w:rPr>
          <w:t xml:space="preserve"> ISO Interconnection Request Queue and Clustering Interconnection</w:t>
        </w:r>
        <w:r>
          <w:rPr>
            <w:webHidden/>
          </w:rPr>
          <w:tab/>
        </w:r>
        <w:r>
          <w:rPr>
            <w:webHidden/>
          </w:rPr>
          <w:fldChar w:fldCharType="begin"/>
        </w:r>
        <w:r>
          <w:rPr>
            <w:webHidden/>
          </w:rPr>
          <w:instrText xml:space="preserve"> PAGEREF _Toc81544533 \h </w:instrText>
        </w:r>
        <w:r>
          <w:rPr>
            <w:webHidden/>
          </w:rPr>
        </w:r>
        <w:r>
          <w:rPr>
            <w:webHidden/>
          </w:rPr>
          <w:fldChar w:fldCharType="separate"/>
        </w:r>
        <w:r>
          <w:rPr>
            <w:webHidden/>
          </w:rPr>
          <w:t>69</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4" w:history="1">
        <w:r w:rsidRPr="00EE2B18">
          <w:rPr>
            <w:rStyle w:val="Hyperlink"/>
          </w:rPr>
          <w:t>4.4.1 Interconnection Requests and Generating Resources in the Interconnection Queue</w:t>
        </w:r>
        <w:r>
          <w:rPr>
            <w:webHidden/>
          </w:rPr>
          <w:tab/>
        </w:r>
        <w:r>
          <w:rPr>
            <w:webHidden/>
          </w:rPr>
          <w:fldChar w:fldCharType="begin"/>
        </w:r>
        <w:r>
          <w:rPr>
            <w:webHidden/>
          </w:rPr>
          <w:instrText xml:space="preserve"> PAGEREF _Toc81544534 \h </w:instrText>
        </w:r>
        <w:r>
          <w:rPr>
            <w:webHidden/>
          </w:rPr>
        </w:r>
        <w:r>
          <w:rPr>
            <w:webHidden/>
          </w:rPr>
          <w:fldChar w:fldCharType="separate"/>
        </w:r>
        <w:r>
          <w:rPr>
            <w:webHidden/>
          </w:rPr>
          <w:t>69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35" w:history="1">
        <w:r w:rsidRPr="00EE2B18">
          <w:rPr>
            <w:rStyle w:val="Hyperlink"/>
            <w:rFonts w:cs="Calibri"/>
          </w:rPr>
          <w:t>4.5</w:t>
        </w:r>
        <w:r w:rsidRPr="00EE2B18">
          <w:rPr>
            <w:rStyle w:val="Hyperlink"/>
          </w:rPr>
          <w:t xml:space="preserve"> A Changing Grid</w:t>
        </w:r>
        <w:r>
          <w:rPr>
            <w:webHidden/>
          </w:rPr>
          <w:tab/>
        </w:r>
        <w:r>
          <w:rPr>
            <w:webHidden/>
          </w:rPr>
          <w:fldChar w:fldCharType="begin"/>
        </w:r>
        <w:r>
          <w:rPr>
            <w:webHidden/>
          </w:rPr>
          <w:instrText xml:space="preserve"> PAGEREF _Toc81544535 \h </w:instrText>
        </w:r>
        <w:r>
          <w:rPr>
            <w:webHidden/>
          </w:rPr>
        </w:r>
        <w:r>
          <w:rPr>
            <w:webHidden/>
          </w:rPr>
          <w:fldChar w:fldCharType="separate"/>
        </w:r>
        <w:r>
          <w:rPr>
            <w:webHidden/>
          </w:rPr>
          <w:t>73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6" w:history="1">
        <w:r w:rsidRPr="00EE2B18">
          <w:rPr>
            <w:rStyle w:val="Hyperlink"/>
          </w:rPr>
          <w:t>4.5.2 Regional Integration of Wind Resources</w:t>
        </w:r>
        <w:r>
          <w:rPr>
            <w:webHidden/>
          </w:rPr>
          <w:tab/>
        </w:r>
        <w:r>
          <w:rPr>
            <w:webHidden/>
          </w:rPr>
          <w:fldChar w:fldCharType="begin"/>
        </w:r>
        <w:r>
          <w:rPr>
            <w:webHidden/>
          </w:rPr>
          <w:instrText xml:space="preserve"> PAGEREF _Toc81544536 \h </w:instrText>
        </w:r>
        <w:r>
          <w:rPr>
            <w:webHidden/>
          </w:rPr>
        </w:r>
        <w:r>
          <w:rPr>
            <w:webHidden/>
          </w:rPr>
          <w:fldChar w:fldCharType="separate"/>
        </w:r>
        <w:r>
          <w:rPr>
            <w:webHidden/>
          </w:rPr>
          <w:t>76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7" w:history="1">
        <w:r w:rsidRPr="00EE2B18">
          <w:rPr>
            <w:rStyle w:val="Hyperlink"/>
          </w:rPr>
          <w:t>4.5.3 Regional Integration of Photovoltaic Resources and Other Distributed Generation Resources</w:t>
        </w:r>
        <w:r>
          <w:rPr>
            <w:webHidden/>
          </w:rPr>
          <w:tab/>
        </w:r>
        <w:r>
          <w:rPr>
            <w:webHidden/>
          </w:rPr>
          <w:fldChar w:fldCharType="begin"/>
        </w:r>
        <w:r>
          <w:rPr>
            <w:webHidden/>
          </w:rPr>
          <w:instrText xml:space="preserve"> PAGEREF _Toc81544537 \h </w:instrText>
        </w:r>
        <w:r>
          <w:rPr>
            <w:webHidden/>
          </w:rPr>
        </w:r>
        <w:r>
          <w:rPr>
            <w:webHidden/>
          </w:rPr>
          <w:fldChar w:fldCharType="separate"/>
        </w:r>
        <w:r>
          <w:rPr>
            <w:webHidden/>
          </w:rPr>
          <w:t>76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8" w:history="1">
        <w:r w:rsidRPr="00EE2B18">
          <w:rPr>
            <w:rStyle w:val="Hyperlink"/>
          </w:rPr>
          <w:t>4.5.4 Energy-Storage Resources</w:t>
        </w:r>
        <w:r>
          <w:rPr>
            <w:webHidden/>
          </w:rPr>
          <w:tab/>
        </w:r>
        <w:r>
          <w:rPr>
            <w:webHidden/>
          </w:rPr>
          <w:fldChar w:fldCharType="begin"/>
        </w:r>
        <w:r>
          <w:rPr>
            <w:webHidden/>
          </w:rPr>
          <w:instrText xml:space="preserve"> PAGEREF _Toc81544538 \h </w:instrText>
        </w:r>
        <w:r>
          <w:rPr>
            <w:webHidden/>
          </w:rPr>
        </w:r>
        <w:r>
          <w:rPr>
            <w:webHidden/>
          </w:rPr>
          <w:fldChar w:fldCharType="separate"/>
        </w:r>
        <w:r>
          <w:rPr>
            <w:webHidden/>
          </w:rPr>
          <w:t>77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39" w:history="1">
        <w:r w:rsidRPr="00EE2B18">
          <w:rPr>
            <w:rStyle w:val="Hyperlink"/>
          </w:rPr>
          <w:t>4.5.5 Distributed Energy Resources</w:t>
        </w:r>
        <w:r>
          <w:rPr>
            <w:webHidden/>
          </w:rPr>
          <w:tab/>
        </w:r>
        <w:r>
          <w:rPr>
            <w:webHidden/>
          </w:rPr>
          <w:fldChar w:fldCharType="begin"/>
        </w:r>
        <w:r>
          <w:rPr>
            <w:webHidden/>
          </w:rPr>
          <w:instrText xml:space="preserve"> PAGEREF _Toc81544539 \h </w:instrText>
        </w:r>
        <w:r>
          <w:rPr>
            <w:webHidden/>
          </w:rPr>
        </w:r>
        <w:r>
          <w:rPr>
            <w:webHidden/>
          </w:rPr>
          <w:fldChar w:fldCharType="separate"/>
        </w:r>
        <w:r>
          <w:rPr>
            <w:webHidden/>
          </w:rPr>
          <w:t>77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0" w:history="1">
        <w:r w:rsidRPr="00EE2B18">
          <w:rPr>
            <w:rStyle w:val="Hyperlink"/>
          </w:rPr>
          <w:t>4.5.6 Operational Efficiencies Through Advanced Technology</w:t>
        </w:r>
        <w:r>
          <w:rPr>
            <w:webHidden/>
          </w:rPr>
          <w:tab/>
        </w:r>
        <w:r>
          <w:rPr>
            <w:webHidden/>
          </w:rPr>
          <w:fldChar w:fldCharType="begin"/>
        </w:r>
        <w:r>
          <w:rPr>
            <w:webHidden/>
          </w:rPr>
          <w:instrText xml:space="preserve"> PAGEREF _Toc81544540 \h </w:instrText>
        </w:r>
        <w:r>
          <w:rPr>
            <w:webHidden/>
          </w:rPr>
        </w:r>
        <w:r>
          <w:rPr>
            <w:webHidden/>
          </w:rPr>
          <w:fldChar w:fldCharType="separate"/>
        </w:r>
        <w:r>
          <w:rPr>
            <w:webHidden/>
          </w:rPr>
          <w:t>78</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41" w:history="1">
        <w:r w:rsidRPr="00EE2B18">
          <w:rPr>
            <w:rStyle w:val="Hyperlink"/>
            <w:rFonts w:cs="Calibri"/>
          </w:rPr>
          <w:t>4.6</w:t>
        </w:r>
        <w:r w:rsidRPr="00EE2B18">
          <w:rPr>
            <w:rStyle w:val="Hyperlink"/>
          </w:rPr>
          <w:t xml:space="preserve"> Economic Studies</w:t>
        </w:r>
        <w:r>
          <w:rPr>
            <w:webHidden/>
          </w:rPr>
          <w:tab/>
        </w:r>
        <w:r>
          <w:rPr>
            <w:webHidden/>
          </w:rPr>
          <w:fldChar w:fldCharType="begin"/>
        </w:r>
        <w:r>
          <w:rPr>
            <w:webHidden/>
          </w:rPr>
          <w:instrText xml:space="preserve"> PAGEREF _Toc81544541 \h </w:instrText>
        </w:r>
        <w:r>
          <w:rPr>
            <w:webHidden/>
          </w:rPr>
        </w:r>
        <w:r>
          <w:rPr>
            <w:webHidden/>
          </w:rPr>
          <w:fldChar w:fldCharType="separate"/>
        </w:r>
        <w:r>
          <w:rPr>
            <w:webHidden/>
          </w:rPr>
          <w:t>79</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2" w:history="1">
        <w:r w:rsidRPr="00EE2B18">
          <w:rPr>
            <w:rStyle w:val="Hyperlink"/>
          </w:rPr>
          <w:t>4.6.1 2019 Economic Study Requests</w:t>
        </w:r>
        <w:r>
          <w:rPr>
            <w:webHidden/>
          </w:rPr>
          <w:tab/>
        </w:r>
        <w:r>
          <w:rPr>
            <w:webHidden/>
          </w:rPr>
          <w:fldChar w:fldCharType="begin"/>
        </w:r>
        <w:r>
          <w:rPr>
            <w:webHidden/>
          </w:rPr>
          <w:instrText xml:space="preserve"> PAGEREF _Toc81544542 \h </w:instrText>
        </w:r>
        <w:r>
          <w:rPr>
            <w:webHidden/>
          </w:rPr>
        </w:r>
        <w:r>
          <w:rPr>
            <w:webHidden/>
          </w:rPr>
          <w:fldChar w:fldCharType="separate"/>
        </w:r>
        <w:r>
          <w:rPr>
            <w:webHidden/>
          </w:rPr>
          <w:t>79</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3" w:history="1">
        <w:r w:rsidRPr="00EE2B18">
          <w:rPr>
            <w:rStyle w:val="Hyperlink"/>
          </w:rPr>
          <w:t>4.6.2 2020 Economic Study Request</w:t>
        </w:r>
        <w:r>
          <w:rPr>
            <w:webHidden/>
          </w:rPr>
          <w:tab/>
        </w:r>
        <w:r>
          <w:rPr>
            <w:webHidden/>
          </w:rPr>
          <w:fldChar w:fldCharType="begin"/>
        </w:r>
        <w:r>
          <w:rPr>
            <w:webHidden/>
          </w:rPr>
          <w:instrText xml:space="preserve"> PAGEREF _Toc81544543 \h </w:instrText>
        </w:r>
        <w:r>
          <w:rPr>
            <w:webHidden/>
          </w:rPr>
        </w:r>
        <w:r>
          <w:rPr>
            <w:webHidden/>
          </w:rPr>
          <w:fldChar w:fldCharType="separate"/>
        </w:r>
        <w:r>
          <w:rPr>
            <w:webHidden/>
          </w:rPr>
          <w:t>81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4" w:history="1">
        <w:r w:rsidRPr="00EE2B18">
          <w:rPr>
            <w:rStyle w:val="Hyperlink"/>
          </w:rPr>
          <w:t>4.6.3 2021 Economic Study Request</w:t>
        </w:r>
        <w:r>
          <w:rPr>
            <w:webHidden/>
          </w:rPr>
          <w:tab/>
        </w:r>
        <w:r>
          <w:rPr>
            <w:webHidden/>
          </w:rPr>
          <w:fldChar w:fldCharType="begin"/>
        </w:r>
        <w:r>
          <w:rPr>
            <w:webHidden/>
          </w:rPr>
          <w:instrText xml:space="preserve"> PAGEREF _Toc81544544 \h </w:instrText>
        </w:r>
        <w:r>
          <w:rPr>
            <w:webHidden/>
          </w:rPr>
        </w:r>
        <w:r>
          <w:rPr>
            <w:webHidden/>
          </w:rPr>
          <w:fldChar w:fldCharType="separate"/>
        </w:r>
        <w:r>
          <w:rPr>
            <w:webHidden/>
          </w:rPr>
          <w:t>81</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45" w:history="1">
        <w:r w:rsidRPr="00EE2B18">
          <w:rPr>
            <w:rStyle w:val="Hyperlink"/>
            <w:rFonts w:cs="Calibri"/>
          </w:rPr>
          <w:t>4.7</w:t>
        </w:r>
        <w:r w:rsidRPr="00EE2B18">
          <w:rPr>
            <w:rStyle w:val="Hyperlink"/>
          </w:rPr>
          <w:t xml:space="preserve"> Interregional Coordination</w:t>
        </w:r>
        <w:r>
          <w:rPr>
            <w:webHidden/>
          </w:rPr>
          <w:tab/>
        </w:r>
        <w:r>
          <w:rPr>
            <w:webHidden/>
          </w:rPr>
          <w:fldChar w:fldCharType="begin"/>
        </w:r>
        <w:r>
          <w:rPr>
            <w:webHidden/>
          </w:rPr>
          <w:instrText xml:space="preserve"> PAGEREF _Toc81544545 \h </w:instrText>
        </w:r>
        <w:r>
          <w:rPr>
            <w:webHidden/>
          </w:rPr>
        </w:r>
        <w:r>
          <w:rPr>
            <w:webHidden/>
          </w:rPr>
          <w:fldChar w:fldCharType="separate"/>
        </w:r>
        <w:r>
          <w:rPr>
            <w:webHidden/>
          </w:rPr>
          <w:t>82</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6" w:history="1">
        <w:r w:rsidRPr="00EE2B18">
          <w:rPr>
            <w:rStyle w:val="Hyperlink"/>
            <w:rFonts w:eastAsia="Calibri"/>
          </w:rPr>
          <w:t>4.7.1</w:t>
        </w:r>
        <w:r w:rsidRPr="00EE2B18">
          <w:rPr>
            <w:rStyle w:val="Hyperlink"/>
          </w:rPr>
          <w:t xml:space="preserve"> Eastern Interconnection Planning Collaborative Studies</w:t>
        </w:r>
        <w:r>
          <w:rPr>
            <w:webHidden/>
          </w:rPr>
          <w:tab/>
        </w:r>
        <w:r>
          <w:rPr>
            <w:webHidden/>
          </w:rPr>
          <w:fldChar w:fldCharType="begin"/>
        </w:r>
        <w:r>
          <w:rPr>
            <w:webHidden/>
          </w:rPr>
          <w:instrText xml:space="preserve"> PAGEREF _Toc81544546 \h </w:instrText>
        </w:r>
        <w:r>
          <w:rPr>
            <w:webHidden/>
          </w:rPr>
        </w:r>
        <w:r>
          <w:rPr>
            <w:webHidden/>
          </w:rPr>
          <w:fldChar w:fldCharType="separate"/>
        </w:r>
        <w:r>
          <w:rPr>
            <w:webHidden/>
          </w:rPr>
          <w:t>82</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7" w:history="1">
        <w:r w:rsidRPr="00EE2B18">
          <w:rPr>
            <w:rStyle w:val="Hyperlink"/>
          </w:rPr>
          <w:t>4.7.2 Electric Reliability Organization Overview</w:t>
        </w:r>
        <w:r>
          <w:rPr>
            <w:webHidden/>
          </w:rPr>
          <w:tab/>
        </w:r>
        <w:r>
          <w:rPr>
            <w:webHidden/>
          </w:rPr>
          <w:fldChar w:fldCharType="begin"/>
        </w:r>
        <w:r>
          <w:rPr>
            <w:webHidden/>
          </w:rPr>
          <w:instrText xml:space="preserve"> PAGEREF _Toc81544547 \h </w:instrText>
        </w:r>
        <w:r>
          <w:rPr>
            <w:webHidden/>
          </w:rPr>
        </w:r>
        <w:r>
          <w:rPr>
            <w:webHidden/>
          </w:rPr>
          <w:fldChar w:fldCharType="separate"/>
        </w:r>
        <w:r>
          <w:rPr>
            <w:webHidden/>
          </w:rPr>
          <w:t>83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8" w:history="1">
        <w:r w:rsidRPr="00EE2B18">
          <w:rPr>
            <w:rStyle w:val="Hyperlink"/>
            <w:rFonts w:eastAsia="Calibri"/>
          </w:rPr>
          <w:t>4.7.3</w:t>
        </w:r>
        <w:r w:rsidRPr="00EE2B18">
          <w:rPr>
            <w:rStyle w:val="Hyperlink"/>
          </w:rPr>
          <w:t xml:space="preserve"> NPCC Studies and Activities</w:t>
        </w:r>
        <w:r>
          <w:rPr>
            <w:webHidden/>
          </w:rPr>
          <w:tab/>
        </w:r>
        <w:r>
          <w:rPr>
            <w:webHidden/>
          </w:rPr>
          <w:fldChar w:fldCharType="begin"/>
        </w:r>
        <w:r>
          <w:rPr>
            <w:webHidden/>
          </w:rPr>
          <w:instrText xml:space="preserve"> PAGEREF _Toc81544548 \h </w:instrText>
        </w:r>
        <w:r>
          <w:rPr>
            <w:webHidden/>
          </w:rPr>
        </w:r>
        <w:r>
          <w:rPr>
            <w:webHidden/>
          </w:rPr>
          <w:fldChar w:fldCharType="separate"/>
        </w:r>
        <w:r>
          <w:rPr>
            <w:webHidden/>
          </w:rPr>
          <w:t>83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49" w:history="1">
        <w:r w:rsidRPr="00EE2B18">
          <w:rPr>
            <w:rStyle w:val="Hyperlink"/>
          </w:rPr>
          <w:t>4.7.4 Northeastern ISO/RTO Planning Coordination Protocol</w:t>
        </w:r>
        <w:r>
          <w:rPr>
            <w:webHidden/>
          </w:rPr>
          <w:tab/>
        </w:r>
        <w:r>
          <w:rPr>
            <w:webHidden/>
          </w:rPr>
          <w:fldChar w:fldCharType="begin"/>
        </w:r>
        <w:r>
          <w:rPr>
            <w:webHidden/>
          </w:rPr>
          <w:instrText xml:space="preserve"> PAGEREF _Toc81544549 \h </w:instrText>
        </w:r>
        <w:r>
          <w:rPr>
            <w:webHidden/>
          </w:rPr>
        </w:r>
        <w:r>
          <w:rPr>
            <w:webHidden/>
          </w:rPr>
          <w:fldChar w:fldCharType="separate"/>
        </w:r>
        <w:r>
          <w:rPr>
            <w:webHidden/>
          </w:rPr>
          <w:t>84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50" w:history="1">
        <w:r w:rsidRPr="00EE2B18">
          <w:rPr>
            <w:rStyle w:val="Hyperlink"/>
            <w:rFonts w:cs="Calibri"/>
          </w:rPr>
          <w:t>4.8</w:t>
        </w:r>
        <w:r w:rsidRPr="00EE2B18">
          <w:rPr>
            <w:rStyle w:val="Hyperlink"/>
          </w:rPr>
          <w:t xml:space="preserve"> Summary</w:t>
        </w:r>
        <w:r>
          <w:rPr>
            <w:webHidden/>
          </w:rPr>
          <w:tab/>
        </w:r>
        <w:r>
          <w:rPr>
            <w:webHidden/>
          </w:rPr>
          <w:fldChar w:fldCharType="begin"/>
        </w:r>
        <w:r>
          <w:rPr>
            <w:webHidden/>
          </w:rPr>
          <w:instrText xml:space="preserve"> PAGEREF _Toc81544550 \h </w:instrText>
        </w:r>
        <w:r>
          <w:rPr>
            <w:webHidden/>
          </w:rPr>
        </w:r>
        <w:r>
          <w:rPr>
            <w:webHidden/>
          </w:rPr>
          <w:fldChar w:fldCharType="separate"/>
        </w:r>
        <w:r>
          <w:rPr>
            <w:webHidden/>
          </w:rPr>
          <w:t>84</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551" w:history="1">
        <w:r w:rsidRPr="00EE2B18">
          <w:rPr>
            <w:rStyle w:val="Hyperlink"/>
            <w:rFonts w:ascii="Arial" w:eastAsia="Times New Roman" w:hAnsi="Arial" w:cs="Times New Roman"/>
          </w:rPr>
          <w:t>Chapter 5:</w:t>
        </w:r>
        <w:r w:rsidRPr="00EE2B18">
          <w:rPr>
            <w:rStyle w:val="Hyperlink"/>
            <w:rFonts w:eastAsia="Times New Roman"/>
          </w:rPr>
          <w:t xml:space="preserve"> Transmission System Performance Needs Assessments and Upgrade Approvals</w:t>
        </w:r>
        <w:r>
          <w:rPr>
            <w:webHidden/>
          </w:rPr>
          <w:tab/>
        </w:r>
        <w:r>
          <w:rPr>
            <w:webHidden/>
          </w:rPr>
          <w:fldChar w:fldCharType="begin"/>
        </w:r>
        <w:r>
          <w:rPr>
            <w:webHidden/>
          </w:rPr>
          <w:instrText xml:space="preserve"> PAGEREF _Toc81544551 \h </w:instrText>
        </w:r>
        <w:r>
          <w:rPr>
            <w:webHidden/>
          </w:rPr>
        </w:r>
        <w:r>
          <w:rPr>
            <w:webHidden/>
          </w:rPr>
          <w:fldChar w:fldCharType="separate"/>
        </w:r>
        <w:r>
          <w:rPr>
            <w:webHidden/>
          </w:rPr>
          <w:t>86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52" w:history="1">
        <w:r w:rsidRPr="00EE2B18">
          <w:rPr>
            <w:rStyle w:val="Hyperlink"/>
            <w:rFonts w:cs="Calibri"/>
          </w:rPr>
          <w:t>5.1</w:t>
        </w:r>
        <w:r w:rsidRPr="00EE2B18">
          <w:rPr>
            <w:rStyle w:val="Hyperlink"/>
          </w:rPr>
          <w:t xml:space="preserve"> Overview of New England’s Transmission System</w:t>
        </w:r>
        <w:r>
          <w:rPr>
            <w:webHidden/>
          </w:rPr>
          <w:tab/>
        </w:r>
        <w:r>
          <w:rPr>
            <w:webHidden/>
          </w:rPr>
          <w:fldChar w:fldCharType="begin"/>
        </w:r>
        <w:r>
          <w:rPr>
            <w:webHidden/>
          </w:rPr>
          <w:instrText xml:space="preserve"> PAGEREF _Toc81544552 \h </w:instrText>
        </w:r>
        <w:r>
          <w:rPr>
            <w:webHidden/>
          </w:rPr>
        </w:r>
        <w:r>
          <w:rPr>
            <w:webHidden/>
          </w:rPr>
          <w:fldChar w:fldCharType="separate"/>
        </w:r>
        <w:r>
          <w:rPr>
            <w:webHidden/>
          </w:rPr>
          <w:t>86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53" w:history="1">
        <w:r w:rsidRPr="00EE2B18">
          <w:rPr>
            <w:rStyle w:val="Hyperlink"/>
            <w:rFonts w:cs="Calibri"/>
          </w:rPr>
          <w:t>5.2</w:t>
        </w:r>
        <w:r w:rsidRPr="00EE2B18">
          <w:rPr>
            <w:rStyle w:val="Hyperlink"/>
          </w:rPr>
          <w:t xml:space="preserve"> FERC Order No. 1000 Discussion</w:t>
        </w:r>
        <w:r>
          <w:rPr>
            <w:webHidden/>
          </w:rPr>
          <w:tab/>
        </w:r>
        <w:r>
          <w:rPr>
            <w:webHidden/>
          </w:rPr>
          <w:fldChar w:fldCharType="begin"/>
        </w:r>
        <w:r>
          <w:rPr>
            <w:webHidden/>
          </w:rPr>
          <w:instrText xml:space="preserve"> PAGEREF _Toc81544553 \h </w:instrText>
        </w:r>
        <w:r>
          <w:rPr>
            <w:webHidden/>
          </w:rPr>
        </w:r>
        <w:r>
          <w:rPr>
            <w:webHidden/>
          </w:rPr>
          <w:fldChar w:fldCharType="separate"/>
        </w:r>
        <w:r>
          <w:rPr>
            <w:webHidden/>
          </w:rPr>
          <w:t>87</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54" w:history="1">
        <w:r w:rsidRPr="00EE2B18">
          <w:rPr>
            <w:rStyle w:val="Hyperlink"/>
            <w:rFonts w:cs="Calibri"/>
          </w:rPr>
          <w:t>5.3</w:t>
        </w:r>
        <w:r w:rsidRPr="00EE2B18">
          <w:rPr>
            <w:rStyle w:val="Hyperlink"/>
          </w:rPr>
          <w:t xml:space="preserve"> Completed Major Projects</w:t>
        </w:r>
        <w:r>
          <w:rPr>
            <w:webHidden/>
          </w:rPr>
          <w:tab/>
        </w:r>
        <w:r>
          <w:rPr>
            <w:webHidden/>
          </w:rPr>
          <w:fldChar w:fldCharType="begin"/>
        </w:r>
        <w:r>
          <w:rPr>
            <w:webHidden/>
          </w:rPr>
          <w:instrText xml:space="preserve"> PAGEREF _Toc81544554 \h </w:instrText>
        </w:r>
        <w:r>
          <w:rPr>
            <w:webHidden/>
          </w:rPr>
        </w:r>
        <w:r>
          <w:rPr>
            <w:webHidden/>
          </w:rPr>
          <w:fldChar w:fldCharType="separate"/>
        </w:r>
        <w:r>
          <w:rPr>
            <w:webHidden/>
          </w:rPr>
          <w:t>88</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55" w:history="1">
        <w:r w:rsidRPr="00EE2B18">
          <w:rPr>
            <w:rStyle w:val="Hyperlink"/>
            <w:rFonts w:cs="Calibri"/>
          </w:rPr>
          <w:t>5.4</w:t>
        </w:r>
        <w:r w:rsidRPr="00EE2B18">
          <w:rPr>
            <w:rStyle w:val="Hyperlink"/>
          </w:rPr>
          <w:t xml:space="preserve"> Key Study Area Updates</w:t>
        </w:r>
        <w:r>
          <w:rPr>
            <w:webHidden/>
          </w:rPr>
          <w:tab/>
        </w:r>
        <w:r>
          <w:rPr>
            <w:webHidden/>
          </w:rPr>
          <w:fldChar w:fldCharType="begin"/>
        </w:r>
        <w:r>
          <w:rPr>
            <w:webHidden/>
          </w:rPr>
          <w:instrText xml:space="preserve"> PAGEREF _Toc81544555 \h </w:instrText>
        </w:r>
        <w:r>
          <w:rPr>
            <w:webHidden/>
          </w:rPr>
        </w:r>
        <w:r>
          <w:rPr>
            <w:webHidden/>
          </w:rPr>
          <w:fldChar w:fldCharType="separate"/>
        </w:r>
        <w:r>
          <w:rPr>
            <w:webHidden/>
          </w:rPr>
          <w:t>89</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56" w:history="1">
        <w:r w:rsidRPr="00EE2B18">
          <w:rPr>
            <w:rStyle w:val="Hyperlink"/>
          </w:rPr>
          <w:t>5.4.1 Southwest Connecticut Key Study Area</w:t>
        </w:r>
        <w:r>
          <w:rPr>
            <w:webHidden/>
          </w:rPr>
          <w:tab/>
        </w:r>
        <w:r>
          <w:rPr>
            <w:webHidden/>
          </w:rPr>
          <w:fldChar w:fldCharType="begin"/>
        </w:r>
        <w:r>
          <w:rPr>
            <w:webHidden/>
          </w:rPr>
          <w:instrText xml:space="preserve"> PAGEREF _Toc81544556 \h </w:instrText>
        </w:r>
        <w:r>
          <w:rPr>
            <w:webHidden/>
          </w:rPr>
        </w:r>
        <w:r>
          <w:rPr>
            <w:webHidden/>
          </w:rPr>
          <w:fldChar w:fldCharType="separate"/>
        </w:r>
        <w:r>
          <w:rPr>
            <w:webHidden/>
          </w:rPr>
          <w:t>90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57" w:history="1">
        <w:r w:rsidRPr="00EE2B18">
          <w:rPr>
            <w:rStyle w:val="Hyperlink"/>
          </w:rPr>
          <w:t>5.4.2 Greater Hartford Central Connecticut Key Study Area</w:t>
        </w:r>
        <w:r>
          <w:rPr>
            <w:webHidden/>
          </w:rPr>
          <w:tab/>
        </w:r>
        <w:r>
          <w:rPr>
            <w:webHidden/>
          </w:rPr>
          <w:fldChar w:fldCharType="begin"/>
        </w:r>
        <w:r>
          <w:rPr>
            <w:webHidden/>
          </w:rPr>
          <w:instrText xml:space="preserve"> PAGEREF _Toc81544557 \h </w:instrText>
        </w:r>
        <w:r>
          <w:rPr>
            <w:webHidden/>
          </w:rPr>
        </w:r>
        <w:r>
          <w:rPr>
            <w:webHidden/>
          </w:rPr>
          <w:fldChar w:fldCharType="separate"/>
        </w:r>
        <w:r>
          <w:rPr>
            <w:webHidden/>
          </w:rPr>
          <w:t>91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58" w:history="1">
        <w:r w:rsidRPr="00EE2B18">
          <w:rPr>
            <w:rStyle w:val="Hyperlink"/>
          </w:rPr>
          <w:t>5.4.3 Western and Central Massachusetts Key Study Area</w:t>
        </w:r>
        <w:r>
          <w:rPr>
            <w:webHidden/>
          </w:rPr>
          <w:tab/>
        </w:r>
        <w:r>
          <w:rPr>
            <w:webHidden/>
          </w:rPr>
          <w:fldChar w:fldCharType="begin"/>
        </w:r>
        <w:r>
          <w:rPr>
            <w:webHidden/>
          </w:rPr>
          <w:instrText xml:space="preserve"> PAGEREF _Toc81544558 \h </w:instrText>
        </w:r>
        <w:r>
          <w:rPr>
            <w:webHidden/>
          </w:rPr>
        </w:r>
        <w:r>
          <w:rPr>
            <w:webHidden/>
          </w:rPr>
          <w:fldChar w:fldCharType="separate"/>
        </w:r>
        <w:r>
          <w:rPr>
            <w:webHidden/>
          </w:rPr>
          <w:t>91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59" w:history="1">
        <w:r w:rsidRPr="00EE2B18">
          <w:rPr>
            <w:rStyle w:val="Hyperlink"/>
          </w:rPr>
          <w:t>5.4.4 Greater Boston Key Study Area</w:t>
        </w:r>
        <w:r>
          <w:rPr>
            <w:webHidden/>
          </w:rPr>
          <w:tab/>
        </w:r>
        <w:r>
          <w:rPr>
            <w:webHidden/>
          </w:rPr>
          <w:fldChar w:fldCharType="begin"/>
        </w:r>
        <w:r>
          <w:rPr>
            <w:webHidden/>
          </w:rPr>
          <w:instrText xml:space="preserve"> PAGEREF _Toc81544559 \h </w:instrText>
        </w:r>
        <w:r>
          <w:rPr>
            <w:webHidden/>
          </w:rPr>
        </w:r>
        <w:r>
          <w:rPr>
            <w:webHidden/>
          </w:rPr>
          <w:fldChar w:fldCharType="separate"/>
        </w:r>
        <w:r>
          <w:rPr>
            <w:webHidden/>
          </w:rPr>
          <w:t>92</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0" w:history="1">
        <w:r w:rsidRPr="00EE2B18">
          <w:rPr>
            <w:rStyle w:val="Hyperlink"/>
          </w:rPr>
          <w:t>5.4.5 Southeastern Massachusetts and Rhode Island Key Study Area</w:t>
        </w:r>
        <w:r>
          <w:rPr>
            <w:webHidden/>
          </w:rPr>
          <w:tab/>
        </w:r>
        <w:r>
          <w:rPr>
            <w:webHidden/>
          </w:rPr>
          <w:fldChar w:fldCharType="begin"/>
        </w:r>
        <w:r>
          <w:rPr>
            <w:webHidden/>
          </w:rPr>
          <w:instrText xml:space="preserve"> PAGEREF _Toc81544560 \h </w:instrText>
        </w:r>
        <w:r>
          <w:rPr>
            <w:webHidden/>
          </w:rPr>
        </w:r>
        <w:r>
          <w:rPr>
            <w:webHidden/>
          </w:rPr>
          <w:fldChar w:fldCharType="separate"/>
        </w:r>
        <w:r>
          <w:rPr>
            <w:webHidden/>
          </w:rPr>
          <w:t>93</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1" w:history="1">
        <w:r w:rsidRPr="00EE2B18">
          <w:rPr>
            <w:rStyle w:val="Hyperlink"/>
          </w:rPr>
          <w:t>5.4.6 Maine Key Study Area</w:t>
        </w:r>
        <w:r>
          <w:rPr>
            <w:webHidden/>
          </w:rPr>
          <w:tab/>
        </w:r>
        <w:r>
          <w:rPr>
            <w:webHidden/>
          </w:rPr>
          <w:fldChar w:fldCharType="begin"/>
        </w:r>
        <w:r>
          <w:rPr>
            <w:webHidden/>
          </w:rPr>
          <w:instrText xml:space="preserve"> PAGEREF _Toc81544561 \h </w:instrText>
        </w:r>
        <w:r>
          <w:rPr>
            <w:webHidden/>
          </w:rPr>
        </w:r>
        <w:r>
          <w:rPr>
            <w:webHidden/>
          </w:rPr>
          <w:fldChar w:fldCharType="separate"/>
        </w:r>
        <w:r>
          <w:rPr>
            <w:webHidden/>
          </w:rPr>
          <w:t>95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2" w:history="1">
        <w:r w:rsidRPr="00EE2B18">
          <w:rPr>
            <w:rStyle w:val="Hyperlink"/>
            <w:rFonts w:eastAsia="Calibri"/>
          </w:rPr>
          <w:t>5.4.7</w:t>
        </w:r>
        <w:r w:rsidRPr="00EE2B18">
          <w:rPr>
            <w:rStyle w:val="Hyperlink"/>
          </w:rPr>
          <w:t xml:space="preserve"> New Hampshire and Vermont Key Study Area</w:t>
        </w:r>
        <w:r>
          <w:rPr>
            <w:webHidden/>
          </w:rPr>
          <w:tab/>
        </w:r>
        <w:r>
          <w:rPr>
            <w:webHidden/>
          </w:rPr>
          <w:fldChar w:fldCharType="begin"/>
        </w:r>
        <w:r>
          <w:rPr>
            <w:webHidden/>
          </w:rPr>
          <w:instrText xml:space="preserve"> PAGEREF _Toc81544562 \h </w:instrText>
        </w:r>
        <w:r>
          <w:rPr>
            <w:webHidden/>
          </w:rPr>
        </w:r>
        <w:r>
          <w:rPr>
            <w:webHidden/>
          </w:rPr>
          <w:fldChar w:fldCharType="separate"/>
        </w:r>
        <w:r>
          <w:rPr>
            <w:webHidden/>
          </w:rPr>
          <w:t>96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3" w:history="1">
        <w:r w:rsidRPr="00EE2B18">
          <w:rPr>
            <w:rStyle w:val="Hyperlink"/>
          </w:rPr>
          <w:t>5.4.8 Eastern Connecticut Key Study Area</w:t>
        </w:r>
        <w:r>
          <w:rPr>
            <w:webHidden/>
          </w:rPr>
          <w:tab/>
        </w:r>
        <w:r>
          <w:rPr>
            <w:webHidden/>
          </w:rPr>
          <w:fldChar w:fldCharType="begin"/>
        </w:r>
        <w:r>
          <w:rPr>
            <w:webHidden/>
          </w:rPr>
          <w:instrText xml:space="preserve"> PAGEREF _Toc81544563 \h </w:instrText>
        </w:r>
        <w:r>
          <w:rPr>
            <w:webHidden/>
          </w:rPr>
        </w:r>
        <w:r>
          <w:rPr>
            <w:webHidden/>
          </w:rPr>
          <w:fldChar w:fldCharType="separate"/>
        </w:r>
        <w:r>
          <w:rPr>
            <w:webHidden/>
          </w:rPr>
          <w:t>96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64" w:history="1">
        <w:r w:rsidRPr="00EE2B18">
          <w:rPr>
            <w:rStyle w:val="Hyperlink"/>
            <w:rFonts w:cs="Calibri"/>
          </w:rPr>
          <w:t>5.5</w:t>
        </w:r>
        <w:r w:rsidRPr="00EE2B18">
          <w:rPr>
            <w:rStyle w:val="Hyperlink"/>
          </w:rPr>
          <w:t xml:space="preserve"> Forward-Looking Transmission Planning Efforts</w:t>
        </w:r>
        <w:r>
          <w:rPr>
            <w:webHidden/>
          </w:rPr>
          <w:tab/>
        </w:r>
        <w:r>
          <w:rPr>
            <w:webHidden/>
          </w:rPr>
          <w:fldChar w:fldCharType="begin"/>
        </w:r>
        <w:r>
          <w:rPr>
            <w:webHidden/>
          </w:rPr>
          <w:instrText xml:space="preserve"> PAGEREF _Toc81544564 \h </w:instrText>
        </w:r>
        <w:r>
          <w:rPr>
            <w:webHidden/>
          </w:rPr>
        </w:r>
        <w:r>
          <w:rPr>
            <w:webHidden/>
          </w:rPr>
          <w:fldChar w:fldCharType="separate"/>
        </w:r>
        <w:r>
          <w:rPr>
            <w:webHidden/>
          </w:rPr>
          <w:t>97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5" w:history="1">
        <w:r w:rsidRPr="00EE2B18">
          <w:rPr>
            <w:rStyle w:val="Hyperlink"/>
          </w:rPr>
          <w:t>5.5.1 Transmission Planning for the Clean-Energy Transition</w:t>
        </w:r>
        <w:r>
          <w:rPr>
            <w:webHidden/>
          </w:rPr>
          <w:tab/>
        </w:r>
        <w:r>
          <w:rPr>
            <w:webHidden/>
          </w:rPr>
          <w:fldChar w:fldCharType="begin"/>
        </w:r>
        <w:r>
          <w:rPr>
            <w:webHidden/>
          </w:rPr>
          <w:instrText xml:space="preserve"> PAGEREF _Toc81544565 \h </w:instrText>
        </w:r>
        <w:r>
          <w:rPr>
            <w:webHidden/>
          </w:rPr>
        </w:r>
        <w:r>
          <w:rPr>
            <w:webHidden/>
          </w:rPr>
          <w:fldChar w:fldCharType="separate"/>
        </w:r>
        <w:r>
          <w:rPr>
            <w:webHidden/>
          </w:rPr>
          <w:t>97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66" w:history="1">
        <w:r w:rsidRPr="00EE2B18">
          <w:rPr>
            <w:rStyle w:val="Hyperlink"/>
          </w:rPr>
          <w:t>5.5.2 New England Energy Vision and 2050 Reliability Study</w:t>
        </w:r>
        <w:r>
          <w:rPr>
            <w:webHidden/>
          </w:rPr>
          <w:tab/>
        </w:r>
        <w:r>
          <w:rPr>
            <w:webHidden/>
          </w:rPr>
          <w:fldChar w:fldCharType="begin"/>
        </w:r>
        <w:r>
          <w:rPr>
            <w:webHidden/>
          </w:rPr>
          <w:instrText xml:space="preserve"> PAGEREF _Toc81544566 \h </w:instrText>
        </w:r>
        <w:r>
          <w:rPr>
            <w:webHidden/>
          </w:rPr>
        </w:r>
        <w:r>
          <w:rPr>
            <w:webHidden/>
          </w:rPr>
          <w:fldChar w:fldCharType="separate"/>
        </w:r>
        <w:r>
          <w:rPr>
            <w:webHidden/>
          </w:rPr>
          <w:t>99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67" w:history="1">
        <w:r w:rsidRPr="00EE2B18">
          <w:rPr>
            <w:rStyle w:val="Hyperlink"/>
            <w:rFonts w:cs="Calibri"/>
          </w:rPr>
          <w:t>5.6</w:t>
        </w:r>
        <w:r w:rsidRPr="00EE2B18">
          <w:rPr>
            <w:rStyle w:val="Hyperlink"/>
          </w:rPr>
          <w:t xml:space="preserve"> Forward-Looking Transmission Planning Solutions</w:t>
        </w:r>
        <w:r>
          <w:rPr>
            <w:webHidden/>
          </w:rPr>
          <w:tab/>
        </w:r>
        <w:r>
          <w:rPr>
            <w:webHidden/>
          </w:rPr>
          <w:fldChar w:fldCharType="begin"/>
        </w:r>
        <w:r>
          <w:rPr>
            <w:webHidden/>
          </w:rPr>
          <w:instrText xml:space="preserve"> PAGEREF _Toc81544567 \h </w:instrText>
        </w:r>
        <w:r>
          <w:rPr>
            <w:webHidden/>
          </w:rPr>
        </w:r>
        <w:r>
          <w:rPr>
            <w:webHidden/>
          </w:rPr>
          <w:fldChar w:fldCharType="separate"/>
        </w:r>
        <w:r>
          <w:rPr>
            <w:webHidden/>
          </w:rPr>
          <w:t>99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68" w:history="1">
        <w:r w:rsidRPr="00EE2B18">
          <w:rPr>
            <w:rStyle w:val="Hyperlink"/>
            <w:rFonts w:cs="Calibri"/>
          </w:rPr>
          <w:t>5.7</w:t>
        </w:r>
        <w:r w:rsidRPr="00EE2B18">
          <w:rPr>
            <w:rStyle w:val="Hyperlink"/>
          </w:rPr>
          <w:t xml:space="preserve"> General Need for Future Transmission</w:t>
        </w:r>
        <w:r>
          <w:rPr>
            <w:webHidden/>
          </w:rPr>
          <w:tab/>
        </w:r>
        <w:r>
          <w:rPr>
            <w:webHidden/>
          </w:rPr>
          <w:fldChar w:fldCharType="begin"/>
        </w:r>
        <w:r>
          <w:rPr>
            <w:webHidden/>
          </w:rPr>
          <w:instrText xml:space="preserve"> PAGEREF _Toc81544568 \h </w:instrText>
        </w:r>
        <w:r>
          <w:rPr>
            <w:webHidden/>
          </w:rPr>
        </w:r>
        <w:r>
          <w:rPr>
            <w:webHidden/>
          </w:rPr>
          <w:fldChar w:fldCharType="separate"/>
        </w:r>
        <w:r>
          <w:rPr>
            <w:webHidden/>
          </w:rPr>
          <w:t>99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69" w:history="1">
        <w:r w:rsidRPr="00EE2B18">
          <w:rPr>
            <w:rStyle w:val="Hyperlink"/>
            <w:rFonts w:cs="Calibri"/>
          </w:rPr>
          <w:t>5.8</w:t>
        </w:r>
        <w:r w:rsidRPr="00EE2B18">
          <w:rPr>
            <w:rStyle w:val="Hyperlink"/>
          </w:rPr>
          <w:t xml:space="preserve"> New England Asset Management</w:t>
        </w:r>
        <w:r>
          <w:rPr>
            <w:webHidden/>
          </w:rPr>
          <w:tab/>
        </w:r>
        <w:r>
          <w:rPr>
            <w:webHidden/>
          </w:rPr>
          <w:fldChar w:fldCharType="begin"/>
        </w:r>
        <w:r>
          <w:rPr>
            <w:webHidden/>
          </w:rPr>
          <w:instrText xml:space="preserve"> PAGEREF _Toc81544569 \h </w:instrText>
        </w:r>
        <w:r>
          <w:rPr>
            <w:webHidden/>
          </w:rPr>
        </w:r>
        <w:r>
          <w:rPr>
            <w:webHidden/>
          </w:rPr>
          <w:fldChar w:fldCharType="separate"/>
        </w:r>
        <w:r>
          <w:rPr>
            <w:webHidden/>
          </w:rPr>
          <w:t>100</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70" w:history="1">
        <w:r w:rsidRPr="00EE2B18">
          <w:rPr>
            <w:rStyle w:val="Hyperlink"/>
            <w:rFonts w:cs="Calibri"/>
          </w:rPr>
          <w:t>5.9</w:t>
        </w:r>
        <w:r w:rsidRPr="00EE2B18">
          <w:rPr>
            <w:rStyle w:val="Hyperlink"/>
          </w:rPr>
          <w:t xml:space="preserve"> Local System Plan</w:t>
        </w:r>
        <w:r>
          <w:rPr>
            <w:webHidden/>
          </w:rPr>
          <w:tab/>
        </w:r>
        <w:r>
          <w:rPr>
            <w:webHidden/>
          </w:rPr>
          <w:fldChar w:fldCharType="begin"/>
        </w:r>
        <w:r>
          <w:rPr>
            <w:webHidden/>
          </w:rPr>
          <w:instrText xml:space="preserve"> PAGEREF _Toc81544570 \h </w:instrText>
        </w:r>
        <w:r>
          <w:rPr>
            <w:webHidden/>
          </w:rPr>
        </w:r>
        <w:r>
          <w:rPr>
            <w:webHidden/>
          </w:rPr>
          <w:fldChar w:fldCharType="separate"/>
        </w:r>
        <w:r>
          <w:rPr>
            <w:webHidden/>
          </w:rPr>
          <w:t>100</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71" w:history="1">
        <w:r w:rsidRPr="00EE2B18">
          <w:rPr>
            <w:rStyle w:val="Hyperlink"/>
            <w:rFonts w:cs="Calibri"/>
          </w:rPr>
          <w:t>5.10</w:t>
        </w:r>
        <w:r w:rsidRPr="00EE2B18">
          <w:rPr>
            <w:rStyle w:val="Hyperlink"/>
          </w:rPr>
          <w:t xml:space="preserve"> RSP Project List and Projected Transmission Project Costs</w:t>
        </w:r>
        <w:r>
          <w:rPr>
            <w:webHidden/>
          </w:rPr>
          <w:tab/>
        </w:r>
        <w:r>
          <w:rPr>
            <w:webHidden/>
          </w:rPr>
          <w:fldChar w:fldCharType="begin"/>
        </w:r>
        <w:r>
          <w:rPr>
            <w:webHidden/>
          </w:rPr>
          <w:instrText xml:space="preserve"> PAGEREF _Toc81544571 \h </w:instrText>
        </w:r>
        <w:r>
          <w:rPr>
            <w:webHidden/>
          </w:rPr>
        </w:r>
        <w:r>
          <w:rPr>
            <w:webHidden/>
          </w:rPr>
          <w:fldChar w:fldCharType="separate"/>
        </w:r>
        <w:r>
          <w:rPr>
            <w:webHidden/>
          </w:rPr>
          <w:t>100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2" w:history="1">
        <w:r w:rsidRPr="00EE2B18">
          <w:rPr>
            <w:rStyle w:val="Hyperlink"/>
          </w:rPr>
          <w:t>5.10.1 Reliability Transmission Upgrades</w:t>
        </w:r>
        <w:r>
          <w:rPr>
            <w:webHidden/>
          </w:rPr>
          <w:tab/>
        </w:r>
        <w:r>
          <w:rPr>
            <w:webHidden/>
          </w:rPr>
          <w:fldChar w:fldCharType="begin"/>
        </w:r>
        <w:r>
          <w:rPr>
            <w:webHidden/>
          </w:rPr>
          <w:instrText xml:space="preserve"> PAGEREF _Toc81544572 \h </w:instrText>
        </w:r>
        <w:r>
          <w:rPr>
            <w:webHidden/>
          </w:rPr>
        </w:r>
        <w:r>
          <w:rPr>
            <w:webHidden/>
          </w:rPr>
          <w:fldChar w:fldCharType="separate"/>
        </w:r>
        <w:r>
          <w:rPr>
            <w:webHidden/>
          </w:rPr>
          <w:t>101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3" w:history="1">
        <w:r w:rsidRPr="00EE2B18">
          <w:rPr>
            <w:rStyle w:val="Hyperlink"/>
          </w:rPr>
          <w:t>5.10.2 Lack of Need for Market-Efficiency Related Transmission Upgrades</w:t>
        </w:r>
        <w:r>
          <w:rPr>
            <w:webHidden/>
          </w:rPr>
          <w:tab/>
        </w:r>
        <w:r>
          <w:rPr>
            <w:webHidden/>
          </w:rPr>
          <w:fldChar w:fldCharType="begin"/>
        </w:r>
        <w:r>
          <w:rPr>
            <w:webHidden/>
          </w:rPr>
          <w:instrText xml:space="preserve"> PAGEREF _Toc81544573 \h </w:instrText>
        </w:r>
        <w:r>
          <w:rPr>
            <w:webHidden/>
          </w:rPr>
        </w:r>
        <w:r>
          <w:rPr>
            <w:webHidden/>
          </w:rPr>
          <w:fldChar w:fldCharType="separate"/>
        </w:r>
        <w:r>
          <w:rPr>
            <w:webHidden/>
          </w:rPr>
          <w:t>104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4" w:history="1">
        <w:r w:rsidRPr="00EE2B18">
          <w:rPr>
            <w:rStyle w:val="Hyperlink"/>
          </w:rPr>
          <w:t>5.10.3 Transmission Congestion</w:t>
        </w:r>
        <w:r>
          <w:rPr>
            <w:webHidden/>
          </w:rPr>
          <w:tab/>
        </w:r>
        <w:r>
          <w:rPr>
            <w:webHidden/>
          </w:rPr>
          <w:fldChar w:fldCharType="begin"/>
        </w:r>
        <w:r>
          <w:rPr>
            <w:webHidden/>
          </w:rPr>
          <w:instrText xml:space="preserve"> PAGEREF _Toc81544574 \h </w:instrText>
        </w:r>
        <w:r>
          <w:rPr>
            <w:webHidden/>
          </w:rPr>
        </w:r>
        <w:r>
          <w:rPr>
            <w:webHidden/>
          </w:rPr>
          <w:fldChar w:fldCharType="separate"/>
        </w:r>
        <w:r>
          <w:rPr>
            <w:webHidden/>
          </w:rPr>
          <w:t>104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5" w:history="1">
        <w:r w:rsidRPr="00EE2B18">
          <w:rPr>
            <w:rStyle w:val="Hyperlink"/>
          </w:rPr>
          <w:t>5.10.4 Transmission Improvements to Load Pockets Addressing Reliability Issues</w:t>
        </w:r>
        <w:r>
          <w:rPr>
            <w:webHidden/>
          </w:rPr>
          <w:tab/>
        </w:r>
        <w:r>
          <w:rPr>
            <w:webHidden/>
          </w:rPr>
          <w:fldChar w:fldCharType="begin"/>
        </w:r>
        <w:r>
          <w:rPr>
            <w:webHidden/>
          </w:rPr>
          <w:instrText xml:space="preserve"> PAGEREF _Toc81544575 \h </w:instrText>
        </w:r>
        <w:r>
          <w:rPr>
            <w:webHidden/>
          </w:rPr>
        </w:r>
        <w:r>
          <w:rPr>
            <w:webHidden/>
          </w:rPr>
          <w:fldChar w:fldCharType="separate"/>
        </w:r>
        <w:r>
          <w:rPr>
            <w:webHidden/>
          </w:rPr>
          <w:t>106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6" w:history="1">
        <w:r w:rsidRPr="00EE2B18">
          <w:rPr>
            <w:rStyle w:val="Hyperlink"/>
          </w:rPr>
          <w:t>5.10.5 Required Generator-Interconnection-Related Upgrades</w:t>
        </w:r>
        <w:r>
          <w:rPr>
            <w:webHidden/>
          </w:rPr>
          <w:tab/>
        </w:r>
        <w:r>
          <w:rPr>
            <w:webHidden/>
          </w:rPr>
          <w:fldChar w:fldCharType="begin"/>
        </w:r>
        <w:r>
          <w:rPr>
            <w:webHidden/>
          </w:rPr>
          <w:instrText xml:space="preserve"> PAGEREF _Toc81544576 \h </w:instrText>
        </w:r>
        <w:r>
          <w:rPr>
            <w:webHidden/>
          </w:rPr>
        </w:r>
        <w:r>
          <w:rPr>
            <w:webHidden/>
          </w:rPr>
          <w:fldChar w:fldCharType="separate"/>
        </w:r>
        <w:r>
          <w:rPr>
            <w:webHidden/>
          </w:rPr>
          <w:t>107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77" w:history="1">
        <w:r w:rsidRPr="00EE2B18">
          <w:rPr>
            <w:rStyle w:val="Hyperlink"/>
          </w:rPr>
          <w:t>5.10.6 Elective Transmission Upgrades</w:t>
        </w:r>
        <w:r>
          <w:rPr>
            <w:webHidden/>
          </w:rPr>
          <w:tab/>
        </w:r>
        <w:r>
          <w:rPr>
            <w:webHidden/>
          </w:rPr>
          <w:fldChar w:fldCharType="begin"/>
        </w:r>
        <w:r>
          <w:rPr>
            <w:webHidden/>
          </w:rPr>
          <w:instrText xml:space="preserve"> PAGEREF _Toc81544577 \h </w:instrText>
        </w:r>
        <w:r>
          <w:rPr>
            <w:webHidden/>
          </w:rPr>
        </w:r>
        <w:r>
          <w:rPr>
            <w:webHidden/>
          </w:rPr>
          <w:fldChar w:fldCharType="separate"/>
        </w:r>
        <w:r>
          <w:rPr>
            <w:webHidden/>
          </w:rPr>
          <w:t>108</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78" w:history="1">
        <w:r w:rsidRPr="00EE2B18">
          <w:rPr>
            <w:rStyle w:val="Hyperlink"/>
            <w:rFonts w:cs="Calibri"/>
          </w:rPr>
          <w:t>5.11</w:t>
        </w:r>
        <w:r w:rsidRPr="00EE2B18">
          <w:rPr>
            <w:rStyle w:val="Hyperlink"/>
          </w:rPr>
          <w:t xml:space="preserve"> Summary</w:t>
        </w:r>
        <w:r>
          <w:rPr>
            <w:webHidden/>
          </w:rPr>
          <w:tab/>
        </w:r>
        <w:r>
          <w:rPr>
            <w:webHidden/>
          </w:rPr>
          <w:fldChar w:fldCharType="begin"/>
        </w:r>
        <w:r>
          <w:rPr>
            <w:webHidden/>
          </w:rPr>
          <w:instrText xml:space="preserve"> PAGEREF _Toc81544578 \h </w:instrText>
        </w:r>
        <w:r>
          <w:rPr>
            <w:webHidden/>
          </w:rPr>
        </w:r>
        <w:r>
          <w:rPr>
            <w:webHidden/>
          </w:rPr>
          <w:fldChar w:fldCharType="separate"/>
        </w:r>
        <w:r>
          <w:rPr>
            <w:webHidden/>
          </w:rPr>
          <w:t>108</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579" w:history="1">
        <w:r w:rsidRPr="00EE2B18">
          <w:rPr>
            <w:rStyle w:val="Hyperlink"/>
            <w:rFonts w:ascii="Arial" w:eastAsia="Times New Roman" w:hAnsi="Arial" w:cs="Times New Roman"/>
          </w:rPr>
          <w:t>Chapter 6:</w:t>
        </w:r>
        <w:r w:rsidRPr="00EE2B18">
          <w:rPr>
            <w:rStyle w:val="Hyperlink"/>
            <w:rFonts w:eastAsia="Times New Roman"/>
          </w:rPr>
          <w:t xml:space="preserve"> Environmental Regulations and Goals Affecting the Power System</w:t>
        </w:r>
        <w:r>
          <w:rPr>
            <w:webHidden/>
          </w:rPr>
          <w:tab/>
        </w:r>
        <w:r>
          <w:rPr>
            <w:webHidden/>
          </w:rPr>
          <w:fldChar w:fldCharType="begin"/>
        </w:r>
        <w:r>
          <w:rPr>
            <w:webHidden/>
          </w:rPr>
          <w:instrText xml:space="preserve"> PAGEREF _Toc81544579 \h </w:instrText>
        </w:r>
        <w:r>
          <w:rPr>
            <w:webHidden/>
          </w:rPr>
        </w:r>
        <w:r>
          <w:rPr>
            <w:webHidden/>
          </w:rPr>
          <w:fldChar w:fldCharType="separate"/>
        </w:r>
        <w:r>
          <w:rPr>
            <w:webHidden/>
          </w:rPr>
          <w:t>110</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80" w:history="1">
        <w:r w:rsidRPr="00EE2B18">
          <w:rPr>
            <w:rStyle w:val="Hyperlink"/>
            <w:rFonts w:cs="Calibri"/>
          </w:rPr>
          <w:t>6.1</w:t>
        </w:r>
        <w:r w:rsidRPr="00EE2B18">
          <w:rPr>
            <w:rStyle w:val="Hyperlink"/>
          </w:rPr>
          <w:t xml:space="preserve"> Federal Environmental Regulations Affecting Generators</w:t>
        </w:r>
        <w:r>
          <w:rPr>
            <w:webHidden/>
          </w:rPr>
          <w:tab/>
        </w:r>
        <w:r>
          <w:rPr>
            <w:webHidden/>
          </w:rPr>
          <w:fldChar w:fldCharType="begin"/>
        </w:r>
        <w:r>
          <w:rPr>
            <w:webHidden/>
          </w:rPr>
          <w:instrText xml:space="preserve"> PAGEREF _Toc81544580 \h </w:instrText>
        </w:r>
        <w:r>
          <w:rPr>
            <w:webHidden/>
          </w:rPr>
        </w:r>
        <w:r>
          <w:rPr>
            <w:webHidden/>
          </w:rPr>
          <w:fldChar w:fldCharType="separate"/>
        </w:r>
        <w:r>
          <w:rPr>
            <w:webHidden/>
          </w:rPr>
          <w:t>110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81" w:history="1">
        <w:r w:rsidRPr="00EE2B18">
          <w:rPr>
            <w:rStyle w:val="Hyperlink"/>
          </w:rPr>
          <w:t>6.1.1 Impact of US Clean Water Act Regulations on the Region’s Generators</w:t>
        </w:r>
        <w:r>
          <w:rPr>
            <w:webHidden/>
          </w:rPr>
          <w:tab/>
        </w:r>
        <w:r>
          <w:rPr>
            <w:webHidden/>
          </w:rPr>
          <w:fldChar w:fldCharType="begin"/>
        </w:r>
        <w:r>
          <w:rPr>
            <w:webHidden/>
          </w:rPr>
          <w:instrText xml:space="preserve"> PAGEREF _Toc81544581 \h </w:instrText>
        </w:r>
        <w:r>
          <w:rPr>
            <w:webHidden/>
          </w:rPr>
        </w:r>
        <w:r>
          <w:rPr>
            <w:webHidden/>
          </w:rPr>
          <w:fldChar w:fldCharType="separate"/>
        </w:r>
        <w:r>
          <w:rPr>
            <w:webHidden/>
          </w:rPr>
          <w:t>111</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82" w:history="1">
        <w:r w:rsidRPr="00EE2B18">
          <w:rPr>
            <w:rStyle w:val="Hyperlink"/>
          </w:rPr>
          <w:t xml:space="preserve">6.1.2 US </w:t>
        </w:r>
        <w:r w:rsidRPr="00EE2B18">
          <w:rPr>
            <w:rStyle w:val="Hyperlink"/>
            <w:i/>
          </w:rPr>
          <w:t>Clean Air Act</w:t>
        </w:r>
        <w:r w:rsidRPr="00EE2B18">
          <w:rPr>
            <w:rStyle w:val="Hyperlink"/>
          </w:rPr>
          <w:t xml:space="preserve"> Requirements and Federal Greenhouse Gas Regulations</w:t>
        </w:r>
        <w:r>
          <w:rPr>
            <w:webHidden/>
          </w:rPr>
          <w:tab/>
        </w:r>
        <w:r>
          <w:rPr>
            <w:webHidden/>
          </w:rPr>
          <w:fldChar w:fldCharType="begin"/>
        </w:r>
        <w:r>
          <w:rPr>
            <w:webHidden/>
          </w:rPr>
          <w:instrText xml:space="preserve"> PAGEREF _Toc81544582 \h </w:instrText>
        </w:r>
        <w:r>
          <w:rPr>
            <w:webHidden/>
          </w:rPr>
        </w:r>
        <w:r>
          <w:rPr>
            <w:webHidden/>
          </w:rPr>
          <w:fldChar w:fldCharType="separate"/>
        </w:r>
        <w:r>
          <w:rPr>
            <w:webHidden/>
          </w:rPr>
          <w:t>113</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83" w:history="1">
        <w:r w:rsidRPr="00EE2B18">
          <w:rPr>
            <w:rStyle w:val="Hyperlink"/>
            <w:rFonts w:cs="Calibri"/>
          </w:rPr>
          <w:t>6.2</w:t>
        </w:r>
        <w:r w:rsidRPr="00EE2B18">
          <w:rPr>
            <w:rStyle w:val="Hyperlink"/>
          </w:rPr>
          <w:t xml:space="preserve"> Regional and State Greenhouse Gas Regulations and Goals</w:t>
        </w:r>
        <w:r>
          <w:rPr>
            <w:webHidden/>
          </w:rPr>
          <w:tab/>
        </w:r>
        <w:r>
          <w:rPr>
            <w:webHidden/>
          </w:rPr>
          <w:fldChar w:fldCharType="begin"/>
        </w:r>
        <w:r>
          <w:rPr>
            <w:webHidden/>
          </w:rPr>
          <w:instrText xml:space="preserve"> PAGEREF _Toc81544583 \h </w:instrText>
        </w:r>
        <w:r>
          <w:rPr>
            <w:webHidden/>
          </w:rPr>
        </w:r>
        <w:r>
          <w:rPr>
            <w:webHidden/>
          </w:rPr>
          <w:fldChar w:fldCharType="separate"/>
        </w:r>
        <w:r>
          <w:rPr>
            <w:webHidden/>
          </w:rPr>
          <w:t>114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84" w:history="1">
        <w:r w:rsidRPr="00EE2B18">
          <w:rPr>
            <w:rStyle w:val="Hyperlink"/>
          </w:rPr>
          <w:t>6.2.1 Regional Greenhouse Gas Initiative</w:t>
        </w:r>
        <w:r>
          <w:rPr>
            <w:webHidden/>
          </w:rPr>
          <w:tab/>
        </w:r>
        <w:r>
          <w:rPr>
            <w:webHidden/>
          </w:rPr>
          <w:fldChar w:fldCharType="begin"/>
        </w:r>
        <w:r>
          <w:rPr>
            <w:webHidden/>
          </w:rPr>
          <w:instrText xml:space="preserve"> PAGEREF _Toc81544584 \h </w:instrText>
        </w:r>
        <w:r>
          <w:rPr>
            <w:webHidden/>
          </w:rPr>
        </w:r>
        <w:r>
          <w:rPr>
            <w:webHidden/>
          </w:rPr>
          <w:fldChar w:fldCharType="separate"/>
        </w:r>
        <w:r>
          <w:rPr>
            <w:webHidden/>
          </w:rPr>
          <w:t>115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85" w:history="1">
        <w:r w:rsidRPr="00EE2B18">
          <w:rPr>
            <w:rStyle w:val="Hyperlink"/>
          </w:rPr>
          <w:t>6.2.2 Electrification</w:t>
        </w:r>
        <w:r>
          <w:rPr>
            <w:webHidden/>
          </w:rPr>
          <w:tab/>
        </w:r>
        <w:r>
          <w:rPr>
            <w:webHidden/>
          </w:rPr>
          <w:fldChar w:fldCharType="begin"/>
        </w:r>
        <w:r>
          <w:rPr>
            <w:webHidden/>
          </w:rPr>
          <w:instrText xml:space="preserve"> PAGEREF _Toc81544585 \h </w:instrText>
        </w:r>
        <w:r>
          <w:rPr>
            <w:webHidden/>
          </w:rPr>
        </w:r>
        <w:r>
          <w:rPr>
            <w:webHidden/>
          </w:rPr>
          <w:fldChar w:fldCharType="separate"/>
        </w:r>
        <w:r>
          <w:rPr>
            <w:webHidden/>
          </w:rPr>
          <w:t>116</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86" w:history="1">
        <w:r w:rsidRPr="00EE2B18">
          <w:rPr>
            <w:rStyle w:val="Hyperlink"/>
            <w:rFonts w:cs="Calibri"/>
          </w:rPr>
          <w:t>6.3</w:t>
        </w:r>
        <w:r w:rsidRPr="00EE2B18">
          <w:rPr>
            <w:rStyle w:val="Hyperlink"/>
          </w:rPr>
          <w:t xml:space="preserve"> Environmental Impact of Regional COVID-19 Pandemic Responses on the Power System Performance</w:t>
        </w:r>
        <w:r>
          <w:rPr>
            <w:webHidden/>
          </w:rPr>
          <w:tab/>
        </w:r>
        <w:r>
          <w:rPr>
            <w:webHidden/>
          </w:rPr>
          <w:fldChar w:fldCharType="begin"/>
        </w:r>
        <w:r>
          <w:rPr>
            <w:webHidden/>
          </w:rPr>
          <w:instrText xml:space="preserve"> PAGEREF _Toc81544586 \h </w:instrText>
        </w:r>
        <w:r>
          <w:rPr>
            <w:webHidden/>
          </w:rPr>
        </w:r>
        <w:r>
          <w:rPr>
            <w:webHidden/>
          </w:rPr>
          <w:fldChar w:fldCharType="separate"/>
        </w:r>
        <w:r>
          <w:rPr>
            <w:webHidden/>
          </w:rPr>
          <w:t>117</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87" w:history="1">
        <w:r w:rsidRPr="00EE2B18">
          <w:rPr>
            <w:rStyle w:val="Hyperlink"/>
            <w:rFonts w:cs="Calibri"/>
          </w:rPr>
          <w:t>6.4</w:t>
        </w:r>
        <w:r w:rsidRPr="00EE2B18">
          <w:rPr>
            <w:rStyle w:val="Hyperlink"/>
          </w:rPr>
          <w:t xml:space="preserve"> Renewable Portfolio Standards</w:t>
        </w:r>
        <w:r>
          <w:rPr>
            <w:webHidden/>
          </w:rPr>
          <w:tab/>
        </w:r>
        <w:r>
          <w:rPr>
            <w:webHidden/>
          </w:rPr>
          <w:fldChar w:fldCharType="begin"/>
        </w:r>
        <w:r>
          <w:rPr>
            <w:webHidden/>
          </w:rPr>
          <w:instrText xml:space="preserve"> PAGEREF _Toc81544587 \h </w:instrText>
        </w:r>
        <w:r>
          <w:rPr>
            <w:webHidden/>
          </w:rPr>
        </w:r>
        <w:r>
          <w:rPr>
            <w:webHidden/>
          </w:rPr>
          <w:fldChar w:fldCharType="separate"/>
        </w:r>
        <w:r>
          <w:rPr>
            <w:webHidden/>
          </w:rPr>
          <w:t>118</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88" w:history="1">
        <w:r w:rsidRPr="00EE2B18">
          <w:rPr>
            <w:rStyle w:val="Hyperlink"/>
            <w:rFonts w:cs="Calibri"/>
          </w:rPr>
          <w:t>6.5</w:t>
        </w:r>
        <w:r w:rsidRPr="00EE2B18">
          <w:rPr>
            <w:rStyle w:val="Hyperlink"/>
          </w:rPr>
          <w:t xml:space="preserve"> Regional Emissions Trends and Compliance Costs</w:t>
        </w:r>
        <w:r>
          <w:rPr>
            <w:webHidden/>
          </w:rPr>
          <w:tab/>
        </w:r>
        <w:r>
          <w:rPr>
            <w:webHidden/>
          </w:rPr>
          <w:fldChar w:fldCharType="begin"/>
        </w:r>
        <w:r>
          <w:rPr>
            <w:webHidden/>
          </w:rPr>
          <w:instrText xml:space="preserve"> PAGEREF _Toc81544588 \h </w:instrText>
        </w:r>
        <w:r>
          <w:rPr>
            <w:webHidden/>
          </w:rPr>
        </w:r>
        <w:r>
          <w:rPr>
            <w:webHidden/>
          </w:rPr>
          <w:fldChar w:fldCharType="separate"/>
        </w:r>
        <w:r>
          <w:rPr>
            <w:webHidden/>
          </w:rPr>
          <w:t>120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89" w:history="1">
        <w:r w:rsidRPr="00EE2B18">
          <w:rPr>
            <w:rStyle w:val="Hyperlink"/>
          </w:rPr>
          <w:t>6.5.1 ISO Tracking of Emissions Trends</w:t>
        </w:r>
        <w:r>
          <w:rPr>
            <w:webHidden/>
          </w:rPr>
          <w:tab/>
        </w:r>
        <w:r>
          <w:rPr>
            <w:webHidden/>
          </w:rPr>
          <w:fldChar w:fldCharType="begin"/>
        </w:r>
        <w:r>
          <w:rPr>
            <w:webHidden/>
          </w:rPr>
          <w:instrText xml:space="preserve"> PAGEREF _Toc81544589 \h </w:instrText>
        </w:r>
        <w:r>
          <w:rPr>
            <w:webHidden/>
          </w:rPr>
        </w:r>
        <w:r>
          <w:rPr>
            <w:webHidden/>
          </w:rPr>
          <w:fldChar w:fldCharType="separate"/>
        </w:r>
        <w:r>
          <w:rPr>
            <w:webHidden/>
          </w:rPr>
          <w:t>120</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90" w:history="1">
        <w:r w:rsidRPr="00EE2B18">
          <w:rPr>
            <w:rStyle w:val="Hyperlink"/>
          </w:rPr>
          <w:t>6.5.2 Cost of Compliance with Environmental Regulations</w:t>
        </w:r>
        <w:r>
          <w:rPr>
            <w:webHidden/>
          </w:rPr>
          <w:tab/>
        </w:r>
        <w:r>
          <w:rPr>
            <w:webHidden/>
          </w:rPr>
          <w:fldChar w:fldCharType="begin"/>
        </w:r>
        <w:r>
          <w:rPr>
            <w:webHidden/>
          </w:rPr>
          <w:instrText xml:space="preserve"> PAGEREF _Toc81544590 \h </w:instrText>
        </w:r>
        <w:r>
          <w:rPr>
            <w:webHidden/>
          </w:rPr>
        </w:r>
        <w:r>
          <w:rPr>
            <w:webHidden/>
          </w:rPr>
          <w:fldChar w:fldCharType="separate"/>
        </w:r>
        <w:r>
          <w:rPr>
            <w:webHidden/>
          </w:rPr>
          <w:t>121</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91" w:history="1">
        <w:r w:rsidRPr="00EE2B18">
          <w:rPr>
            <w:rStyle w:val="Hyperlink"/>
            <w:rFonts w:cs="Calibri"/>
          </w:rPr>
          <w:t>6.6</w:t>
        </w:r>
        <w:r w:rsidRPr="00EE2B18">
          <w:rPr>
            <w:rStyle w:val="Hyperlink"/>
          </w:rPr>
          <w:t xml:space="preserve"> Conclusions</w:t>
        </w:r>
        <w:r>
          <w:rPr>
            <w:webHidden/>
          </w:rPr>
          <w:tab/>
        </w:r>
        <w:r>
          <w:rPr>
            <w:webHidden/>
          </w:rPr>
          <w:fldChar w:fldCharType="begin"/>
        </w:r>
        <w:r>
          <w:rPr>
            <w:webHidden/>
          </w:rPr>
          <w:instrText xml:space="preserve"> PAGEREF _Toc81544591 \h </w:instrText>
        </w:r>
        <w:r>
          <w:rPr>
            <w:webHidden/>
          </w:rPr>
        </w:r>
        <w:r>
          <w:rPr>
            <w:webHidden/>
          </w:rPr>
          <w:fldChar w:fldCharType="separate"/>
        </w:r>
        <w:r>
          <w:rPr>
            <w:webHidden/>
          </w:rPr>
          <w:t>123</w:t>
        </w:r>
        <w:r>
          <w:rPr>
            <w:webHidden/>
          </w:rPr>
          <w:fldChar w:fldCharType="end"/>
        </w:r>
      </w:hyperlink>
    </w:p>
    <w:p w:rsidR="005C5D9A" w:rsidRDefault="005C5D9A">
      <w:pPr>
        <w:pStyle w:val="TOC1"/>
        <w:rPr>
          <w:rFonts w:asciiTheme="minorHAnsi" w:eastAsiaTheme="minorEastAsia" w:hAnsiTheme="minorHAnsi" w:cstheme="minorBidi"/>
          <w:b w:val="0"/>
          <w:sz w:val="22"/>
          <w:szCs w:val="22"/>
          <w14:scene3d>
            <w14:camera w14:prst="orthographicFront"/>
            <w14:lightRig w14:rig="threePt" w14:dir="t">
              <w14:rot w14:lat="0" w14:lon="0" w14:rev="0"/>
            </w14:lightRig>
          </w14:scene3d>
        </w:rPr>
      </w:pPr>
      <w:hyperlink w:anchor="_Toc81544592" w:history="1">
        <w:r w:rsidRPr="00EE2B18">
          <w:rPr>
            <w:rStyle w:val="Hyperlink"/>
            <w:rFonts w:ascii="Arial" w:eastAsia="Times New Roman" w:hAnsi="Arial" w:cs="Times New Roman"/>
          </w:rPr>
          <w:t>Chapter 7:</w:t>
        </w:r>
        <w:r w:rsidRPr="00EE2B18">
          <w:rPr>
            <w:rStyle w:val="Hyperlink"/>
            <w:rFonts w:eastAsia="Times New Roman"/>
          </w:rPr>
          <w:t xml:space="preserve"> State and Federal Initiatives</w:t>
        </w:r>
        <w:r>
          <w:rPr>
            <w:webHidden/>
          </w:rPr>
          <w:tab/>
        </w:r>
        <w:r>
          <w:rPr>
            <w:webHidden/>
          </w:rPr>
          <w:fldChar w:fldCharType="begin"/>
        </w:r>
        <w:r>
          <w:rPr>
            <w:webHidden/>
          </w:rPr>
          <w:instrText xml:space="preserve"> PAGEREF _Toc81544592 \h </w:instrText>
        </w:r>
        <w:r>
          <w:rPr>
            <w:webHidden/>
          </w:rPr>
        </w:r>
        <w:r>
          <w:rPr>
            <w:webHidden/>
          </w:rPr>
          <w:fldChar w:fldCharType="separate"/>
        </w:r>
        <w:r>
          <w:rPr>
            <w:webHidden/>
          </w:rPr>
          <w:t>124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93" w:history="1">
        <w:r w:rsidRPr="00EE2B18">
          <w:rPr>
            <w:rStyle w:val="Hyperlink"/>
            <w:rFonts w:cs="Calibri"/>
          </w:rPr>
          <w:t>7.1</w:t>
        </w:r>
        <w:r w:rsidRPr="00EE2B18">
          <w:rPr>
            <w:rStyle w:val="Hyperlink"/>
          </w:rPr>
          <w:t xml:space="preserve"> Incorporating Federal Policy</w:t>
        </w:r>
        <w:r>
          <w:rPr>
            <w:webHidden/>
          </w:rPr>
          <w:tab/>
        </w:r>
        <w:r>
          <w:rPr>
            <w:webHidden/>
          </w:rPr>
          <w:fldChar w:fldCharType="begin"/>
        </w:r>
        <w:r>
          <w:rPr>
            <w:webHidden/>
          </w:rPr>
          <w:instrText xml:space="preserve"> PAGEREF _Toc81544593 \h </w:instrText>
        </w:r>
        <w:r>
          <w:rPr>
            <w:webHidden/>
          </w:rPr>
        </w:r>
        <w:r>
          <w:rPr>
            <w:webHidden/>
          </w:rPr>
          <w:fldChar w:fldCharType="separate"/>
        </w:r>
        <w:r>
          <w:rPr>
            <w:webHidden/>
          </w:rPr>
          <w:t>124</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94" w:history="1">
        <w:r w:rsidRPr="00EE2B18">
          <w:rPr>
            <w:rStyle w:val="Hyperlink"/>
            <w:rFonts w:cs="Calibri"/>
          </w:rPr>
          <w:t>7.2</w:t>
        </w:r>
        <w:r w:rsidRPr="00EE2B18">
          <w:rPr>
            <w:rStyle w:val="Hyperlink"/>
          </w:rPr>
          <w:t xml:space="preserve"> Coordination among the New England States</w:t>
        </w:r>
        <w:r>
          <w:rPr>
            <w:webHidden/>
          </w:rPr>
          <w:tab/>
        </w:r>
        <w:r>
          <w:rPr>
            <w:webHidden/>
          </w:rPr>
          <w:fldChar w:fldCharType="begin"/>
        </w:r>
        <w:r>
          <w:rPr>
            <w:webHidden/>
          </w:rPr>
          <w:instrText xml:space="preserve"> PAGEREF _Toc81544594 \h </w:instrText>
        </w:r>
        <w:r>
          <w:rPr>
            <w:webHidden/>
          </w:rPr>
        </w:r>
        <w:r>
          <w:rPr>
            <w:webHidden/>
          </w:rPr>
          <w:fldChar w:fldCharType="separate"/>
        </w:r>
        <w:r>
          <w:rPr>
            <w:webHidden/>
          </w:rPr>
          <w:t>124</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95" w:history="1">
        <w:r w:rsidRPr="00EE2B18">
          <w:rPr>
            <w:rStyle w:val="Hyperlink"/>
          </w:rPr>
          <w:t>7.2.1 New England States’ Renewable Energy Vision</w:t>
        </w:r>
        <w:r>
          <w:rPr>
            <w:webHidden/>
          </w:rPr>
          <w:tab/>
        </w:r>
        <w:r>
          <w:rPr>
            <w:webHidden/>
          </w:rPr>
          <w:fldChar w:fldCharType="begin"/>
        </w:r>
        <w:r>
          <w:rPr>
            <w:webHidden/>
          </w:rPr>
          <w:instrText xml:space="preserve"> PAGEREF _Toc81544595 \h </w:instrText>
        </w:r>
        <w:r>
          <w:rPr>
            <w:webHidden/>
          </w:rPr>
        </w:r>
        <w:r>
          <w:rPr>
            <w:webHidden/>
          </w:rPr>
          <w:fldChar w:fldCharType="separate"/>
        </w:r>
        <w:r>
          <w:rPr>
            <w:webHidden/>
          </w:rPr>
          <w:t>125</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96" w:history="1">
        <w:r w:rsidRPr="00EE2B18">
          <w:rPr>
            <w:rStyle w:val="Hyperlink"/>
          </w:rPr>
          <w:t>7.2.2 Consumer Liaison Group</w:t>
        </w:r>
        <w:r>
          <w:rPr>
            <w:webHidden/>
          </w:rPr>
          <w:tab/>
        </w:r>
        <w:r>
          <w:rPr>
            <w:webHidden/>
          </w:rPr>
          <w:fldChar w:fldCharType="begin"/>
        </w:r>
        <w:r>
          <w:rPr>
            <w:webHidden/>
          </w:rPr>
          <w:instrText xml:space="preserve"> PAGEREF _Toc81544596 \h </w:instrText>
        </w:r>
        <w:r>
          <w:rPr>
            <w:webHidden/>
          </w:rPr>
        </w:r>
        <w:r>
          <w:rPr>
            <w:webHidden/>
          </w:rPr>
          <w:fldChar w:fldCharType="separate"/>
        </w:r>
        <w:r>
          <w:rPr>
            <w:webHidden/>
          </w:rPr>
          <w:t>125</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597" w:history="1">
        <w:r w:rsidRPr="00EE2B18">
          <w:rPr>
            <w:rStyle w:val="Hyperlink"/>
            <w:rFonts w:cs="Calibri"/>
          </w:rPr>
          <w:t>7.3</w:t>
        </w:r>
        <w:r w:rsidRPr="00EE2B18">
          <w:rPr>
            <w:rStyle w:val="Hyperlink"/>
          </w:rPr>
          <w:t xml:space="preserve"> Individual State Initiatives, Activities, and Policies</w:t>
        </w:r>
        <w:r>
          <w:rPr>
            <w:webHidden/>
          </w:rPr>
          <w:tab/>
        </w:r>
        <w:r>
          <w:rPr>
            <w:webHidden/>
          </w:rPr>
          <w:fldChar w:fldCharType="begin"/>
        </w:r>
        <w:r>
          <w:rPr>
            <w:webHidden/>
          </w:rPr>
          <w:instrText xml:space="preserve"> PAGEREF _Toc81544597 \h </w:instrText>
        </w:r>
        <w:r>
          <w:rPr>
            <w:webHidden/>
          </w:rPr>
        </w:r>
        <w:r>
          <w:rPr>
            <w:webHidden/>
          </w:rPr>
          <w:fldChar w:fldCharType="separate"/>
        </w:r>
        <w:r>
          <w:rPr>
            <w:webHidden/>
          </w:rPr>
          <w:t>126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98" w:history="1">
        <w:r w:rsidRPr="00EE2B18">
          <w:rPr>
            <w:rStyle w:val="Hyperlink"/>
          </w:rPr>
          <w:t>7.3.1 Connecticut</w:t>
        </w:r>
        <w:r>
          <w:rPr>
            <w:webHidden/>
          </w:rPr>
          <w:tab/>
        </w:r>
        <w:r>
          <w:rPr>
            <w:webHidden/>
          </w:rPr>
          <w:fldChar w:fldCharType="begin"/>
        </w:r>
        <w:r>
          <w:rPr>
            <w:webHidden/>
          </w:rPr>
          <w:instrText xml:space="preserve"> PAGEREF _Toc81544598 \h </w:instrText>
        </w:r>
        <w:r>
          <w:rPr>
            <w:webHidden/>
          </w:rPr>
        </w:r>
        <w:r>
          <w:rPr>
            <w:webHidden/>
          </w:rPr>
          <w:fldChar w:fldCharType="separate"/>
        </w:r>
        <w:r>
          <w:rPr>
            <w:webHidden/>
          </w:rPr>
          <w:t>126</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599" w:history="1">
        <w:r w:rsidRPr="00EE2B18">
          <w:rPr>
            <w:rStyle w:val="Hyperlink"/>
          </w:rPr>
          <w:t>7.3.2 Maine</w:t>
        </w:r>
        <w:r>
          <w:rPr>
            <w:webHidden/>
          </w:rPr>
          <w:tab/>
        </w:r>
        <w:r>
          <w:rPr>
            <w:webHidden/>
          </w:rPr>
          <w:fldChar w:fldCharType="begin"/>
        </w:r>
        <w:r>
          <w:rPr>
            <w:webHidden/>
          </w:rPr>
          <w:instrText xml:space="preserve"> PAGEREF _Toc81544599 \h </w:instrText>
        </w:r>
        <w:r>
          <w:rPr>
            <w:webHidden/>
          </w:rPr>
        </w:r>
        <w:r>
          <w:rPr>
            <w:webHidden/>
          </w:rPr>
          <w:fldChar w:fldCharType="separate"/>
        </w:r>
        <w:r>
          <w:rPr>
            <w:webHidden/>
          </w:rPr>
          <w:t>127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600" w:history="1">
        <w:r w:rsidRPr="00EE2B18">
          <w:rPr>
            <w:rStyle w:val="Hyperlink"/>
          </w:rPr>
          <w:t>7.3.3 Massachusetts</w:t>
        </w:r>
        <w:r>
          <w:rPr>
            <w:webHidden/>
          </w:rPr>
          <w:tab/>
        </w:r>
        <w:r>
          <w:rPr>
            <w:webHidden/>
          </w:rPr>
          <w:fldChar w:fldCharType="begin"/>
        </w:r>
        <w:r>
          <w:rPr>
            <w:webHidden/>
          </w:rPr>
          <w:instrText xml:space="preserve"> PAGEREF _Toc81544600 \h </w:instrText>
        </w:r>
        <w:r>
          <w:rPr>
            <w:webHidden/>
          </w:rPr>
        </w:r>
        <w:r>
          <w:rPr>
            <w:webHidden/>
          </w:rPr>
          <w:fldChar w:fldCharType="separate"/>
        </w:r>
        <w:r>
          <w:rPr>
            <w:webHidden/>
          </w:rPr>
          <w:t>127</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601" w:history="1">
        <w:r w:rsidRPr="00EE2B18">
          <w:rPr>
            <w:rStyle w:val="Hyperlink"/>
          </w:rPr>
          <w:t>7.3.4 New Hampshire</w:t>
        </w:r>
        <w:r>
          <w:rPr>
            <w:webHidden/>
          </w:rPr>
          <w:tab/>
        </w:r>
        <w:r>
          <w:rPr>
            <w:webHidden/>
          </w:rPr>
          <w:fldChar w:fldCharType="begin"/>
        </w:r>
        <w:r>
          <w:rPr>
            <w:webHidden/>
          </w:rPr>
          <w:instrText xml:space="preserve"> PAGEREF _Toc81544601 \h </w:instrText>
        </w:r>
        <w:r>
          <w:rPr>
            <w:webHidden/>
          </w:rPr>
        </w:r>
        <w:r>
          <w:rPr>
            <w:webHidden/>
          </w:rPr>
          <w:fldChar w:fldCharType="separate"/>
        </w:r>
        <w:r>
          <w:rPr>
            <w:webHidden/>
          </w:rPr>
          <w:t>128</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602" w:history="1">
        <w:r w:rsidRPr="00EE2B18">
          <w:rPr>
            <w:rStyle w:val="Hyperlink"/>
          </w:rPr>
          <w:t>7.3.5 Rhode Island</w:t>
        </w:r>
        <w:r>
          <w:rPr>
            <w:webHidden/>
          </w:rPr>
          <w:tab/>
        </w:r>
        <w:r>
          <w:rPr>
            <w:webHidden/>
          </w:rPr>
          <w:fldChar w:fldCharType="begin"/>
        </w:r>
        <w:r>
          <w:rPr>
            <w:webHidden/>
          </w:rPr>
          <w:instrText xml:space="preserve"> PAGEREF _Toc81544602 \h </w:instrText>
        </w:r>
        <w:r>
          <w:rPr>
            <w:webHidden/>
          </w:rPr>
        </w:r>
        <w:r>
          <w:rPr>
            <w:webHidden/>
          </w:rPr>
          <w:fldChar w:fldCharType="separate"/>
        </w:r>
        <w:r>
          <w:rPr>
            <w:webHidden/>
          </w:rPr>
          <w:t>128</w:t>
        </w:r>
        <w:r>
          <w:rPr>
            <w:webHidden/>
          </w:rPr>
          <w:fldChar w:fldCharType="end"/>
        </w:r>
      </w:hyperlink>
    </w:p>
    <w:p w:rsidR="005C5D9A" w:rsidRDefault="005C5D9A">
      <w:pPr>
        <w:pStyle w:val="TOC3"/>
        <w:rPr>
          <w:rFonts w:asciiTheme="minorHAnsi" w:eastAsiaTheme="minorEastAsia" w:hAnsiTheme="minorHAnsi" w:cstheme="minorBidi"/>
          <w:sz w:val="22"/>
          <w:szCs w:val="22"/>
          <w14:scene3d>
            <w14:camera w14:prst="orthographicFront"/>
            <w14:lightRig w14:rig="threePt" w14:dir="t">
              <w14:rot w14:lat="0" w14:lon="0" w14:rev="0"/>
            </w14:lightRig>
          </w14:scene3d>
        </w:rPr>
      </w:pPr>
      <w:hyperlink w:anchor="_Toc81544603" w:history="1">
        <w:r w:rsidRPr="00EE2B18">
          <w:rPr>
            <w:rStyle w:val="Hyperlink"/>
          </w:rPr>
          <w:t>7.3.6 Vermont</w:t>
        </w:r>
        <w:r>
          <w:rPr>
            <w:webHidden/>
          </w:rPr>
          <w:tab/>
        </w:r>
        <w:r>
          <w:rPr>
            <w:webHidden/>
          </w:rPr>
          <w:fldChar w:fldCharType="begin"/>
        </w:r>
        <w:r>
          <w:rPr>
            <w:webHidden/>
          </w:rPr>
          <w:instrText xml:space="preserve"> PAGEREF _Toc81544603 \h </w:instrText>
        </w:r>
        <w:r>
          <w:rPr>
            <w:webHidden/>
          </w:rPr>
        </w:r>
        <w:r>
          <w:rPr>
            <w:webHidden/>
          </w:rPr>
          <w:fldChar w:fldCharType="separate"/>
        </w:r>
        <w:r>
          <w:rPr>
            <w:webHidden/>
          </w:rPr>
          <w:t>129</w:t>
        </w:r>
        <w:r>
          <w:rPr>
            <w:webHidden/>
          </w:rPr>
          <w:fldChar w:fldCharType="end"/>
        </w:r>
      </w:hyperlink>
    </w:p>
    <w:p w:rsidR="005C5D9A" w:rsidRDefault="005C5D9A">
      <w:pPr>
        <w:pStyle w:val="TOC2"/>
        <w:rPr>
          <w:rFonts w:asciiTheme="minorHAnsi" w:eastAsiaTheme="minorEastAsia" w:hAnsiTheme="minorHAnsi" w:cstheme="minorBidi"/>
          <w:bCs w:val="0"/>
          <w:iCs w:val="0"/>
          <w:sz w:val="22"/>
          <w:szCs w:val="22"/>
          <w14:scene3d>
            <w14:camera w14:prst="orthographicFront"/>
            <w14:lightRig w14:rig="threePt" w14:dir="t">
              <w14:rot w14:lat="0" w14:lon="0" w14:rev="0"/>
            </w14:lightRig>
          </w14:scene3d>
        </w:rPr>
      </w:pPr>
      <w:hyperlink w:anchor="_Toc81544604" w:history="1">
        <w:r w:rsidRPr="00EE2B18">
          <w:rPr>
            <w:rStyle w:val="Hyperlink"/>
            <w:rFonts w:cs="Calibri"/>
          </w:rPr>
          <w:t>7.4</w:t>
        </w:r>
        <w:r w:rsidRPr="00EE2B18">
          <w:rPr>
            <w:rStyle w:val="Hyperlink"/>
          </w:rPr>
          <w:t xml:space="preserve"> Summary of Initiatives</w:t>
        </w:r>
        <w:r>
          <w:rPr>
            <w:webHidden/>
          </w:rPr>
          <w:tab/>
        </w:r>
        <w:r>
          <w:rPr>
            <w:webHidden/>
          </w:rPr>
          <w:fldChar w:fldCharType="begin"/>
        </w:r>
        <w:r>
          <w:rPr>
            <w:webHidden/>
          </w:rPr>
          <w:instrText xml:space="preserve"> PAGEREF _Toc81544604 \h </w:instrText>
        </w:r>
        <w:r>
          <w:rPr>
            <w:webHidden/>
          </w:rPr>
        </w:r>
        <w:r>
          <w:rPr>
            <w:webHidden/>
          </w:rPr>
          <w:fldChar w:fldCharType="separate"/>
        </w:r>
        <w:r>
          <w:rPr>
            <w:webHidden/>
          </w:rPr>
          <w:t>129</w:t>
        </w:r>
        <w:r>
          <w:rPr>
            <w:webHidden/>
          </w:rPr>
          <w:fldChar w:fldCharType="end"/>
        </w:r>
      </w:hyperlink>
    </w:p>
    <w:p w:rsidR="00B471EE" w:rsidRDefault="00C1673A" w:rsidP="00C1673A">
      <w:pPr>
        <w:spacing w:after="200" w:line="276" w:lineRule="auto"/>
        <w:rPr>
          <w:rFonts w:asciiTheme="majorHAnsi" w:eastAsia="Times New Roman" w:hAnsiTheme="majorHAnsi"/>
          <w:bCs/>
        </w:rPr>
      </w:pPr>
      <w:r w:rsidRPr="005A4357">
        <w:rPr>
          <w:rFonts w:asciiTheme="majorHAnsi" w:eastAsia="Times New Roman" w:hAnsiTheme="majorHAnsi"/>
          <w:bCs/>
        </w:rPr>
        <w:fldChar w:fldCharType="end"/>
      </w:r>
    </w:p>
    <w:p w:rsidR="00B471EE" w:rsidRDefault="00B471EE">
      <w:pPr>
        <w:spacing w:after="200" w:line="276" w:lineRule="auto"/>
        <w:rPr>
          <w:rFonts w:asciiTheme="majorHAnsi" w:eastAsia="Times New Roman" w:hAnsiTheme="majorHAnsi"/>
          <w:bCs/>
        </w:rPr>
      </w:pPr>
      <w:r>
        <w:rPr>
          <w:rFonts w:asciiTheme="majorHAnsi" w:eastAsia="Times New Roman" w:hAnsiTheme="majorHAnsi"/>
          <w:bCs/>
        </w:rPr>
        <w:br w:type="page"/>
      </w:r>
    </w:p>
    <w:p w:rsidR="00B471EE" w:rsidRDefault="00B471EE" w:rsidP="00B471EE">
      <w:pPr>
        <w:pStyle w:val="Heading1"/>
        <w:numPr>
          <w:ilvl w:val="0"/>
          <w:numId w:val="0"/>
        </w:numPr>
      </w:pPr>
      <w:bookmarkStart w:id="29" w:name="_Toc12795131"/>
      <w:bookmarkStart w:id="30" w:name="_Toc81544485"/>
      <w:r w:rsidRPr="00312B9F">
        <w:t>Figures</w:t>
      </w:r>
      <w:bookmarkEnd w:id="29"/>
      <w:bookmarkEnd w:id="30"/>
    </w:p>
    <w:p w:rsidR="005C5D9A" w:rsidRDefault="00B471EE">
      <w:pPr>
        <w:pStyle w:val="TableofFigures"/>
        <w:tabs>
          <w:tab w:val="right" w:leader="dot" w:pos="9350"/>
        </w:tabs>
        <w:rPr>
          <w:rFonts w:asciiTheme="minorHAnsi" w:eastAsiaTheme="minorEastAsia" w:hAnsiTheme="minorHAnsi" w:cstheme="minorBidi"/>
          <w:noProof/>
          <w:sz w:val="22"/>
          <w:szCs w:val="22"/>
        </w:rPr>
      </w:pPr>
      <w:r w:rsidRPr="00441899">
        <w:rPr>
          <w:rFonts w:asciiTheme="minorHAnsi" w:hAnsiTheme="minorHAnsi" w:cs="Arial"/>
        </w:rPr>
        <w:fldChar w:fldCharType="begin"/>
      </w:r>
      <w:r w:rsidRPr="00441899">
        <w:rPr>
          <w:rFonts w:asciiTheme="minorHAnsi" w:hAnsiTheme="minorHAnsi" w:cs="Arial"/>
        </w:rPr>
        <w:instrText xml:space="preserve"> TOC \h \z \c "Figure" </w:instrText>
      </w:r>
      <w:r w:rsidRPr="00441899">
        <w:rPr>
          <w:rFonts w:asciiTheme="minorHAnsi" w:hAnsiTheme="minorHAnsi" w:cs="Arial"/>
        </w:rPr>
        <w:fldChar w:fldCharType="separate"/>
      </w:r>
      <w:hyperlink w:anchor="_Toc81544605" w:history="1">
        <w:r w:rsidR="005C5D9A" w:rsidRPr="001203BA">
          <w:rPr>
            <w:rStyle w:val="Hyperlink"/>
            <w:noProof/>
          </w:rPr>
          <w:t>Figure 1</w:t>
        </w:r>
        <w:r w:rsidR="005C5D9A" w:rsidRPr="001203BA">
          <w:rPr>
            <w:rStyle w:val="Hyperlink"/>
            <w:noProof/>
          </w:rPr>
          <w:noBreakHyphen/>
          <w:t>1: United States temperature comparisons – winter 2020-2021 to 1981-2010 averages</w:t>
        </w:r>
        <w:r w:rsidR="005C5D9A">
          <w:rPr>
            <w:noProof/>
            <w:webHidden/>
          </w:rPr>
          <w:tab/>
        </w:r>
        <w:r w:rsidR="005C5D9A">
          <w:rPr>
            <w:noProof/>
            <w:webHidden/>
          </w:rPr>
          <w:fldChar w:fldCharType="begin"/>
        </w:r>
        <w:r w:rsidR="005C5D9A">
          <w:rPr>
            <w:noProof/>
            <w:webHidden/>
          </w:rPr>
          <w:instrText xml:space="preserve"> PAGEREF _Toc81544605 \h </w:instrText>
        </w:r>
        <w:r w:rsidR="005C5D9A">
          <w:rPr>
            <w:noProof/>
            <w:webHidden/>
          </w:rPr>
        </w:r>
        <w:r w:rsidR="005C5D9A">
          <w:rPr>
            <w:noProof/>
            <w:webHidden/>
          </w:rPr>
          <w:fldChar w:fldCharType="separate"/>
        </w:r>
        <w:r w:rsidR="005C5D9A">
          <w:rPr>
            <w:noProof/>
            <w:webHidden/>
          </w:rPr>
          <w:t>17</w:t>
        </w:r>
        <w:r w:rsidR="005C5D9A">
          <w:rPr>
            <w:noProof/>
            <w:webHidden/>
          </w:rPr>
          <w:fldChar w:fldCharType="end"/>
        </w:r>
      </w:hyperlink>
    </w:p>
    <w:p w:rsidR="005C5D9A" w:rsidRP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06" w:history="1">
        <w:r w:rsidRPr="005C5D9A">
          <w:rPr>
            <w:rStyle w:val="Hyperlink"/>
            <w:bCs/>
            <w:noProof/>
          </w:rPr>
          <w:t>Figure 2</w:t>
        </w:r>
        <w:r w:rsidRPr="005C5D9A">
          <w:rPr>
            <w:rStyle w:val="Hyperlink"/>
            <w:bCs/>
            <w:noProof/>
          </w:rPr>
          <w:noBreakHyphen/>
          <w:t>1: ISO New England system planning process</w:t>
        </w:r>
        <w:r w:rsidRPr="005C5D9A">
          <w:rPr>
            <w:noProof/>
            <w:webHidden/>
          </w:rPr>
          <w:tab/>
        </w:r>
        <w:r w:rsidRPr="005C5D9A">
          <w:rPr>
            <w:noProof/>
            <w:webHidden/>
          </w:rPr>
          <w:fldChar w:fldCharType="begin"/>
        </w:r>
        <w:r w:rsidRPr="005C5D9A">
          <w:rPr>
            <w:noProof/>
            <w:webHidden/>
          </w:rPr>
          <w:instrText xml:space="preserve"> PAGEREF _Toc81544606 \h </w:instrText>
        </w:r>
        <w:r w:rsidRPr="005C5D9A">
          <w:rPr>
            <w:noProof/>
            <w:webHidden/>
          </w:rPr>
        </w:r>
        <w:r w:rsidRPr="005C5D9A">
          <w:rPr>
            <w:noProof/>
            <w:webHidden/>
          </w:rPr>
          <w:fldChar w:fldCharType="separate"/>
        </w:r>
        <w:r w:rsidRPr="005C5D9A">
          <w:rPr>
            <w:noProof/>
            <w:webHidden/>
          </w:rPr>
          <w:t>32</w:t>
        </w:r>
        <w:r w:rsidRPr="005C5D9A">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07" w:history="1">
        <w:r w:rsidRPr="001203BA">
          <w:rPr>
            <w:rStyle w:val="Hyperlink"/>
            <w:noProof/>
          </w:rPr>
          <w:t>Figure 4</w:t>
        </w:r>
        <w:r w:rsidRPr="001203BA">
          <w:rPr>
            <w:rStyle w:val="Hyperlink"/>
            <w:noProof/>
          </w:rPr>
          <w:noBreakHyphen/>
          <w:t>1</w:t>
        </w:r>
        <w:r w:rsidRPr="001203BA">
          <w:rPr>
            <w:rStyle w:val="Hyperlink"/>
            <w:rFonts w:eastAsia="Calibri"/>
            <w:noProof/>
          </w:rPr>
          <w:t>: Capacity of generation interconnection requests by Load Zone, November 1997 to April 2021 (MW)</w:t>
        </w:r>
        <w:r>
          <w:rPr>
            <w:noProof/>
            <w:webHidden/>
          </w:rPr>
          <w:tab/>
        </w:r>
        <w:r>
          <w:rPr>
            <w:noProof/>
            <w:webHidden/>
          </w:rPr>
          <w:fldChar w:fldCharType="begin"/>
        </w:r>
        <w:r>
          <w:rPr>
            <w:noProof/>
            <w:webHidden/>
          </w:rPr>
          <w:instrText xml:space="preserve"> PAGEREF _Toc81544607 \h </w:instrText>
        </w:r>
        <w:r>
          <w:rPr>
            <w:noProof/>
            <w:webHidden/>
          </w:rPr>
        </w:r>
        <w:r>
          <w:rPr>
            <w:noProof/>
            <w:webHidden/>
          </w:rPr>
          <w:fldChar w:fldCharType="separate"/>
        </w:r>
        <w:r>
          <w:rPr>
            <w:noProof/>
            <w:webHidden/>
          </w:rPr>
          <w:t>69</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08" w:history="1">
        <w:r w:rsidRPr="001203BA">
          <w:rPr>
            <w:rStyle w:val="Hyperlink"/>
            <w:noProof/>
          </w:rPr>
          <w:t>Figure 4</w:t>
        </w:r>
        <w:r w:rsidRPr="001203BA">
          <w:rPr>
            <w:rStyle w:val="Hyperlink"/>
            <w:noProof/>
          </w:rPr>
          <w:noBreakHyphen/>
          <w:t>2</w:t>
        </w:r>
        <w:r w:rsidRPr="001203BA">
          <w:rPr>
            <w:rStyle w:val="Hyperlink"/>
            <w:rFonts w:eastAsia="Calibri"/>
            <w:noProof/>
          </w:rPr>
          <w:t>: Resources active in the ISO interconnection request queue by state and fuel type, as of April 1, 2021 (MW and %)</w:t>
        </w:r>
        <w:r>
          <w:rPr>
            <w:noProof/>
            <w:webHidden/>
          </w:rPr>
          <w:tab/>
        </w:r>
        <w:r>
          <w:rPr>
            <w:noProof/>
            <w:webHidden/>
          </w:rPr>
          <w:fldChar w:fldCharType="begin"/>
        </w:r>
        <w:r>
          <w:rPr>
            <w:noProof/>
            <w:webHidden/>
          </w:rPr>
          <w:instrText xml:space="preserve"> PAGEREF _Toc81544608 \h </w:instrText>
        </w:r>
        <w:r>
          <w:rPr>
            <w:noProof/>
            <w:webHidden/>
          </w:rPr>
        </w:r>
        <w:r>
          <w:rPr>
            <w:noProof/>
            <w:webHidden/>
          </w:rPr>
          <w:fldChar w:fldCharType="separate"/>
        </w:r>
        <w:r>
          <w:rPr>
            <w:noProof/>
            <w:webHidden/>
          </w:rPr>
          <w:t>70</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09" w:history="1">
        <w:r w:rsidRPr="001203BA">
          <w:rPr>
            <w:rStyle w:val="Hyperlink"/>
            <w:noProof/>
          </w:rPr>
          <w:t>Figure 4</w:t>
        </w:r>
        <w:r w:rsidRPr="001203BA">
          <w:rPr>
            <w:rStyle w:val="Hyperlink"/>
            <w:noProof/>
          </w:rPr>
          <w:noBreakHyphen/>
          <w:t>3</w:t>
        </w:r>
        <w:r w:rsidRPr="001203BA">
          <w:rPr>
            <w:rStyle w:val="Hyperlink"/>
            <w:rFonts w:eastAsia="Calibri"/>
            <w:noProof/>
          </w:rPr>
          <w:t>: Resources active in the ISO interconnection request queue, by Load Zone and fuel type, as of April 1, 2021 (MW)</w:t>
        </w:r>
        <w:r>
          <w:rPr>
            <w:noProof/>
            <w:webHidden/>
          </w:rPr>
          <w:tab/>
        </w:r>
        <w:r>
          <w:rPr>
            <w:noProof/>
            <w:webHidden/>
          </w:rPr>
          <w:fldChar w:fldCharType="begin"/>
        </w:r>
        <w:r>
          <w:rPr>
            <w:noProof/>
            <w:webHidden/>
          </w:rPr>
          <w:instrText xml:space="preserve"> PAGEREF _Toc81544609 \h </w:instrText>
        </w:r>
        <w:r>
          <w:rPr>
            <w:noProof/>
            <w:webHidden/>
          </w:rPr>
        </w:r>
        <w:r>
          <w:rPr>
            <w:noProof/>
            <w:webHidden/>
          </w:rPr>
          <w:fldChar w:fldCharType="separate"/>
        </w:r>
        <w:r>
          <w:rPr>
            <w:noProof/>
            <w:webHidden/>
          </w:rPr>
          <w:t>71</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0" w:history="1">
        <w:r w:rsidRPr="001203BA">
          <w:rPr>
            <w:rStyle w:val="Hyperlink"/>
            <w:noProof/>
          </w:rPr>
          <w:t>Figure 4</w:t>
        </w:r>
        <w:r w:rsidRPr="001203BA">
          <w:rPr>
            <w:rStyle w:val="Hyperlink"/>
            <w:noProof/>
          </w:rPr>
          <w:noBreakHyphen/>
          <w:t xml:space="preserve">4: </w:t>
        </w:r>
        <w:r w:rsidRPr="001203BA">
          <w:rPr>
            <w:rStyle w:val="Hyperlink"/>
            <w:rFonts w:eastAsia="Calibri" w:cs="Calibri"/>
            <w:noProof/>
          </w:rPr>
          <w:t>Energy efficiency and renewable resources are trending up</w:t>
        </w:r>
        <w:r>
          <w:rPr>
            <w:noProof/>
            <w:webHidden/>
          </w:rPr>
          <w:tab/>
        </w:r>
        <w:r>
          <w:rPr>
            <w:noProof/>
            <w:webHidden/>
          </w:rPr>
          <w:fldChar w:fldCharType="begin"/>
        </w:r>
        <w:r>
          <w:rPr>
            <w:noProof/>
            <w:webHidden/>
          </w:rPr>
          <w:instrText xml:space="preserve"> PAGEREF _Toc81544610 \h </w:instrText>
        </w:r>
        <w:r>
          <w:rPr>
            <w:noProof/>
            <w:webHidden/>
          </w:rPr>
        </w:r>
        <w:r>
          <w:rPr>
            <w:noProof/>
            <w:webHidden/>
          </w:rPr>
          <w:fldChar w:fldCharType="separate"/>
        </w:r>
        <w:r>
          <w:rPr>
            <w:noProof/>
            <w:webHidden/>
          </w:rPr>
          <w:t>74</w:t>
        </w:r>
        <w:r>
          <w:rPr>
            <w:noProof/>
            <w:webHidden/>
          </w:rPr>
          <w:fldChar w:fldCharType="end"/>
        </w:r>
      </w:hyperlink>
    </w:p>
    <w:p w:rsidR="005C5D9A" w:rsidRP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1" w:history="1">
        <w:r w:rsidRPr="005C5D9A">
          <w:rPr>
            <w:rStyle w:val="Hyperlink"/>
            <w:rFonts w:eastAsia="Calibri"/>
            <w:bCs/>
            <w:noProof/>
          </w:rPr>
          <w:t>Figure 5</w:t>
        </w:r>
        <w:r w:rsidRPr="005C5D9A">
          <w:rPr>
            <w:rStyle w:val="Hyperlink"/>
            <w:rFonts w:eastAsia="Calibri"/>
            <w:bCs/>
            <w:noProof/>
          </w:rPr>
          <w:noBreakHyphen/>
          <w:t>1: Key study areas in New England</w:t>
        </w:r>
        <w:r w:rsidRPr="005C5D9A">
          <w:rPr>
            <w:noProof/>
            <w:webHidden/>
          </w:rPr>
          <w:tab/>
        </w:r>
        <w:r w:rsidRPr="005C5D9A">
          <w:rPr>
            <w:noProof/>
            <w:webHidden/>
          </w:rPr>
          <w:fldChar w:fldCharType="begin"/>
        </w:r>
        <w:r w:rsidRPr="005C5D9A">
          <w:rPr>
            <w:noProof/>
            <w:webHidden/>
          </w:rPr>
          <w:instrText xml:space="preserve"> PAGEREF _Toc81544611 \h </w:instrText>
        </w:r>
        <w:r w:rsidRPr="005C5D9A">
          <w:rPr>
            <w:noProof/>
            <w:webHidden/>
          </w:rPr>
        </w:r>
        <w:r w:rsidRPr="005C5D9A">
          <w:rPr>
            <w:noProof/>
            <w:webHidden/>
          </w:rPr>
          <w:fldChar w:fldCharType="separate"/>
        </w:r>
        <w:r w:rsidRPr="005C5D9A">
          <w:rPr>
            <w:noProof/>
            <w:webHidden/>
          </w:rPr>
          <w:t>90</w:t>
        </w:r>
        <w:r w:rsidRPr="005C5D9A">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2" w:history="1">
        <w:r w:rsidRPr="001203BA">
          <w:rPr>
            <w:rStyle w:val="Hyperlink"/>
            <w:noProof/>
          </w:rPr>
          <w:t>Figure 5</w:t>
        </w:r>
        <w:r w:rsidRPr="001203BA">
          <w:rPr>
            <w:rStyle w:val="Hyperlink"/>
            <w:noProof/>
          </w:rPr>
          <w:noBreakHyphen/>
          <w:t>2</w:t>
        </w:r>
        <w:r w:rsidRPr="001203BA">
          <w:rPr>
            <w:rStyle w:val="Hyperlink"/>
            <w:rFonts w:eastAsia="Calibri"/>
            <w:noProof/>
          </w:rPr>
          <w:t>:  Transmission investment by year that projects are in-service (capital costs)</w:t>
        </w:r>
        <w:r>
          <w:rPr>
            <w:noProof/>
            <w:webHidden/>
          </w:rPr>
          <w:tab/>
        </w:r>
        <w:r>
          <w:rPr>
            <w:noProof/>
            <w:webHidden/>
          </w:rPr>
          <w:fldChar w:fldCharType="begin"/>
        </w:r>
        <w:r>
          <w:rPr>
            <w:noProof/>
            <w:webHidden/>
          </w:rPr>
          <w:instrText xml:space="preserve"> PAGEREF _Toc81544612 \h </w:instrText>
        </w:r>
        <w:r>
          <w:rPr>
            <w:noProof/>
            <w:webHidden/>
          </w:rPr>
        </w:r>
        <w:r>
          <w:rPr>
            <w:noProof/>
            <w:webHidden/>
          </w:rPr>
          <w:fldChar w:fldCharType="separate"/>
        </w:r>
        <w:r>
          <w:rPr>
            <w:noProof/>
            <w:webHidden/>
          </w:rPr>
          <w:t>102</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3" w:history="1">
        <w:r w:rsidRPr="001203BA">
          <w:rPr>
            <w:rStyle w:val="Hyperlink"/>
            <w:noProof/>
          </w:rPr>
          <w:t>Figure 6</w:t>
        </w:r>
        <w:r w:rsidRPr="001203BA">
          <w:rPr>
            <w:rStyle w:val="Hyperlink"/>
            <w:noProof/>
          </w:rPr>
          <w:noBreakHyphen/>
          <w:t>1</w:t>
        </w:r>
        <w:r w:rsidRPr="001203BA">
          <w:rPr>
            <w:rStyle w:val="Hyperlink"/>
            <w:rFonts w:eastAsia="Calibri"/>
            <w:noProof/>
          </w:rPr>
          <w:t>: Estimated water use for native power generation in New England, 2019-2020 (billion gallons)</w:t>
        </w:r>
        <w:r>
          <w:rPr>
            <w:noProof/>
            <w:webHidden/>
          </w:rPr>
          <w:tab/>
        </w:r>
        <w:r>
          <w:rPr>
            <w:noProof/>
            <w:webHidden/>
          </w:rPr>
          <w:fldChar w:fldCharType="begin"/>
        </w:r>
        <w:r>
          <w:rPr>
            <w:noProof/>
            <w:webHidden/>
          </w:rPr>
          <w:instrText xml:space="preserve"> PAGEREF _Toc81544613 \h </w:instrText>
        </w:r>
        <w:r>
          <w:rPr>
            <w:noProof/>
            <w:webHidden/>
          </w:rPr>
        </w:r>
        <w:r>
          <w:rPr>
            <w:noProof/>
            <w:webHidden/>
          </w:rPr>
          <w:fldChar w:fldCharType="separate"/>
        </w:r>
        <w:r>
          <w:rPr>
            <w:noProof/>
            <w:webHidden/>
          </w:rPr>
          <w:t>112</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4" w:history="1">
        <w:r w:rsidRPr="001203BA">
          <w:rPr>
            <w:rStyle w:val="Hyperlink"/>
            <w:noProof/>
          </w:rPr>
          <w:t>Figure 6</w:t>
        </w:r>
        <w:r w:rsidRPr="001203BA">
          <w:rPr>
            <w:rStyle w:val="Hyperlink"/>
            <w:noProof/>
          </w:rPr>
          <w:noBreakHyphen/>
          <w:t>2</w:t>
        </w:r>
        <w:r w:rsidRPr="001203BA">
          <w:rPr>
            <w:rStyle w:val="Hyperlink"/>
            <w:rFonts w:eastAsia="Calibri"/>
            <w:noProof/>
          </w:rPr>
          <w:t>: New England state goals for reducing in GHG emissions (percentage reduction in GHGs in 2020, 2030 and 2050)</w:t>
        </w:r>
        <w:r>
          <w:rPr>
            <w:noProof/>
            <w:webHidden/>
          </w:rPr>
          <w:tab/>
        </w:r>
        <w:r>
          <w:rPr>
            <w:noProof/>
            <w:webHidden/>
          </w:rPr>
          <w:fldChar w:fldCharType="begin"/>
        </w:r>
        <w:r>
          <w:rPr>
            <w:noProof/>
            <w:webHidden/>
          </w:rPr>
          <w:instrText xml:space="preserve"> PAGEREF _Toc81544614 \h </w:instrText>
        </w:r>
        <w:r>
          <w:rPr>
            <w:noProof/>
            <w:webHidden/>
          </w:rPr>
        </w:r>
        <w:r>
          <w:rPr>
            <w:noProof/>
            <w:webHidden/>
          </w:rPr>
          <w:fldChar w:fldCharType="separate"/>
        </w:r>
        <w:r>
          <w:rPr>
            <w:noProof/>
            <w:webHidden/>
          </w:rPr>
          <w:t>114</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5" w:history="1">
        <w:r w:rsidRPr="001203BA">
          <w:rPr>
            <w:rStyle w:val="Hyperlink"/>
            <w:noProof/>
          </w:rPr>
          <w:t>Figure 6</w:t>
        </w:r>
        <w:r w:rsidRPr="001203BA">
          <w:rPr>
            <w:rStyle w:val="Hyperlink"/>
            <w:noProof/>
          </w:rPr>
          <w:noBreakHyphen/>
          <w:t>3</w:t>
        </w:r>
        <w:r w:rsidRPr="001203BA">
          <w:rPr>
            <w:rStyle w:val="Hyperlink"/>
            <w:rFonts w:eastAsia="Calibri"/>
            <w:noProof/>
          </w:rPr>
          <w:t>: RGGI CO</w:t>
        </w:r>
        <w:r w:rsidRPr="001203BA">
          <w:rPr>
            <w:rStyle w:val="Hyperlink"/>
            <w:rFonts w:eastAsia="Calibri"/>
            <w:noProof/>
            <w:vertAlign w:val="subscript"/>
          </w:rPr>
          <w:t>2</w:t>
        </w:r>
        <w:r w:rsidRPr="001203BA">
          <w:rPr>
            <w:rStyle w:val="Hyperlink"/>
            <w:rFonts w:eastAsia="Calibri"/>
            <w:noProof/>
          </w:rPr>
          <w:t xml:space="preserve"> emissions and aggregate annual state caps (million short tons)</w:t>
        </w:r>
        <w:r>
          <w:rPr>
            <w:noProof/>
            <w:webHidden/>
          </w:rPr>
          <w:tab/>
        </w:r>
        <w:r>
          <w:rPr>
            <w:noProof/>
            <w:webHidden/>
          </w:rPr>
          <w:fldChar w:fldCharType="begin"/>
        </w:r>
        <w:r>
          <w:rPr>
            <w:noProof/>
            <w:webHidden/>
          </w:rPr>
          <w:instrText xml:space="preserve"> PAGEREF _Toc81544615 \h </w:instrText>
        </w:r>
        <w:r>
          <w:rPr>
            <w:noProof/>
            <w:webHidden/>
          </w:rPr>
        </w:r>
        <w:r>
          <w:rPr>
            <w:noProof/>
            <w:webHidden/>
          </w:rPr>
          <w:fldChar w:fldCharType="separate"/>
        </w:r>
        <w:r>
          <w:rPr>
            <w:noProof/>
            <w:webHidden/>
          </w:rPr>
          <w:t>116</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6" w:history="1">
        <w:r w:rsidRPr="001203BA">
          <w:rPr>
            <w:rStyle w:val="Hyperlink"/>
            <w:noProof/>
          </w:rPr>
          <w:t>Figure 6</w:t>
        </w:r>
        <w:r w:rsidRPr="001203BA">
          <w:rPr>
            <w:rStyle w:val="Hyperlink"/>
            <w:noProof/>
          </w:rPr>
          <w:noBreakHyphen/>
          <w:t>4:</w:t>
        </w:r>
        <w:r w:rsidRPr="001203BA">
          <w:rPr>
            <w:rStyle w:val="Hyperlink"/>
            <w:rFonts w:eastAsia="Calibri"/>
            <w:noProof/>
          </w:rPr>
          <w:t xml:space="preserve"> Estimated decline in daily CO</w:t>
        </w:r>
        <w:r w:rsidRPr="001203BA">
          <w:rPr>
            <w:rStyle w:val="Hyperlink"/>
            <w:rFonts w:eastAsia="Calibri"/>
            <w:noProof/>
            <w:vertAlign w:val="subscript"/>
          </w:rPr>
          <w:t>2</w:t>
        </w:r>
        <w:r w:rsidRPr="001203BA">
          <w:rPr>
            <w:rStyle w:val="Hyperlink"/>
            <w:rFonts w:eastAsia="Calibri"/>
            <w:noProof/>
          </w:rPr>
          <w:t xml:space="preserve"> emissions and cumulative reduction in fossil CO</w:t>
        </w:r>
        <w:r w:rsidRPr="001203BA">
          <w:rPr>
            <w:rStyle w:val="Hyperlink"/>
            <w:rFonts w:eastAsia="Calibri"/>
            <w:noProof/>
            <w:vertAlign w:val="subscript"/>
          </w:rPr>
          <w:t>2</w:t>
        </w:r>
        <w:r w:rsidRPr="001203BA">
          <w:rPr>
            <w:rStyle w:val="Hyperlink"/>
            <w:rFonts w:eastAsia="Calibri"/>
            <w:noProof/>
          </w:rPr>
          <w:t xml:space="preserve"> emissions in Connecticut (million metric tons (MMT))</w:t>
        </w:r>
        <w:r>
          <w:rPr>
            <w:noProof/>
            <w:webHidden/>
          </w:rPr>
          <w:tab/>
        </w:r>
        <w:r>
          <w:rPr>
            <w:noProof/>
            <w:webHidden/>
          </w:rPr>
          <w:fldChar w:fldCharType="begin"/>
        </w:r>
        <w:r>
          <w:rPr>
            <w:noProof/>
            <w:webHidden/>
          </w:rPr>
          <w:instrText xml:space="preserve"> PAGEREF _Toc81544616 \h </w:instrText>
        </w:r>
        <w:r>
          <w:rPr>
            <w:noProof/>
            <w:webHidden/>
          </w:rPr>
        </w:r>
        <w:r>
          <w:rPr>
            <w:noProof/>
            <w:webHidden/>
          </w:rPr>
          <w:fldChar w:fldCharType="separate"/>
        </w:r>
        <w:r>
          <w:rPr>
            <w:noProof/>
            <w:webHidden/>
          </w:rPr>
          <w:t>117</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7" w:history="1">
        <w:r w:rsidRPr="001203BA">
          <w:rPr>
            <w:rStyle w:val="Hyperlink"/>
            <w:noProof/>
          </w:rPr>
          <w:t>Figure 6</w:t>
        </w:r>
        <w:r w:rsidRPr="001203BA">
          <w:rPr>
            <w:rStyle w:val="Hyperlink"/>
            <w:noProof/>
          </w:rPr>
          <w:noBreakHyphen/>
          <w:t>5</w:t>
        </w:r>
        <w:r w:rsidRPr="001203BA">
          <w:rPr>
            <w:rStyle w:val="Hyperlink"/>
            <w:rFonts w:eastAsia="Calibri"/>
            <w:noProof/>
          </w:rPr>
          <w:t>: Estimated decline in daily CO</w:t>
        </w:r>
        <w:r w:rsidRPr="001203BA">
          <w:rPr>
            <w:rStyle w:val="Hyperlink"/>
            <w:rFonts w:eastAsia="Calibri"/>
            <w:noProof/>
            <w:vertAlign w:val="subscript"/>
          </w:rPr>
          <w:t>2</w:t>
        </w:r>
        <w:r w:rsidRPr="001203BA">
          <w:rPr>
            <w:rStyle w:val="Hyperlink"/>
            <w:rFonts w:eastAsia="Calibri"/>
            <w:noProof/>
          </w:rPr>
          <w:t xml:space="preserve"> emissions and cumulative reduction in fossil CO</w:t>
        </w:r>
        <w:r w:rsidRPr="001203BA">
          <w:rPr>
            <w:rStyle w:val="Hyperlink"/>
            <w:rFonts w:eastAsia="Calibri"/>
            <w:noProof/>
            <w:vertAlign w:val="subscript"/>
          </w:rPr>
          <w:t>2</w:t>
        </w:r>
        <w:r w:rsidRPr="001203BA">
          <w:rPr>
            <w:rStyle w:val="Hyperlink"/>
            <w:rFonts w:eastAsia="Calibri"/>
            <w:noProof/>
          </w:rPr>
          <w:t xml:space="preserve"> emissions in Massachusetts (MMT)</w:t>
        </w:r>
        <w:r>
          <w:rPr>
            <w:noProof/>
            <w:webHidden/>
          </w:rPr>
          <w:tab/>
        </w:r>
        <w:r>
          <w:rPr>
            <w:noProof/>
            <w:webHidden/>
          </w:rPr>
          <w:fldChar w:fldCharType="begin"/>
        </w:r>
        <w:r>
          <w:rPr>
            <w:noProof/>
            <w:webHidden/>
          </w:rPr>
          <w:instrText xml:space="preserve"> PAGEREF _Toc81544617 \h </w:instrText>
        </w:r>
        <w:r>
          <w:rPr>
            <w:noProof/>
            <w:webHidden/>
          </w:rPr>
        </w:r>
        <w:r>
          <w:rPr>
            <w:noProof/>
            <w:webHidden/>
          </w:rPr>
          <w:fldChar w:fldCharType="separate"/>
        </w:r>
        <w:r>
          <w:rPr>
            <w:noProof/>
            <w:webHidden/>
          </w:rPr>
          <w:t>118</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8" w:history="1">
        <w:r w:rsidRPr="001203BA">
          <w:rPr>
            <w:rStyle w:val="Hyperlink"/>
            <w:noProof/>
          </w:rPr>
          <w:t>Figure 6</w:t>
        </w:r>
        <w:r w:rsidRPr="001203BA">
          <w:rPr>
            <w:rStyle w:val="Hyperlink"/>
            <w:noProof/>
          </w:rPr>
          <w:noBreakHyphen/>
          <w:t>6</w:t>
        </w:r>
        <w:r w:rsidRPr="001203BA">
          <w:rPr>
            <w:rStyle w:val="Hyperlink"/>
            <w:rFonts w:eastAsia="Calibri"/>
            <w:noProof/>
          </w:rPr>
          <w:t>: New England RPSs annual demand projections (GWh)</w:t>
        </w:r>
        <w:r>
          <w:rPr>
            <w:noProof/>
            <w:webHidden/>
          </w:rPr>
          <w:tab/>
        </w:r>
        <w:r>
          <w:rPr>
            <w:noProof/>
            <w:webHidden/>
          </w:rPr>
          <w:fldChar w:fldCharType="begin"/>
        </w:r>
        <w:r>
          <w:rPr>
            <w:noProof/>
            <w:webHidden/>
          </w:rPr>
          <w:instrText xml:space="preserve"> PAGEREF _Toc81544618 \h </w:instrText>
        </w:r>
        <w:r>
          <w:rPr>
            <w:noProof/>
            <w:webHidden/>
          </w:rPr>
        </w:r>
        <w:r>
          <w:rPr>
            <w:noProof/>
            <w:webHidden/>
          </w:rPr>
          <w:fldChar w:fldCharType="separate"/>
        </w:r>
        <w:r>
          <w:rPr>
            <w:noProof/>
            <w:webHidden/>
          </w:rPr>
          <w:t>119</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19" w:history="1">
        <w:r w:rsidRPr="001203BA">
          <w:rPr>
            <w:rStyle w:val="Hyperlink"/>
            <w:noProof/>
          </w:rPr>
          <w:t>Figure 6</w:t>
        </w:r>
        <w:r w:rsidRPr="001203BA">
          <w:rPr>
            <w:rStyle w:val="Hyperlink"/>
            <w:noProof/>
          </w:rPr>
          <w:noBreakHyphen/>
          <w:t>7</w:t>
        </w:r>
        <w:r w:rsidRPr="001203BA">
          <w:rPr>
            <w:rStyle w:val="Hyperlink"/>
            <w:rFonts w:eastAsia="Calibri"/>
            <w:noProof/>
          </w:rPr>
          <w:t>: State RPS for Class I or new renewable energy, 2020 to 2040</w:t>
        </w:r>
        <w:r>
          <w:rPr>
            <w:noProof/>
            <w:webHidden/>
          </w:rPr>
          <w:tab/>
        </w:r>
        <w:r>
          <w:rPr>
            <w:noProof/>
            <w:webHidden/>
          </w:rPr>
          <w:fldChar w:fldCharType="begin"/>
        </w:r>
        <w:r>
          <w:rPr>
            <w:noProof/>
            <w:webHidden/>
          </w:rPr>
          <w:instrText xml:space="preserve"> PAGEREF _Toc81544619 \h </w:instrText>
        </w:r>
        <w:r>
          <w:rPr>
            <w:noProof/>
            <w:webHidden/>
          </w:rPr>
        </w:r>
        <w:r>
          <w:rPr>
            <w:noProof/>
            <w:webHidden/>
          </w:rPr>
          <w:fldChar w:fldCharType="separate"/>
        </w:r>
        <w:r>
          <w:rPr>
            <w:noProof/>
            <w:webHidden/>
          </w:rPr>
          <w:t>120</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0" w:history="1">
        <w:r w:rsidRPr="001203BA">
          <w:rPr>
            <w:rStyle w:val="Hyperlink"/>
            <w:noProof/>
          </w:rPr>
          <w:t>Figure 6</w:t>
        </w:r>
        <w:r w:rsidRPr="001203BA">
          <w:rPr>
            <w:rStyle w:val="Hyperlink"/>
            <w:noProof/>
          </w:rPr>
          <w:noBreakHyphen/>
          <w:t>8</w:t>
        </w:r>
        <w:r w:rsidRPr="001203BA">
          <w:rPr>
            <w:rStyle w:val="Hyperlink"/>
            <w:rFonts w:eastAsia="Calibri"/>
            <w:noProof/>
          </w:rPr>
          <w:t>: New England system annual emissions of NO</w:t>
        </w:r>
        <w:r w:rsidRPr="001203BA">
          <w:rPr>
            <w:rStyle w:val="Hyperlink"/>
            <w:rFonts w:eastAsia="Calibri"/>
            <w:noProof/>
            <w:vertAlign w:val="subscript"/>
          </w:rPr>
          <w:t>X</w:t>
        </w:r>
        <w:r w:rsidRPr="001203BA">
          <w:rPr>
            <w:rStyle w:val="Hyperlink"/>
            <w:rFonts w:eastAsia="Calibri"/>
            <w:noProof/>
          </w:rPr>
          <w:t>, SO</w:t>
        </w:r>
        <w:r w:rsidRPr="001203BA">
          <w:rPr>
            <w:rStyle w:val="Hyperlink"/>
            <w:rFonts w:eastAsia="Calibri"/>
            <w:noProof/>
            <w:vertAlign w:val="subscript"/>
          </w:rPr>
          <w:t>2</w:t>
        </w:r>
        <w:r w:rsidRPr="001203BA">
          <w:rPr>
            <w:rStyle w:val="Hyperlink"/>
            <w:rFonts w:eastAsia="Calibri"/>
            <w:noProof/>
          </w:rPr>
          <w:t>, and CO</w:t>
        </w:r>
        <w:r w:rsidRPr="001203BA">
          <w:rPr>
            <w:rStyle w:val="Hyperlink"/>
            <w:rFonts w:eastAsia="Calibri"/>
            <w:noProof/>
            <w:vertAlign w:val="subscript"/>
          </w:rPr>
          <w:t>2</w:t>
        </w:r>
        <w:r w:rsidRPr="001203BA">
          <w:rPr>
            <w:rStyle w:val="Hyperlink"/>
            <w:rFonts w:eastAsia="Calibri"/>
            <w:noProof/>
          </w:rPr>
          <w:t>, 2010 to 2019 (thousand short tons)</w:t>
        </w:r>
        <w:r>
          <w:rPr>
            <w:noProof/>
            <w:webHidden/>
          </w:rPr>
          <w:tab/>
        </w:r>
        <w:r>
          <w:rPr>
            <w:noProof/>
            <w:webHidden/>
          </w:rPr>
          <w:fldChar w:fldCharType="begin"/>
        </w:r>
        <w:r>
          <w:rPr>
            <w:noProof/>
            <w:webHidden/>
          </w:rPr>
          <w:instrText xml:space="preserve"> PAGEREF _Toc81544620 \h </w:instrText>
        </w:r>
        <w:r>
          <w:rPr>
            <w:noProof/>
            <w:webHidden/>
          </w:rPr>
        </w:r>
        <w:r>
          <w:rPr>
            <w:noProof/>
            <w:webHidden/>
          </w:rPr>
          <w:fldChar w:fldCharType="separate"/>
        </w:r>
        <w:r>
          <w:rPr>
            <w:noProof/>
            <w:webHidden/>
          </w:rPr>
          <w:t>121</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1" w:history="1">
        <w:r w:rsidRPr="001203BA">
          <w:rPr>
            <w:rStyle w:val="Hyperlink"/>
            <w:noProof/>
          </w:rPr>
          <w:t>Figure 6</w:t>
        </w:r>
        <w:r w:rsidRPr="001203BA">
          <w:rPr>
            <w:rStyle w:val="Hyperlink"/>
            <w:noProof/>
          </w:rPr>
          <w:noBreakHyphen/>
          <w:t>9</w:t>
        </w:r>
        <w:r w:rsidRPr="001203BA">
          <w:rPr>
            <w:rStyle w:val="Hyperlink"/>
            <w:rFonts w:eastAsia="Calibri"/>
            <w:noProof/>
          </w:rPr>
          <w:t>: Contribution of CO</w:t>
        </w:r>
        <w:r w:rsidRPr="001203BA">
          <w:rPr>
            <w:rStyle w:val="Hyperlink"/>
            <w:rFonts w:eastAsia="Calibri"/>
            <w:noProof/>
            <w:vertAlign w:val="subscript"/>
          </w:rPr>
          <w:t>2</w:t>
        </w:r>
        <w:r w:rsidRPr="001203BA">
          <w:rPr>
            <w:rStyle w:val="Hyperlink"/>
            <w:rFonts w:eastAsia="Calibri"/>
            <w:noProof/>
          </w:rPr>
          <w:t xml:space="preserve"> allowance costs to energy production costs, 2018 to 2021 ($/MWh)</w:t>
        </w:r>
        <w:r>
          <w:rPr>
            <w:noProof/>
            <w:webHidden/>
          </w:rPr>
          <w:tab/>
        </w:r>
        <w:r>
          <w:rPr>
            <w:noProof/>
            <w:webHidden/>
          </w:rPr>
          <w:fldChar w:fldCharType="begin"/>
        </w:r>
        <w:r>
          <w:rPr>
            <w:noProof/>
            <w:webHidden/>
          </w:rPr>
          <w:instrText xml:space="preserve"> PAGEREF _Toc81544621 \h </w:instrText>
        </w:r>
        <w:r>
          <w:rPr>
            <w:noProof/>
            <w:webHidden/>
          </w:rPr>
        </w:r>
        <w:r>
          <w:rPr>
            <w:noProof/>
            <w:webHidden/>
          </w:rPr>
          <w:fldChar w:fldCharType="separate"/>
        </w:r>
        <w:r>
          <w:rPr>
            <w:noProof/>
            <w:webHidden/>
          </w:rPr>
          <w:t>122</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2" w:history="1">
        <w:r w:rsidRPr="001203BA">
          <w:rPr>
            <w:rStyle w:val="Hyperlink"/>
            <w:noProof/>
          </w:rPr>
          <w:t>Figure 7</w:t>
        </w:r>
        <w:r w:rsidRPr="001203BA">
          <w:rPr>
            <w:rStyle w:val="Hyperlink"/>
            <w:noProof/>
          </w:rPr>
          <w:noBreakHyphen/>
          <w:t>1</w:t>
        </w:r>
        <w:r w:rsidRPr="001203BA">
          <w:rPr>
            <w:rStyle w:val="Hyperlink"/>
            <w:rFonts w:eastAsia="Calibri" w:cstheme="minorHAnsi"/>
            <w:noProof/>
          </w:rPr>
          <w:t>: Annual average retail price of electricity for residential customers in each New England state (cents/kWh)</w:t>
        </w:r>
        <w:r>
          <w:rPr>
            <w:noProof/>
            <w:webHidden/>
          </w:rPr>
          <w:tab/>
        </w:r>
        <w:r>
          <w:rPr>
            <w:noProof/>
            <w:webHidden/>
          </w:rPr>
          <w:fldChar w:fldCharType="begin"/>
        </w:r>
        <w:r>
          <w:rPr>
            <w:noProof/>
            <w:webHidden/>
          </w:rPr>
          <w:instrText xml:space="preserve"> PAGEREF _Toc81544622 \h </w:instrText>
        </w:r>
        <w:r>
          <w:rPr>
            <w:noProof/>
            <w:webHidden/>
          </w:rPr>
        </w:r>
        <w:r>
          <w:rPr>
            <w:noProof/>
            <w:webHidden/>
          </w:rPr>
          <w:fldChar w:fldCharType="separate"/>
        </w:r>
        <w:r>
          <w:rPr>
            <w:noProof/>
            <w:webHidden/>
          </w:rPr>
          <w:t>126</w:t>
        </w:r>
        <w:r>
          <w:rPr>
            <w:noProof/>
            <w:webHidden/>
          </w:rPr>
          <w:fldChar w:fldCharType="end"/>
        </w:r>
      </w:hyperlink>
    </w:p>
    <w:p w:rsidR="00B471EE" w:rsidRDefault="00B471EE" w:rsidP="00B471EE">
      <w:pPr>
        <w:spacing w:after="200" w:line="276" w:lineRule="auto"/>
        <w:rPr>
          <w:rFonts w:asciiTheme="minorHAnsi" w:hAnsiTheme="minorHAnsi" w:cs="Arial"/>
        </w:rPr>
      </w:pPr>
      <w:r w:rsidRPr="00441899">
        <w:rPr>
          <w:rFonts w:asciiTheme="minorHAnsi" w:hAnsiTheme="minorHAnsi" w:cs="Arial"/>
        </w:rPr>
        <w:fldChar w:fldCharType="end"/>
      </w:r>
    </w:p>
    <w:p w:rsidR="00B471EE" w:rsidRDefault="00B471EE">
      <w:pPr>
        <w:spacing w:after="200" w:line="276" w:lineRule="auto"/>
        <w:rPr>
          <w:rFonts w:asciiTheme="minorHAnsi" w:hAnsiTheme="minorHAnsi" w:cs="Arial"/>
        </w:rPr>
      </w:pPr>
      <w:r>
        <w:rPr>
          <w:rFonts w:asciiTheme="minorHAnsi" w:hAnsiTheme="minorHAnsi" w:cs="Arial"/>
        </w:rPr>
        <w:br w:type="page"/>
      </w:r>
    </w:p>
    <w:p w:rsidR="00B471EE" w:rsidRPr="00330F0D" w:rsidRDefault="00B471EE" w:rsidP="00B471EE">
      <w:pPr>
        <w:pStyle w:val="Heading1"/>
        <w:numPr>
          <w:ilvl w:val="0"/>
          <w:numId w:val="0"/>
        </w:numPr>
        <w:spacing w:line="240" w:lineRule="auto"/>
        <w:ind w:left="1080" w:hanging="1080"/>
      </w:pPr>
      <w:bookmarkStart w:id="31" w:name="_Toc12795132"/>
      <w:bookmarkStart w:id="32" w:name="_Toc81544486"/>
      <w:r w:rsidRPr="00CF2B8B">
        <w:t>Tables</w:t>
      </w:r>
      <w:bookmarkEnd w:id="31"/>
      <w:bookmarkEnd w:id="32"/>
    </w:p>
    <w:p w:rsidR="005C5D9A" w:rsidRPr="005C5D9A" w:rsidRDefault="00B471EE">
      <w:pPr>
        <w:pStyle w:val="TableofFigures"/>
        <w:tabs>
          <w:tab w:val="right" w:leader="dot" w:pos="9350"/>
        </w:tabs>
        <w:rPr>
          <w:rFonts w:asciiTheme="minorHAnsi" w:eastAsiaTheme="minorEastAsia" w:hAnsiTheme="minorHAnsi" w:cstheme="minorBidi"/>
          <w:noProof/>
          <w:sz w:val="22"/>
          <w:szCs w:val="22"/>
        </w:rPr>
      </w:pPr>
      <w:r w:rsidRPr="00A85176">
        <w:rPr>
          <w:rFonts w:asciiTheme="minorHAnsi" w:hAnsiTheme="minorHAnsi" w:cs="Arial"/>
        </w:rPr>
        <w:fldChar w:fldCharType="begin"/>
      </w:r>
      <w:r w:rsidRPr="00A85176">
        <w:rPr>
          <w:rFonts w:asciiTheme="minorHAnsi" w:hAnsiTheme="minorHAnsi" w:cs="Arial"/>
        </w:rPr>
        <w:instrText xml:space="preserve"> TOC \h \z \c "Table" </w:instrText>
      </w:r>
      <w:r w:rsidRPr="00A85176">
        <w:rPr>
          <w:rFonts w:asciiTheme="minorHAnsi" w:hAnsiTheme="minorHAnsi" w:cs="Arial"/>
        </w:rPr>
        <w:fldChar w:fldCharType="separate"/>
      </w:r>
      <w:hyperlink w:anchor="_Toc81544623" w:history="1">
        <w:r w:rsidR="005C5D9A" w:rsidRPr="005C5D9A">
          <w:rPr>
            <w:rStyle w:val="Hyperlink"/>
            <w:noProof/>
          </w:rPr>
          <w:t>Table 3</w:t>
        </w:r>
        <w:r w:rsidR="005C5D9A" w:rsidRPr="005C5D9A">
          <w:rPr>
            <w:rStyle w:val="Hyperlink"/>
            <w:noProof/>
          </w:rPr>
          <w:noBreakHyphen/>
          <w:t>1</w:t>
        </w:r>
        <w:r w:rsidR="005C5D9A" w:rsidRPr="005C5D9A">
          <w:rPr>
            <w:rStyle w:val="Hyperlink"/>
            <w:bCs/>
            <w:noProof/>
          </w:rPr>
          <w:t xml:space="preserve"> </w:t>
        </w:r>
        <w:r w:rsidR="005C5D9A" w:rsidRPr="005C5D9A">
          <w:rPr>
            <w:rStyle w:val="Hyperlink"/>
            <w:noProof/>
          </w:rPr>
          <w:t>Summary of Annual Gross Electric Energy Use and Gross Peak Demand Forecast for New England and the States, 2021/2022 and 2030/2031</w:t>
        </w:r>
        <w:r w:rsidR="005C5D9A" w:rsidRPr="005C5D9A">
          <w:rPr>
            <w:noProof/>
            <w:webHidden/>
          </w:rPr>
          <w:tab/>
        </w:r>
        <w:r w:rsidR="005C5D9A" w:rsidRPr="005C5D9A">
          <w:rPr>
            <w:noProof/>
            <w:webHidden/>
          </w:rPr>
          <w:fldChar w:fldCharType="begin"/>
        </w:r>
        <w:r w:rsidR="005C5D9A" w:rsidRPr="005C5D9A">
          <w:rPr>
            <w:noProof/>
            <w:webHidden/>
          </w:rPr>
          <w:instrText xml:space="preserve"> PAGEREF _Toc81544623 \h </w:instrText>
        </w:r>
        <w:r w:rsidR="005C5D9A" w:rsidRPr="005C5D9A">
          <w:rPr>
            <w:noProof/>
            <w:webHidden/>
          </w:rPr>
        </w:r>
        <w:r w:rsidR="005C5D9A" w:rsidRPr="005C5D9A">
          <w:rPr>
            <w:noProof/>
            <w:webHidden/>
          </w:rPr>
          <w:fldChar w:fldCharType="separate"/>
        </w:r>
        <w:r w:rsidR="005C5D9A" w:rsidRPr="005C5D9A">
          <w:rPr>
            <w:noProof/>
            <w:webHidden/>
          </w:rPr>
          <w:t>37</w:t>
        </w:r>
        <w:r w:rsidR="005C5D9A" w:rsidRPr="005C5D9A">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4" w:history="1">
        <w:r w:rsidRPr="008B33EE">
          <w:rPr>
            <w:rStyle w:val="Hyperlink"/>
            <w:noProof/>
          </w:rPr>
          <w:t>Table 3</w:t>
        </w:r>
        <w:r w:rsidRPr="008B33EE">
          <w:rPr>
            <w:rStyle w:val="Hyperlink"/>
            <w:noProof/>
          </w:rPr>
          <w:noBreakHyphen/>
          <w:t>2  Summary of Heating Electrification Forecast Annual Electric Energy and Peak Demand Additions for New England and the States, 2021/2022 and 2030/2031 (GWh, MW)</w:t>
        </w:r>
        <w:r>
          <w:rPr>
            <w:noProof/>
            <w:webHidden/>
          </w:rPr>
          <w:tab/>
        </w:r>
        <w:r>
          <w:rPr>
            <w:noProof/>
            <w:webHidden/>
          </w:rPr>
          <w:fldChar w:fldCharType="begin"/>
        </w:r>
        <w:r>
          <w:rPr>
            <w:noProof/>
            <w:webHidden/>
          </w:rPr>
          <w:instrText xml:space="preserve"> PAGEREF _Toc81544624 \h </w:instrText>
        </w:r>
        <w:r>
          <w:rPr>
            <w:noProof/>
            <w:webHidden/>
          </w:rPr>
        </w:r>
        <w:r>
          <w:rPr>
            <w:noProof/>
            <w:webHidden/>
          </w:rPr>
          <w:fldChar w:fldCharType="separate"/>
        </w:r>
        <w:r>
          <w:rPr>
            <w:noProof/>
            <w:webHidden/>
          </w:rPr>
          <w:t>39</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5" w:history="1">
        <w:r w:rsidRPr="008B33EE">
          <w:rPr>
            <w:rStyle w:val="Hyperlink"/>
            <w:noProof/>
          </w:rPr>
          <w:t>Table 3</w:t>
        </w:r>
        <w:r w:rsidRPr="008B33EE">
          <w:rPr>
            <w:rStyle w:val="Hyperlink"/>
            <w:noProof/>
          </w:rPr>
          <w:noBreakHyphen/>
          <w:t>3  Summary of Transportation Electrification Forecast Annual Electric Energy and Peak Demand Additions for New England and the States, 2021/2022 and 2030/2031 (GWh, MW)</w:t>
        </w:r>
        <w:r>
          <w:rPr>
            <w:noProof/>
            <w:webHidden/>
          </w:rPr>
          <w:tab/>
        </w:r>
        <w:r>
          <w:rPr>
            <w:noProof/>
            <w:webHidden/>
          </w:rPr>
          <w:fldChar w:fldCharType="begin"/>
        </w:r>
        <w:r>
          <w:rPr>
            <w:noProof/>
            <w:webHidden/>
          </w:rPr>
          <w:instrText xml:space="preserve"> PAGEREF _Toc81544625 \h </w:instrText>
        </w:r>
        <w:r>
          <w:rPr>
            <w:noProof/>
            <w:webHidden/>
          </w:rPr>
        </w:r>
        <w:r>
          <w:rPr>
            <w:noProof/>
            <w:webHidden/>
          </w:rPr>
          <w:fldChar w:fldCharType="separate"/>
        </w:r>
        <w:r>
          <w:rPr>
            <w:noProof/>
            <w:webHidden/>
          </w:rPr>
          <w:t>39</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6" w:history="1">
        <w:r w:rsidRPr="008B33EE">
          <w:rPr>
            <w:rStyle w:val="Hyperlink"/>
            <w:noProof/>
          </w:rPr>
          <w:t>Table 3</w:t>
        </w:r>
        <w:r w:rsidRPr="008B33EE">
          <w:rPr>
            <w:rStyle w:val="Hyperlink"/>
            <w:noProof/>
          </w:rPr>
          <w:noBreakHyphen/>
          <w:t>4  Summary of EE Forecast Annual Electric Energy Savings and Peak Demand Reductions  for New England and the States, 2021/2022 and 2030/2031 (GWh, MW)</w:t>
        </w:r>
        <w:r>
          <w:rPr>
            <w:noProof/>
            <w:webHidden/>
          </w:rPr>
          <w:tab/>
        </w:r>
        <w:r>
          <w:rPr>
            <w:noProof/>
            <w:webHidden/>
          </w:rPr>
          <w:fldChar w:fldCharType="begin"/>
        </w:r>
        <w:r>
          <w:rPr>
            <w:noProof/>
            <w:webHidden/>
          </w:rPr>
          <w:instrText xml:space="preserve"> PAGEREF _Toc81544626 \h </w:instrText>
        </w:r>
        <w:r>
          <w:rPr>
            <w:noProof/>
            <w:webHidden/>
          </w:rPr>
        </w:r>
        <w:r>
          <w:rPr>
            <w:noProof/>
            <w:webHidden/>
          </w:rPr>
          <w:fldChar w:fldCharType="separate"/>
        </w:r>
        <w:r>
          <w:rPr>
            <w:noProof/>
            <w:webHidden/>
          </w:rPr>
          <w:t>40</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7" w:history="1">
        <w:r w:rsidRPr="008B33EE">
          <w:rPr>
            <w:rStyle w:val="Hyperlink"/>
            <w:noProof/>
          </w:rPr>
          <w:t>Table 3</w:t>
        </w:r>
        <w:r w:rsidRPr="008B33EE">
          <w:rPr>
            <w:rStyle w:val="Hyperlink"/>
            <w:noProof/>
          </w:rPr>
          <w:noBreakHyphen/>
          <w:t>5 New England States’ Annual and Cumulative Total PV Nameplate Capacity Forecast, 2021 to 2030 (MW</w:t>
        </w:r>
        <w:r w:rsidRPr="008B33EE">
          <w:rPr>
            <w:rStyle w:val="Hyperlink"/>
            <w:noProof/>
            <w:vertAlign w:val="subscript"/>
          </w:rPr>
          <w:t>AC</w:t>
        </w:r>
        <w:r w:rsidRPr="008B33EE">
          <w:rPr>
            <w:rStyle w:val="Hyperlink"/>
            <w:noProof/>
          </w:rPr>
          <w:t>)</w:t>
        </w:r>
        <w:r>
          <w:rPr>
            <w:noProof/>
            <w:webHidden/>
          </w:rPr>
          <w:tab/>
        </w:r>
        <w:r>
          <w:rPr>
            <w:noProof/>
            <w:webHidden/>
          </w:rPr>
          <w:fldChar w:fldCharType="begin"/>
        </w:r>
        <w:r>
          <w:rPr>
            <w:noProof/>
            <w:webHidden/>
          </w:rPr>
          <w:instrText xml:space="preserve"> PAGEREF _Toc81544627 \h </w:instrText>
        </w:r>
        <w:r>
          <w:rPr>
            <w:noProof/>
            <w:webHidden/>
          </w:rPr>
        </w:r>
        <w:r>
          <w:rPr>
            <w:noProof/>
            <w:webHidden/>
          </w:rPr>
          <w:fldChar w:fldCharType="separate"/>
        </w:r>
        <w:r>
          <w:rPr>
            <w:noProof/>
            <w:webHidden/>
          </w:rPr>
          <w:t>41</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8" w:history="1">
        <w:r w:rsidRPr="008B33EE">
          <w:rPr>
            <w:rStyle w:val="Hyperlink"/>
            <w:noProof/>
          </w:rPr>
          <w:t>Table 3</w:t>
        </w:r>
        <w:r w:rsidRPr="008B33EE">
          <w:rPr>
            <w:rStyle w:val="Hyperlink"/>
            <w:noProof/>
          </w:rPr>
          <w:noBreakHyphen/>
          <w:t>6 Cumulative New England PV Forecast for Each Classification of PV, 2021 to 2030 (MW</w:t>
        </w:r>
        <w:r w:rsidRPr="008B33EE">
          <w:rPr>
            <w:rStyle w:val="Hyperlink"/>
            <w:noProof/>
            <w:vertAlign w:val="subscript"/>
          </w:rPr>
          <w:t>AC</w:t>
        </w:r>
        <w:r w:rsidRPr="008B33EE">
          <w:rPr>
            <w:rStyle w:val="Hyperlink"/>
            <w:noProof/>
          </w:rPr>
          <w:t>)</w:t>
        </w:r>
        <w:r>
          <w:rPr>
            <w:noProof/>
            <w:webHidden/>
          </w:rPr>
          <w:tab/>
        </w:r>
        <w:r>
          <w:rPr>
            <w:noProof/>
            <w:webHidden/>
          </w:rPr>
          <w:fldChar w:fldCharType="begin"/>
        </w:r>
        <w:r>
          <w:rPr>
            <w:noProof/>
            <w:webHidden/>
          </w:rPr>
          <w:instrText xml:space="preserve"> PAGEREF _Toc81544628 \h </w:instrText>
        </w:r>
        <w:r>
          <w:rPr>
            <w:noProof/>
            <w:webHidden/>
          </w:rPr>
        </w:r>
        <w:r>
          <w:rPr>
            <w:noProof/>
            <w:webHidden/>
          </w:rPr>
          <w:fldChar w:fldCharType="separate"/>
        </w:r>
        <w:r>
          <w:rPr>
            <w:noProof/>
            <w:webHidden/>
          </w:rPr>
          <w:t>42</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29" w:history="1">
        <w:r w:rsidRPr="008B33EE">
          <w:rPr>
            <w:rStyle w:val="Hyperlink"/>
            <w:noProof/>
          </w:rPr>
          <w:t>Table 3</w:t>
        </w:r>
        <w:r w:rsidRPr="008B33EE">
          <w:rPr>
            <w:rStyle w:val="Hyperlink"/>
            <w:noProof/>
          </w:rPr>
          <w:noBreakHyphen/>
          <w:t>7 Summary of BTM PV Forecast Annual Electric Energy Savings and Peak Demand Reductions for New England and the States, 2021 and 2030 (GWh, MW)</w:t>
        </w:r>
        <w:r>
          <w:rPr>
            <w:noProof/>
            <w:webHidden/>
          </w:rPr>
          <w:tab/>
        </w:r>
        <w:r>
          <w:rPr>
            <w:noProof/>
            <w:webHidden/>
          </w:rPr>
          <w:fldChar w:fldCharType="begin"/>
        </w:r>
        <w:r>
          <w:rPr>
            <w:noProof/>
            <w:webHidden/>
          </w:rPr>
          <w:instrText xml:space="preserve"> PAGEREF _Toc81544629 \h </w:instrText>
        </w:r>
        <w:r>
          <w:rPr>
            <w:noProof/>
            <w:webHidden/>
          </w:rPr>
        </w:r>
        <w:r>
          <w:rPr>
            <w:noProof/>
            <w:webHidden/>
          </w:rPr>
          <w:fldChar w:fldCharType="separate"/>
        </w:r>
        <w:r>
          <w:rPr>
            <w:noProof/>
            <w:webHidden/>
          </w:rPr>
          <w:t>43</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0" w:history="1">
        <w:r w:rsidRPr="008B33EE">
          <w:rPr>
            <w:rStyle w:val="Hyperlink"/>
            <w:noProof/>
          </w:rPr>
          <w:t>Table 3</w:t>
        </w:r>
        <w:r w:rsidRPr="008B33EE">
          <w:rPr>
            <w:rStyle w:val="Hyperlink"/>
            <w:noProof/>
          </w:rPr>
          <w:noBreakHyphen/>
          <w:t>8 State and Systemwide Net Forecasts of Annual and Peak Electric Energy Use, 2021/2022 and 2030/2031 (MWh, MW)</w:t>
        </w:r>
        <w:r w:rsidRPr="008B33EE">
          <w:rPr>
            <w:rStyle w:val="Hyperlink"/>
            <w:noProof/>
            <w:vertAlign w:val="superscript"/>
          </w:rPr>
          <w:t>(a)</w:t>
        </w:r>
        <w:r>
          <w:rPr>
            <w:noProof/>
            <w:webHidden/>
          </w:rPr>
          <w:tab/>
        </w:r>
        <w:r>
          <w:rPr>
            <w:noProof/>
            <w:webHidden/>
          </w:rPr>
          <w:fldChar w:fldCharType="begin"/>
        </w:r>
        <w:r>
          <w:rPr>
            <w:noProof/>
            <w:webHidden/>
          </w:rPr>
          <w:instrText xml:space="preserve"> PAGEREF _Toc81544630 \h </w:instrText>
        </w:r>
        <w:r>
          <w:rPr>
            <w:noProof/>
            <w:webHidden/>
          </w:rPr>
        </w:r>
        <w:r>
          <w:rPr>
            <w:noProof/>
            <w:webHidden/>
          </w:rPr>
          <w:fldChar w:fldCharType="separate"/>
        </w:r>
        <w:r>
          <w:rPr>
            <w:noProof/>
            <w:webHidden/>
          </w:rPr>
          <w:t>45</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1" w:history="1">
        <w:r w:rsidRPr="008B33EE">
          <w:rPr>
            <w:rStyle w:val="Hyperlink"/>
            <w:noProof/>
          </w:rPr>
          <w:t>Table 3</w:t>
        </w:r>
        <w:r w:rsidRPr="008B33EE">
          <w:rPr>
            <w:rStyle w:val="Hyperlink"/>
            <w:noProof/>
          </w:rPr>
          <w:noBreakHyphen/>
          <w:t>9 Forecast of Net Demand in RSP Subareas, 2021/2022 and 2030/2031 (GWh, MW)</w:t>
        </w:r>
        <w:r w:rsidRPr="008B33EE">
          <w:rPr>
            <w:rStyle w:val="Hyperlink"/>
            <w:noProof/>
            <w:vertAlign w:val="superscript"/>
          </w:rPr>
          <w:t>(a)</w:t>
        </w:r>
        <w:r>
          <w:rPr>
            <w:noProof/>
            <w:webHidden/>
          </w:rPr>
          <w:tab/>
        </w:r>
        <w:r>
          <w:rPr>
            <w:noProof/>
            <w:webHidden/>
          </w:rPr>
          <w:fldChar w:fldCharType="begin"/>
        </w:r>
        <w:r>
          <w:rPr>
            <w:noProof/>
            <w:webHidden/>
          </w:rPr>
          <w:instrText xml:space="preserve"> PAGEREF _Toc81544631 \h </w:instrText>
        </w:r>
        <w:r>
          <w:rPr>
            <w:noProof/>
            <w:webHidden/>
          </w:rPr>
        </w:r>
        <w:r>
          <w:rPr>
            <w:noProof/>
            <w:webHidden/>
          </w:rPr>
          <w:fldChar w:fldCharType="separate"/>
        </w:r>
        <w:r>
          <w:rPr>
            <w:noProof/>
            <w:webHidden/>
          </w:rPr>
          <w:t>46</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2" w:history="1">
        <w:r w:rsidRPr="008B33EE">
          <w:rPr>
            <w:rStyle w:val="Hyperlink"/>
            <w:noProof/>
          </w:rPr>
          <w:t>Table 4</w:t>
        </w:r>
        <w:r w:rsidRPr="008B33EE">
          <w:rPr>
            <w:rStyle w:val="Hyperlink"/>
            <w:noProof/>
          </w:rPr>
          <w:noBreakHyphen/>
          <w:t>1  Actual and Representative New England Net Installed Capacity Requirements and Resulting Reserves (MW, %)</w:t>
        </w:r>
        <w:r>
          <w:rPr>
            <w:noProof/>
            <w:webHidden/>
          </w:rPr>
          <w:tab/>
        </w:r>
        <w:r>
          <w:rPr>
            <w:noProof/>
            <w:webHidden/>
          </w:rPr>
          <w:fldChar w:fldCharType="begin"/>
        </w:r>
        <w:r>
          <w:rPr>
            <w:noProof/>
            <w:webHidden/>
          </w:rPr>
          <w:instrText xml:space="preserve"> PAGEREF _Toc81544632 \h </w:instrText>
        </w:r>
        <w:r>
          <w:rPr>
            <w:noProof/>
            <w:webHidden/>
          </w:rPr>
        </w:r>
        <w:r>
          <w:rPr>
            <w:noProof/>
            <w:webHidden/>
          </w:rPr>
          <w:fldChar w:fldCharType="separate"/>
        </w:r>
        <w:r>
          <w:rPr>
            <w:noProof/>
            <w:webHidden/>
          </w:rPr>
          <w:t>51</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3" w:history="1">
        <w:r w:rsidRPr="008B33EE">
          <w:rPr>
            <w:rStyle w:val="Hyperlink"/>
            <w:noProof/>
          </w:rPr>
          <w:t>Table 4</w:t>
        </w:r>
        <w:r w:rsidRPr="008B33EE">
          <w:rPr>
            <w:rStyle w:val="Hyperlink"/>
            <w:noProof/>
          </w:rPr>
          <w:noBreakHyphen/>
          <w:t>2 Actual LSRs and MCLs (MW)</w:t>
        </w:r>
        <w:r w:rsidRPr="008B33EE">
          <w:rPr>
            <w:rStyle w:val="Hyperlink"/>
            <w:noProof/>
            <w:vertAlign w:val="superscript"/>
          </w:rPr>
          <w:t>(a)</w:t>
        </w:r>
        <w:r>
          <w:rPr>
            <w:noProof/>
            <w:webHidden/>
          </w:rPr>
          <w:tab/>
        </w:r>
        <w:r>
          <w:rPr>
            <w:noProof/>
            <w:webHidden/>
          </w:rPr>
          <w:fldChar w:fldCharType="begin"/>
        </w:r>
        <w:r>
          <w:rPr>
            <w:noProof/>
            <w:webHidden/>
          </w:rPr>
          <w:instrText xml:space="preserve"> PAGEREF _Toc81544633 \h </w:instrText>
        </w:r>
        <w:r>
          <w:rPr>
            <w:noProof/>
            <w:webHidden/>
          </w:rPr>
        </w:r>
        <w:r>
          <w:rPr>
            <w:noProof/>
            <w:webHidden/>
          </w:rPr>
          <w:fldChar w:fldCharType="separate"/>
        </w:r>
        <w:r>
          <w:rPr>
            <w:noProof/>
            <w:webHidden/>
          </w:rPr>
          <w:t>52</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4" w:history="1">
        <w:r w:rsidRPr="008B33EE">
          <w:rPr>
            <w:rStyle w:val="Hyperlink"/>
            <w:noProof/>
          </w:rPr>
          <w:t>Table 4</w:t>
        </w:r>
        <w:r w:rsidRPr="008B33EE">
          <w:rPr>
            <w:rStyle w:val="Hyperlink"/>
            <w:noProof/>
          </w:rPr>
          <w:noBreakHyphen/>
          <w:t>3  Assumed External Interface Import Capability, Summer 2021 to Summer 2030 (MW)</w:t>
        </w:r>
        <w:r w:rsidRPr="008B33EE">
          <w:rPr>
            <w:rStyle w:val="Hyperlink"/>
            <w:noProof/>
            <w:vertAlign w:val="superscript"/>
          </w:rPr>
          <w:t>(a)</w:t>
        </w:r>
        <w:r>
          <w:rPr>
            <w:noProof/>
            <w:webHidden/>
          </w:rPr>
          <w:tab/>
        </w:r>
        <w:r>
          <w:rPr>
            <w:noProof/>
            <w:webHidden/>
          </w:rPr>
          <w:fldChar w:fldCharType="begin"/>
        </w:r>
        <w:r>
          <w:rPr>
            <w:noProof/>
            <w:webHidden/>
          </w:rPr>
          <w:instrText xml:space="preserve"> PAGEREF _Toc81544634 \h </w:instrText>
        </w:r>
        <w:r>
          <w:rPr>
            <w:noProof/>
            <w:webHidden/>
          </w:rPr>
        </w:r>
        <w:r>
          <w:rPr>
            <w:noProof/>
            <w:webHidden/>
          </w:rPr>
          <w:fldChar w:fldCharType="separate"/>
        </w:r>
        <w:r>
          <w:rPr>
            <w:noProof/>
            <w:webHidden/>
          </w:rPr>
          <w:t>53</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5" w:history="1">
        <w:r w:rsidRPr="008B33EE">
          <w:rPr>
            <w:rStyle w:val="Hyperlink"/>
            <w:noProof/>
          </w:rPr>
          <w:t>Table 4</w:t>
        </w:r>
        <w:r w:rsidRPr="008B33EE">
          <w:rPr>
            <w:rStyle w:val="Hyperlink"/>
            <w:noProof/>
          </w:rPr>
          <w:noBreakHyphen/>
          <w:t xml:space="preserve">4  </w:t>
        </w:r>
        <w:r w:rsidRPr="008B33EE">
          <w:rPr>
            <w:rStyle w:val="Hyperlink"/>
            <w:rFonts w:cs="Arial"/>
            <w:noProof/>
          </w:rPr>
          <w:t>Summary of the FCA Capacity Supply Obligations at the Conclusion of Each Auction (MW)</w:t>
        </w:r>
        <w:r w:rsidRPr="008B33EE">
          <w:rPr>
            <w:rStyle w:val="Hyperlink"/>
            <w:rFonts w:cs="Arial"/>
            <w:noProof/>
            <w:vertAlign w:val="superscript"/>
          </w:rPr>
          <w:t>(a)</w:t>
        </w:r>
        <w:r>
          <w:rPr>
            <w:noProof/>
            <w:webHidden/>
          </w:rPr>
          <w:tab/>
        </w:r>
        <w:r>
          <w:rPr>
            <w:noProof/>
            <w:webHidden/>
          </w:rPr>
          <w:fldChar w:fldCharType="begin"/>
        </w:r>
        <w:r>
          <w:rPr>
            <w:noProof/>
            <w:webHidden/>
          </w:rPr>
          <w:instrText xml:space="preserve"> PAGEREF _Toc81544635 \h </w:instrText>
        </w:r>
        <w:r>
          <w:rPr>
            <w:noProof/>
            <w:webHidden/>
          </w:rPr>
        </w:r>
        <w:r>
          <w:rPr>
            <w:noProof/>
            <w:webHidden/>
          </w:rPr>
          <w:fldChar w:fldCharType="separate"/>
        </w:r>
        <w:r>
          <w:rPr>
            <w:noProof/>
            <w:webHidden/>
          </w:rPr>
          <w:t>54</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6" w:history="1">
        <w:r w:rsidRPr="008B33EE">
          <w:rPr>
            <w:rStyle w:val="Hyperlink"/>
            <w:noProof/>
          </w:rPr>
          <w:t>Table 4</w:t>
        </w:r>
        <w:r w:rsidRPr="008B33EE">
          <w:rPr>
            <w:rStyle w:val="Hyperlink"/>
            <w:noProof/>
          </w:rPr>
          <w:noBreakHyphen/>
          <w:t xml:space="preserve">5 </w:t>
        </w:r>
        <w:r w:rsidRPr="008B33EE">
          <w:rPr>
            <w:rStyle w:val="Hyperlink"/>
            <w:rFonts w:cs="Arial"/>
            <w:noProof/>
          </w:rPr>
          <w:t>Capacity Supply Obligation for New Capacity Procured during the Forward Capacity Auctions (MW)</w:t>
        </w:r>
        <w:r w:rsidRPr="008B33EE">
          <w:rPr>
            <w:rStyle w:val="Hyperlink"/>
            <w:rFonts w:cs="Arial"/>
            <w:noProof/>
            <w:vertAlign w:val="superscript"/>
          </w:rPr>
          <w:t>(a, b, c)</w:t>
        </w:r>
        <w:r>
          <w:rPr>
            <w:noProof/>
            <w:webHidden/>
          </w:rPr>
          <w:tab/>
        </w:r>
        <w:r>
          <w:rPr>
            <w:noProof/>
            <w:webHidden/>
          </w:rPr>
          <w:fldChar w:fldCharType="begin"/>
        </w:r>
        <w:r>
          <w:rPr>
            <w:noProof/>
            <w:webHidden/>
          </w:rPr>
          <w:instrText xml:space="preserve"> PAGEREF _Toc81544636 \h </w:instrText>
        </w:r>
        <w:r>
          <w:rPr>
            <w:noProof/>
            <w:webHidden/>
          </w:rPr>
        </w:r>
        <w:r>
          <w:rPr>
            <w:noProof/>
            <w:webHidden/>
          </w:rPr>
          <w:fldChar w:fldCharType="separate"/>
        </w:r>
        <w:r>
          <w:rPr>
            <w:noProof/>
            <w:webHidden/>
          </w:rPr>
          <w:t>55</w:t>
        </w:r>
        <w:r>
          <w:rPr>
            <w:noProof/>
            <w:webHidden/>
          </w:rPr>
          <w:fldChar w:fldCharType="end"/>
        </w:r>
      </w:hyperlink>
    </w:p>
    <w:p w:rsidR="005C5D9A" w:rsidRP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7" w:history="1">
        <w:r w:rsidRPr="005C5D9A">
          <w:rPr>
            <w:rStyle w:val="Hyperlink"/>
            <w:rFonts w:eastAsia="Calibri"/>
            <w:bCs/>
            <w:noProof/>
          </w:rPr>
          <w:t>Table 5</w:t>
        </w:r>
        <w:r w:rsidRPr="005C5D9A">
          <w:rPr>
            <w:rStyle w:val="Hyperlink"/>
            <w:rFonts w:eastAsia="Calibri"/>
            <w:bCs/>
            <w:noProof/>
          </w:rPr>
          <w:noBreakHyphen/>
          <w:t xml:space="preserve">1 </w:t>
        </w:r>
        <w:r w:rsidRPr="005C5D9A">
          <w:rPr>
            <w:rStyle w:val="Hyperlink"/>
            <w:rFonts w:eastAsia="Times New Roman"/>
            <w:bCs/>
            <w:noProof/>
          </w:rPr>
          <w:t>Estimated C</w:t>
        </w:r>
        <w:r w:rsidRPr="005C5D9A">
          <w:rPr>
            <w:rStyle w:val="Hyperlink"/>
            <w:rFonts w:eastAsia="Times New Roman"/>
            <w:noProof/>
          </w:rPr>
          <w:t>ost of Reliability Projects as of June</w:t>
        </w:r>
        <w:r w:rsidRPr="005C5D9A">
          <w:rPr>
            <w:rStyle w:val="Hyperlink"/>
            <w:rFonts w:eastAsia="Times New Roman"/>
            <w:bCs/>
            <w:noProof/>
          </w:rPr>
          <w:t xml:space="preserve"> 2021</w:t>
        </w:r>
        <w:r w:rsidRPr="005C5D9A">
          <w:rPr>
            <w:rStyle w:val="Hyperlink"/>
            <w:rFonts w:eastAsia="Times New Roman"/>
            <w:noProof/>
          </w:rPr>
          <w:t xml:space="preserve"> Plan Update (Million $)</w:t>
        </w:r>
        <w:r w:rsidRPr="005C5D9A">
          <w:rPr>
            <w:noProof/>
            <w:webHidden/>
          </w:rPr>
          <w:tab/>
        </w:r>
        <w:r w:rsidRPr="005C5D9A">
          <w:rPr>
            <w:noProof/>
            <w:webHidden/>
          </w:rPr>
          <w:fldChar w:fldCharType="begin"/>
        </w:r>
        <w:r w:rsidRPr="005C5D9A">
          <w:rPr>
            <w:noProof/>
            <w:webHidden/>
          </w:rPr>
          <w:instrText xml:space="preserve"> PAGEREF _Toc81544637 \h </w:instrText>
        </w:r>
        <w:r w:rsidRPr="005C5D9A">
          <w:rPr>
            <w:noProof/>
            <w:webHidden/>
          </w:rPr>
        </w:r>
        <w:r w:rsidRPr="005C5D9A">
          <w:rPr>
            <w:noProof/>
            <w:webHidden/>
          </w:rPr>
          <w:fldChar w:fldCharType="separate"/>
        </w:r>
        <w:r w:rsidRPr="005C5D9A">
          <w:rPr>
            <w:noProof/>
            <w:webHidden/>
          </w:rPr>
          <w:t>101</w:t>
        </w:r>
        <w:r w:rsidRPr="005C5D9A">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8" w:history="1">
        <w:r w:rsidRPr="008B33EE">
          <w:rPr>
            <w:rStyle w:val="Hyperlink"/>
            <w:noProof/>
          </w:rPr>
          <w:t>Table 5</w:t>
        </w:r>
        <w:r w:rsidRPr="008B33EE">
          <w:rPr>
            <w:rStyle w:val="Hyperlink"/>
            <w:noProof/>
          </w:rPr>
          <w:noBreakHyphen/>
          <w:t>2</w:t>
        </w:r>
        <w:r w:rsidRPr="008B33EE">
          <w:rPr>
            <w:rStyle w:val="Hyperlink"/>
            <w:rFonts w:eastAsia="Calibri"/>
            <w:noProof/>
          </w:rPr>
          <w:t xml:space="preserve"> Actual and Forecast Regional Transmission Service Rates, 2020 to 2022</w:t>
        </w:r>
        <w:r w:rsidRPr="008B33EE">
          <w:rPr>
            <w:rStyle w:val="Hyperlink"/>
            <w:rFonts w:eastAsia="Calibri"/>
            <w:noProof/>
            <w:vertAlign w:val="superscript"/>
          </w:rPr>
          <w:t>(a)</w:t>
        </w:r>
        <w:r>
          <w:rPr>
            <w:noProof/>
            <w:webHidden/>
          </w:rPr>
          <w:tab/>
        </w:r>
        <w:r>
          <w:rPr>
            <w:noProof/>
            <w:webHidden/>
          </w:rPr>
          <w:fldChar w:fldCharType="begin"/>
        </w:r>
        <w:r>
          <w:rPr>
            <w:noProof/>
            <w:webHidden/>
          </w:rPr>
          <w:instrText xml:space="preserve"> PAGEREF _Toc81544638 \h </w:instrText>
        </w:r>
        <w:r>
          <w:rPr>
            <w:noProof/>
            <w:webHidden/>
          </w:rPr>
        </w:r>
        <w:r>
          <w:rPr>
            <w:noProof/>
            <w:webHidden/>
          </w:rPr>
          <w:fldChar w:fldCharType="separate"/>
        </w:r>
        <w:r>
          <w:rPr>
            <w:noProof/>
            <w:webHidden/>
          </w:rPr>
          <w:t>103</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39" w:history="1">
        <w:r w:rsidRPr="008B33EE">
          <w:rPr>
            <w:rStyle w:val="Hyperlink"/>
            <w:noProof/>
          </w:rPr>
          <w:t>Table 5</w:t>
        </w:r>
        <w:r w:rsidRPr="008B33EE">
          <w:rPr>
            <w:rStyle w:val="Hyperlink"/>
            <w:noProof/>
          </w:rPr>
          <w:noBreakHyphen/>
          <w:t>3</w:t>
        </w:r>
        <w:r w:rsidRPr="008B33EE">
          <w:rPr>
            <w:rStyle w:val="Hyperlink"/>
            <w:rFonts w:eastAsia="Calibri"/>
            <w:noProof/>
          </w:rPr>
          <w:t xml:space="preserve"> ISO New England Transmission System Day-Ahead, Real-Time, and Total Congestion Costs and Credits, 2003 to 2020 ($)</w:t>
        </w:r>
        <w:r w:rsidRPr="008B33EE">
          <w:rPr>
            <w:rStyle w:val="Hyperlink"/>
            <w:rFonts w:eastAsia="Calibri"/>
            <w:noProof/>
            <w:vertAlign w:val="superscript"/>
          </w:rPr>
          <w:t>(a)</w:t>
        </w:r>
        <w:r>
          <w:rPr>
            <w:noProof/>
            <w:webHidden/>
          </w:rPr>
          <w:tab/>
        </w:r>
        <w:r>
          <w:rPr>
            <w:noProof/>
            <w:webHidden/>
          </w:rPr>
          <w:fldChar w:fldCharType="begin"/>
        </w:r>
        <w:r>
          <w:rPr>
            <w:noProof/>
            <w:webHidden/>
          </w:rPr>
          <w:instrText xml:space="preserve"> PAGEREF _Toc81544639 \h </w:instrText>
        </w:r>
        <w:r>
          <w:rPr>
            <w:noProof/>
            <w:webHidden/>
          </w:rPr>
        </w:r>
        <w:r>
          <w:rPr>
            <w:noProof/>
            <w:webHidden/>
          </w:rPr>
          <w:fldChar w:fldCharType="separate"/>
        </w:r>
        <w:r>
          <w:rPr>
            <w:noProof/>
            <w:webHidden/>
          </w:rPr>
          <w:t>105</w:t>
        </w:r>
        <w:r>
          <w:rPr>
            <w:noProof/>
            <w:webHidden/>
          </w:rPr>
          <w:fldChar w:fldCharType="end"/>
        </w:r>
      </w:hyperlink>
    </w:p>
    <w:p w:rsidR="005C5D9A" w:rsidRDefault="005C5D9A">
      <w:pPr>
        <w:pStyle w:val="TableofFigures"/>
        <w:tabs>
          <w:tab w:val="right" w:leader="dot" w:pos="9350"/>
        </w:tabs>
        <w:rPr>
          <w:rFonts w:asciiTheme="minorHAnsi" w:eastAsiaTheme="minorEastAsia" w:hAnsiTheme="minorHAnsi" w:cstheme="minorBidi"/>
          <w:noProof/>
          <w:sz w:val="22"/>
          <w:szCs w:val="22"/>
        </w:rPr>
      </w:pPr>
      <w:hyperlink w:anchor="_Toc81544640" w:history="1">
        <w:r w:rsidRPr="008B33EE">
          <w:rPr>
            <w:rStyle w:val="Hyperlink"/>
            <w:noProof/>
          </w:rPr>
          <w:t>Table 5</w:t>
        </w:r>
        <w:r w:rsidRPr="008B33EE">
          <w:rPr>
            <w:rStyle w:val="Hyperlink"/>
            <w:noProof/>
          </w:rPr>
          <w:noBreakHyphen/>
          <w:t>4</w:t>
        </w:r>
        <w:r w:rsidRPr="008B33EE">
          <w:rPr>
            <w:rStyle w:val="Hyperlink"/>
            <w:rFonts w:eastAsia="Calibri"/>
            <w:noProof/>
          </w:rPr>
          <w:t xml:space="preserve"> Net Commitment-Period Compensation by Type and Year (Million $)</w:t>
        </w:r>
        <w:r>
          <w:rPr>
            <w:noProof/>
            <w:webHidden/>
          </w:rPr>
          <w:tab/>
        </w:r>
        <w:r>
          <w:rPr>
            <w:noProof/>
            <w:webHidden/>
          </w:rPr>
          <w:fldChar w:fldCharType="begin"/>
        </w:r>
        <w:r>
          <w:rPr>
            <w:noProof/>
            <w:webHidden/>
          </w:rPr>
          <w:instrText xml:space="preserve"> PAGEREF _Toc81544640 \h </w:instrText>
        </w:r>
        <w:r>
          <w:rPr>
            <w:noProof/>
            <w:webHidden/>
          </w:rPr>
        </w:r>
        <w:r>
          <w:rPr>
            <w:noProof/>
            <w:webHidden/>
          </w:rPr>
          <w:fldChar w:fldCharType="separate"/>
        </w:r>
        <w:r>
          <w:rPr>
            <w:noProof/>
            <w:webHidden/>
          </w:rPr>
          <w:t>107</w:t>
        </w:r>
        <w:r>
          <w:rPr>
            <w:noProof/>
            <w:webHidden/>
          </w:rPr>
          <w:fldChar w:fldCharType="end"/>
        </w:r>
      </w:hyperlink>
    </w:p>
    <w:p w:rsidR="00C1673A" w:rsidRDefault="00B471EE" w:rsidP="00B471EE">
      <w:pPr>
        <w:spacing w:after="200" w:line="276" w:lineRule="auto"/>
        <w:rPr>
          <w:rFonts w:ascii="Calibri" w:eastAsiaTheme="majorEastAsia" w:hAnsi="Calibri" w:cstheme="majorBidi"/>
          <w:b/>
          <w:bCs/>
          <w:color w:val="1E6A9A"/>
          <w:sz w:val="44"/>
          <w:szCs w:val="28"/>
        </w:rPr>
      </w:pPr>
      <w:r w:rsidRPr="00A85176">
        <w:rPr>
          <w:rFonts w:asciiTheme="minorHAnsi" w:hAnsiTheme="minorHAnsi" w:cs="Arial"/>
        </w:rPr>
        <w:fldChar w:fldCharType="end"/>
      </w:r>
    </w:p>
    <w:p w:rsidR="00776BA4" w:rsidRPr="00AC199C" w:rsidRDefault="00776BA4" w:rsidP="00D614D7">
      <w:pPr>
        <w:pStyle w:val="Heading1"/>
      </w:pPr>
      <w:bookmarkStart w:id="33" w:name="_Toc81544487"/>
      <w:r w:rsidRPr="00AC199C">
        <w:t>Executive Summary</w:t>
      </w:r>
      <w:bookmarkEnd w:id="3"/>
      <w:bookmarkEnd w:id="33"/>
    </w:p>
    <w:p w:rsidR="00B77441" w:rsidRDefault="00776BA4" w:rsidP="00BF52F8">
      <w:r>
        <w:rPr>
          <w:rFonts w:ascii="Calibri" w:hAnsi="Calibri" w:cs="OpenSans-Bold"/>
          <w:b/>
          <w:bCs/>
          <w:noProof/>
          <w:color w:val="3D484C"/>
          <w:sz w:val="80"/>
          <w:szCs w:val="80"/>
        </w:rPr>
        <w:drawing>
          <wp:anchor distT="0" distB="182880" distL="182880" distR="182880" simplePos="0" relativeHeight="251659264" behindDoc="0" locked="0" layoutInCell="1" allowOverlap="1" wp14:anchorId="61F7CE43" wp14:editId="7AB0CF61">
            <wp:simplePos x="0" y="0"/>
            <wp:positionH relativeFrom="margin">
              <wp:align>right</wp:align>
            </wp:positionH>
            <wp:positionV relativeFrom="paragraph">
              <wp:posOffset>9525</wp:posOffset>
            </wp:positionV>
            <wp:extent cx="1600200" cy="1600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E26E6E">
        <w:t xml:space="preserve">Over the past two decades, </w:t>
      </w:r>
      <w:r w:rsidRPr="00DF00D4">
        <w:t>New England has benefited from</w:t>
      </w:r>
      <w:r w:rsidRPr="002C4AFC">
        <w:t xml:space="preserve"> </w:t>
      </w:r>
      <w:r w:rsidR="00E26E6E">
        <w:t xml:space="preserve">regional </w:t>
      </w:r>
      <w:r w:rsidRPr="002C4AFC">
        <w:t>wholesale electricity markets</w:t>
      </w:r>
      <w:r w:rsidR="00AF60CE">
        <w:t xml:space="preserve"> </w:t>
      </w:r>
      <w:r w:rsidRPr="002C4AFC">
        <w:t xml:space="preserve">and </w:t>
      </w:r>
      <w:r w:rsidR="00E26E6E">
        <w:t xml:space="preserve">a robust </w:t>
      </w:r>
      <w:r w:rsidRPr="002C4AFC">
        <w:t xml:space="preserve">transmission planning </w:t>
      </w:r>
      <w:r w:rsidR="00E26E6E">
        <w:t xml:space="preserve">process. This regional framework has </w:t>
      </w:r>
      <w:r w:rsidRPr="002C4AFC">
        <w:t>enhanced syst</w:t>
      </w:r>
      <w:r w:rsidRPr="00383AFC">
        <w:t>em reliability</w:t>
      </w:r>
      <w:r w:rsidR="00E26E6E">
        <w:t xml:space="preserve"> and resulted in a</w:t>
      </w:r>
      <w:r w:rsidRPr="00383AFC">
        <w:t xml:space="preserve"> resource base and transmission system </w:t>
      </w:r>
      <w:r w:rsidR="00E26E6E">
        <w:t>that meet</w:t>
      </w:r>
      <w:r w:rsidRPr="00383AFC">
        <w:t xml:space="preserve"> consumer demand for power at competitive prices.</w:t>
      </w:r>
      <w:r w:rsidR="00EC5594">
        <w:t xml:space="preserve">  </w:t>
      </w:r>
      <w:r w:rsidRPr="00383AFC">
        <w:t xml:space="preserve"> </w:t>
      </w:r>
    </w:p>
    <w:p w:rsidR="00BF52F8" w:rsidRPr="00BF52F8" w:rsidRDefault="00B77441" w:rsidP="00BF52F8">
      <w:r>
        <w:t>ISO New England produces many reports</w:t>
      </w:r>
      <w:r w:rsidR="00370FFC">
        <w:rPr>
          <w:rStyle w:val="FootnoteReference"/>
        </w:rPr>
        <w:footnoteReference w:id="2"/>
      </w:r>
      <w:r>
        <w:t xml:space="preserve"> to keep stakeholders informed. </w:t>
      </w:r>
      <w:r w:rsidR="00EC5594">
        <w:t xml:space="preserve">The </w:t>
      </w:r>
      <w:hyperlink r:id="rId19" w:history="1">
        <w:r w:rsidR="00EC5594" w:rsidRPr="00D476EE">
          <w:rPr>
            <w:rStyle w:val="Hyperlink"/>
            <w:i/>
          </w:rPr>
          <w:t>Regional System Plan</w:t>
        </w:r>
      </w:hyperlink>
      <w:r w:rsidR="00EC5594">
        <w:t xml:space="preserve"> (RSP) </w:t>
      </w:r>
      <w:r w:rsidR="00EC5594" w:rsidRPr="00EC5594">
        <w:t xml:space="preserve">is a comprehensive planning report on the resource and transmission facilities needed to maintain the reliability of New England’s power system over a 10-year horizon, while also </w:t>
      </w:r>
      <w:r w:rsidR="00C53B50">
        <w:t>reflecting</w:t>
      </w:r>
      <w:r w:rsidR="00EC5594" w:rsidRPr="00EC5594">
        <w:t xml:space="preserve"> economic and environmental considerations.</w:t>
      </w:r>
      <w:r w:rsidR="00EC5594">
        <w:t xml:space="preserve"> The </w:t>
      </w:r>
      <w:r w:rsidR="00EC5594" w:rsidRPr="00FF45B8">
        <w:rPr>
          <w:i/>
        </w:rPr>
        <w:t>2021 Region</w:t>
      </w:r>
      <w:r w:rsidR="00BF52F8" w:rsidRPr="00FF45B8">
        <w:rPr>
          <w:i/>
        </w:rPr>
        <w:t>al System Plan</w:t>
      </w:r>
      <w:r w:rsidR="00BF52F8">
        <w:t xml:space="preserve"> (RSP21) </w:t>
      </w:r>
      <w:r w:rsidR="00370FFC">
        <w:t xml:space="preserve">has been streamlined to focus on only the most relevant information related to planning the New England system. Based on </w:t>
      </w:r>
      <w:hyperlink r:id="rId20" w:history="1">
        <w:r w:rsidR="00370FFC" w:rsidRPr="00D476EE">
          <w:rPr>
            <w:rStyle w:val="Hyperlink"/>
          </w:rPr>
          <w:t>feedback</w:t>
        </w:r>
      </w:hyperlink>
      <w:r w:rsidR="00370FFC">
        <w:t xml:space="preserve"> from stakeholders, RSP21 is more concise</w:t>
      </w:r>
      <w:r w:rsidR="00B25C6A">
        <w:t xml:space="preserve"> than RSP19</w:t>
      </w:r>
      <w:r w:rsidR="00C53B50">
        <w:t>,</w:t>
      </w:r>
      <w:r w:rsidR="00B25C6A">
        <w:t xml:space="preserve"> discusses studies </w:t>
      </w:r>
      <w:r w:rsidR="00B44AAF">
        <w:t xml:space="preserve">of </w:t>
      </w:r>
      <w:r w:rsidR="008E2ED9">
        <w:t xml:space="preserve">future </w:t>
      </w:r>
      <w:r w:rsidR="00B44AAF">
        <w:t xml:space="preserve">conditions </w:t>
      </w:r>
      <w:r w:rsidR="00B25C6A">
        <w:t>that will impact the power grid</w:t>
      </w:r>
      <w:r w:rsidR="00C53B50">
        <w:t>,</w:t>
      </w:r>
      <w:r w:rsidR="00B25C6A">
        <w:t xml:space="preserve"> and has a more technical focus. RSP21</w:t>
      </w:r>
      <w:r w:rsidR="00DC448C">
        <w:t xml:space="preserve"> </w:t>
      </w:r>
      <w:r w:rsidR="0064335F">
        <w:t>provides</w:t>
      </w:r>
      <w:r w:rsidR="00BF52F8" w:rsidRPr="00BF52F8">
        <w:t xml:space="preserve">: </w:t>
      </w:r>
    </w:p>
    <w:p w:rsidR="00BF52F8" w:rsidRPr="00BF52F8" w:rsidRDefault="0061701E" w:rsidP="00496814">
      <w:pPr>
        <w:pStyle w:val="ListParagraph"/>
        <w:numPr>
          <w:ilvl w:val="0"/>
          <w:numId w:val="7"/>
        </w:numPr>
      </w:pPr>
      <w:r>
        <w:t>A</w:t>
      </w:r>
      <w:r w:rsidR="00BF52F8">
        <w:t>n</w:t>
      </w:r>
      <w:r w:rsidR="00BF52F8" w:rsidRPr="00BF52F8">
        <w:t xml:space="preserve"> assessment of the </w:t>
      </w:r>
      <w:r w:rsidR="00FF6F55" w:rsidRPr="00B969ED">
        <w:t xml:space="preserve">pool transmission facility </w:t>
      </w:r>
      <w:r w:rsidR="00BF52F8" w:rsidRPr="00BF52F8">
        <w:t xml:space="preserve">system needs, the results of such assessments, and the projected </w:t>
      </w:r>
      <w:r w:rsidR="00B44AAF">
        <w:t>upgrades and additions</w:t>
      </w:r>
    </w:p>
    <w:p w:rsidR="00BF52F8" w:rsidRPr="00BF52F8" w:rsidRDefault="0061701E" w:rsidP="00496814">
      <w:pPr>
        <w:pStyle w:val="ListParagraph"/>
        <w:numPr>
          <w:ilvl w:val="0"/>
          <w:numId w:val="7"/>
        </w:numPr>
      </w:pPr>
      <w:r>
        <w:t>T</w:t>
      </w:r>
      <w:r w:rsidR="00BF52F8" w:rsidRPr="00BF52F8">
        <w:t>he projected annual and peak demands for electric energy, the needs for resources over this period</w:t>
      </w:r>
      <w:r w:rsidR="0064335F">
        <w:t>,</w:t>
      </w:r>
      <w:r w:rsidR="00BF52F8" w:rsidRPr="00BF52F8">
        <w:t xml:space="preserve"> and how such resources are expected to be provided </w:t>
      </w:r>
    </w:p>
    <w:p w:rsidR="00BF52F8" w:rsidRPr="00BF52F8" w:rsidRDefault="0061701E" w:rsidP="00496814">
      <w:pPr>
        <w:pStyle w:val="ListParagraph"/>
        <w:numPr>
          <w:ilvl w:val="0"/>
          <w:numId w:val="7"/>
        </w:numPr>
      </w:pPr>
      <w:r>
        <w:t>C</w:t>
      </w:r>
      <w:r w:rsidR="00BF52F8" w:rsidRPr="00BF52F8">
        <w:t xml:space="preserve">haracteristics of the physical solutions that can meet the needs defined in the </w:t>
      </w:r>
      <w:r w:rsidR="00F15F62">
        <w:t>n</w:t>
      </w:r>
      <w:r w:rsidR="00F15F62" w:rsidRPr="00BF52F8">
        <w:t xml:space="preserve">eeds </w:t>
      </w:r>
      <w:r w:rsidR="00F15F62">
        <w:t>a</w:t>
      </w:r>
      <w:r w:rsidR="00F15F62" w:rsidRPr="00BF52F8">
        <w:t xml:space="preserve">ssessments </w:t>
      </w:r>
      <w:r w:rsidR="00BF52F8" w:rsidRPr="00BF52F8">
        <w:t xml:space="preserve">and information on market responses that can address them </w:t>
      </w:r>
    </w:p>
    <w:p w:rsidR="00BF52F8" w:rsidRPr="00BF52F8" w:rsidRDefault="0061701E" w:rsidP="00496814">
      <w:pPr>
        <w:pStyle w:val="ListParagraph"/>
        <w:numPr>
          <w:ilvl w:val="0"/>
          <w:numId w:val="7"/>
        </w:numPr>
      </w:pPr>
      <w:r>
        <w:t>I</w:t>
      </w:r>
      <w:r w:rsidR="00BF52F8" w:rsidRPr="00BF52F8">
        <w:t xml:space="preserve">nformation to allow </w:t>
      </w:r>
      <w:r w:rsidR="00F15F62">
        <w:t>m</w:t>
      </w:r>
      <w:r w:rsidR="00F15F62" w:rsidRPr="00BF52F8">
        <w:t xml:space="preserve">arket </w:t>
      </w:r>
      <w:r w:rsidR="00F15F62">
        <w:t>p</w:t>
      </w:r>
      <w:r w:rsidR="00F15F62" w:rsidRPr="00BF52F8">
        <w:t xml:space="preserve">articipants </w:t>
      </w:r>
      <w:r w:rsidR="00BF52F8" w:rsidRPr="00BF52F8">
        <w:t>to assess the quantity, general locations, operating characteristics</w:t>
      </w:r>
      <w:r w:rsidR="00D35AD6">
        <w:t>,</w:t>
      </w:r>
      <w:r w:rsidR="00BF52F8" w:rsidRPr="00BF52F8">
        <w:t xml:space="preserve"> and required availability criteria of the type of incremental supply</w:t>
      </w:r>
      <w:r w:rsidR="009D0B1D">
        <w:t xml:space="preserve">, </w:t>
      </w:r>
      <w:r w:rsidR="00BF52F8" w:rsidRPr="00BF52F8">
        <w:t xml:space="preserve">demand-side resources, or merchant transmission projects that would </w:t>
      </w:r>
      <w:r w:rsidR="00B44AAF">
        <w:t xml:space="preserve">either </w:t>
      </w:r>
      <w:r w:rsidR="00BF52F8" w:rsidRPr="00BF52F8">
        <w:t>satisfy the identified needs</w:t>
      </w:r>
      <w:r w:rsidR="00B44AAF">
        <w:t>,</w:t>
      </w:r>
      <w:r w:rsidR="00BF52F8" w:rsidRPr="00BF52F8">
        <w:t xml:space="preserve"> or may serve to modify, offset</w:t>
      </w:r>
      <w:r w:rsidR="008E2ED9">
        <w:t>,</w:t>
      </w:r>
      <w:r w:rsidR="00BF52F8" w:rsidRPr="00BF52F8">
        <w:t xml:space="preserve"> or defer proposed regulated transmission upgrades </w:t>
      </w:r>
    </w:p>
    <w:p w:rsidR="0061701E" w:rsidRDefault="008E2ED9" w:rsidP="00281F7F">
      <w:r>
        <w:t xml:space="preserve">The </w:t>
      </w:r>
      <w:r w:rsidR="00584F2A">
        <w:t xml:space="preserve">New England </w:t>
      </w:r>
      <w:r>
        <w:t>grid is evolving</w:t>
      </w:r>
      <w:r w:rsidR="006F5364">
        <w:t xml:space="preserve"> at a rapid pace</w:t>
      </w:r>
      <w:r w:rsidR="00477DA2">
        <w:t xml:space="preserve"> due to</w:t>
      </w:r>
      <w:r w:rsidR="00584F2A">
        <w:t>:</w:t>
      </w:r>
    </w:p>
    <w:p w:rsidR="0061701E" w:rsidRDefault="0061701E" w:rsidP="00496814">
      <w:pPr>
        <w:pStyle w:val="ListParagraph"/>
        <w:numPr>
          <w:ilvl w:val="0"/>
          <w:numId w:val="7"/>
        </w:numPr>
      </w:pPr>
      <w:r>
        <w:t>S</w:t>
      </w:r>
      <w:r w:rsidR="006F6DD8" w:rsidRPr="006F6DD8">
        <w:t xml:space="preserve">hifting patterns in energy use </w:t>
      </w:r>
    </w:p>
    <w:p w:rsidR="0061701E" w:rsidRDefault="00477DA2" w:rsidP="00496814">
      <w:pPr>
        <w:pStyle w:val="ListParagraph"/>
        <w:numPr>
          <w:ilvl w:val="0"/>
          <w:numId w:val="7"/>
        </w:numPr>
      </w:pPr>
      <w:r>
        <w:t>T</w:t>
      </w:r>
      <w:r w:rsidR="00584F2A">
        <w:t>he changing resource m</w:t>
      </w:r>
      <w:r w:rsidR="00584F2A" w:rsidRPr="00584F2A">
        <w:t>ix</w:t>
      </w:r>
      <w:r w:rsidR="0064335F">
        <w:t>,</w:t>
      </w:r>
      <w:r w:rsidR="006F6DD8">
        <w:t xml:space="preserve"> which </w:t>
      </w:r>
      <w:r w:rsidR="0064335F">
        <w:t xml:space="preserve">is expected to </w:t>
      </w:r>
      <w:r w:rsidR="008E2ED9">
        <w:t xml:space="preserve">increasingly </w:t>
      </w:r>
      <w:r w:rsidR="00C60C11">
        <w:t>consist</w:t>
      </w:r>
      <w:r w:rsidR="0064335F">
        <w:t xml:space="preserve"> </w:t>
      </w:r>
      <w:r w:rsidR="00C60C11">
        <w:t xml:space="preserve">of </w:t>
      </w:r>
      <w:r w:rsidR="00EA2620">
        <w:t xml:space="preserve">variable and </w:t>
      </w:r>
      <w:r w:rsidR="006F6DD8">
        <w:t>inverter</w:t>
      </w:r>
      <w:r w:rsidR="0061701E">
        <w:t>-</w:t>
      </w:r>
      <w:r w:rsidR="006F6DD8">
        <w:t>based</w:t>
      </w:r>
      <w:r w:rsidR="00A86608" w:rsidRPr="0061701E">
        <w:rPr>
          <w:rStyle w:val="FootnoteReference"/>
        </w:rPr>
        <w:footnoteReference w:id="3"/>
      </w:r>
      <w:r w:rsidR="006F6DD8">
        <w:t xml:space="preserve"> resources</w:t>
      </w:r>
    </w:p>
    <w:p w:rsidR="00E5027E" w:rsidRDefault="00477DA2" w:rsidP="00496814">
      <w:pPr>
        <w:pStyle w:val="ListParagraph"/>
        <w:numPr>
          <w:ilvl w:val="0"/>
          <w:numId w:val="7"/>
        </w:numPr>
      </w:pPr>
      <w:r>
        <w:t>The need for e</w:t>
      </w:r>
      <w:r w:rsidR="00E5027E">
        <w:t>nergy adequacy, especially during periods of extreme weather events</w:t>
      </w:r>
      <w:r w:rsidR="00E5027E">
        <w:rPr>
          <w:rStyle w:val="FootnoteReference"/>
        </w:rPr>
        <w:footnoteReference w:id="4"/>
      </w:r>
    </w:p>
    <w:p w:rsidR="0061701E" w:rsidRDefault="0061701E" w:rsidP="00496814">
      <w:pPr>
        <w:pStyle w:val="ListParagraph"/>
        <w:numPr>
          <w:ilvl w:val="0"/>
          <w:numId w:val="7"/>
        </w:numPr>
      </w:pPr>
      <w:r>
        <w:t>I</w:t>
      </w:r>
      <w:r w:rsidR="006F6DD8">
        <w:t>ncreased clean</w:t>
      </w:r>
      <w:r w:rsidR="00A83786">
        <w:t xml:space="preserve"> </w:t>
      </w:r>
      <w:r w:rsidR="006F6DD8">
        <w:t>energy targets set by individual New England state</w:t>
      </w:r>
      <w:r w:rsidR="0064335F">
        <w:t>s</w:t>
      </w:r>
    </w:p>
    <w:p w:rsidR="00776BA4" w:rsidRPr="00534D54" w:rsidRDefault="0061701E" w:rsidP="00496814">
      <w:pPr>
        <w:pStyle w:val="ListParagraph"/>
        <w:numPr>
          <w:ilvl w:val="0"/>
          <w:numId w:val="7"/>
        </w:numPr>
      </w:pPr>
      <w:r>
        <w:t>D</w:t>
      </w:r>
      <w:r w:rsidR="006F6DD8">
        <w:t xml:space="preserve">evelopment of a </w:t>
      </w:r>
      <w:r w:rsidR="006F6DD8" w:rsidRPr="006F6DD8">
        <w:t xml:space="preserve">robust transmission system </w:t>
      </w:r>
      <w:r w:rsidR="006F6DD8">
        <w:t xml:space="preserve">to </w:t>
      </w:r>
      <w:r w:rsidR="006C3017">
        <w:t>enable the clean energy transition</w:t>
      </w:r>
    </w:p>
    <w:p w:rsidR="00776BA4" w:rsidRPr="0086692C" w:rsidRDefault="00776BA4" w:rsidP="00776BA4">
      <w:r w:rsidRPr="00285674">
        <w:t>Variable energy resources</w:t>
      </w:r>
      <w:r w:rsidR="00C60C11">
        <w:t xml:space="preserve"> (VERs)</w:t>
      </w:r>
      <w:r w:rsidRPr="00285674">
        <w:t xml:space="preserve"> a</w:t>
      </w:r>
      <w:r w:rsidRPr="008D6E30">
        <w:t>nd natural</w:t>
      </w:r>
      <w:r w:rsidR="00D03C76">
        <w:t xml:space="preserve"> </w:t>
      </w:r>
      <w:r w:rsidRPr="008D6E30">
        <w:t>gas generators</w:t>
      </w:r>
      <w:r w:rsidR="0061701E">
        <w:t>,</w:t>
      </w:r>
      <w:r w:rsidRPr="008D6E30">
        <w:t xml:space="preserve"> with </w:t>
      </w:r>
      <w:r w:rsidR="002908EA" w:rsidRPr="00285674">
        <w:t>operational</w:t>
      </w:r>
      <w:r w:rsidR="002908EA" w:rsidRPr="008D6E30">
        <w:t xml:space="preserve"> </w:t>
      </w:r>
      <w:r w:rsidRPr="00285674">
        <w:t xml:space="preserve">and </w:t>
      </w:r>
      <w:r w:rsidR="002908EA" w:rsidRPr="008D6E30">
        <w:t>infrastructure</w:t>
      </w:r>
      <w:r w:rsidR="002908EA" w:rsidRPr="00285674" w:rsidDel="002908EA">
        <w:t xml:space="preserve"> </w:t>
      </w:r>
      <w:r w:rsidRPr="008D6E30">
        <w:t xml:space="preserve">limitations on </w:t>
      </w:r>
      <w:r w:rsidRPr="00285674">
        <w:t>their energy production</w:t>
      </w:r>
      <w:r w:rsidR="0061701E">
        <w:t>,</w:t>
      </w:r>
      <w:r>
        <w:t xml:space="preserve"> </w:t>
      </w:r>
      <w:r w:rsidR="008F0FCF">
        <w:t>have</w:t>
      </w:r>
      <w:r>
        <w:t xml:space="preserve"> replac</w:t>
      </w:r>
      <w:r w:rsidR="008F0FCF">
        <w:t>ed</w:t>
      </w:r>
      <w:r>
        <w:t xml:space="preserve"> </w:t>
      </w:r>
      <w:r w:rsidR="008F0FCF">
        <w:t xml:space="preserve">much of the region’s </w:t>
      </w:r>
      <w:r w:rsidRPr="00D46AFD">
        <w:t>nuclear, coal, and oil</w:t>
      </w:r>
      <w:r>
        <w:t xml:space="preserve"> resources</w:t>
      </w:r>
      <w:r w:rsidR="002E70F9">
        <w:t xml:space="preserve"> that</w:t>
      </w:r>
      <w:r>
        <w:t xml:space="preserve"> ha</w:t>
      </w:r>
      <w:r w:rsidR="008F0FCF">
        <w:t>d</w:t>
      </w:r>
      <w:r>
        <w:t xml:space="preserve"> </w:t>
      </w:r>
      <w:r w:rsidR="00A33203">
        <w:t xml:space="preserve">on-site </w:t>
      </w:r>
      <w:r>
        <w:t>fuel storage</w:t>
      </w:r>
      <w:r w:rsidR="008F0FCF">
        <w:t>.</w:t>
      </w:r>
      <w:r w:rsidRPr="00D46AFD">
        <w:t xml:space="preserve"> </w:t>
      </w:r>
      <w:r>
        <w:t>W</w:t>
      </w:r>
      <w:r w:rsidRPr="00DF00D4">
        <w:t xml:space="preserve">ith </w:t>
      </w:r>
      <w:r w:rsidR="0064335F">
        <w:t>the region’s</w:t>
      </w:r>
      <w:r w:rsidRPr="00DF00D4">
        <w:t xml:space="preserve"> existing</w:t>
      </w:r>
      <w:r w:rsidR="00C53B50">
        <w:t xml:space="preserve"> capacity-constrained</w:t>
      </w:r>
      <w:r w:rsidRPr="00DF00D4">
        <w:t xml:space="preserve"> fuel infrastructure</w:t>
      </w:r>
      <w:r>
        <w:t xml:space="preserve">, </w:t>
      </w:r>
      <w:r w:rsidR="0064335F">
        <w:t xml:space="preserve">ISO </w:t>
      </w:r>
      <w:r>
        <w:t>New England</w:t>
      </w:r>
      <w:r w:rsidR="00D37D7A">
        <w:t xml:space="preserve"> (</w:t>
      </w:r>
      <w:r w:rsidR="007A5925">
        <w:t xml:space="preserve">the </w:t>
      </w:r>
      <w:r w:rsidR="00D37D7A">
        <w:t>ISO</w:t>
      </w:r>
      <w:r w:rsidR="007A5925">
        <w:t xml:space="preserve"> or ISO-NE</w:t>
      </w:r>
      <w:r w:rsidR="00D37D7A">
        <w:t>)</w:t>
      </w:r>
      <w:r>
        <w:t xml:space="preserve"> </w:t>
      </w:r>
      <w:r w:rsidR="00863D0B" w:rsidRPr="003B1F97">
        <w:t xml:space="preserve">operating </w:t>
      </w:r>
      <w:r w:rsidR="00863D0B" w:rsidRPr="001659AB">
        <w:t>staff</w:t>
      </w:r>
      <w:r w:rsidR="00863D0B" w:rsidRPr="003B1F97">
        <w:t xml:space="preserve"> </w:t>
      </w:r>
      <w:r w:rsidR="0064335F">
        <w:t xml:space="preserve">continuously </w:t>
      </w:r>
      <w:r w:rsidR="0064335F" w:rsidRPr="001659AB">
        <w:t>monitor</w:t>
      </w:r>
      <w:r w:rsidR="009D0B1D">
        <w:t>s</w:t>
      </w:r>
      <w:r w:rsidR="0064335F">
        <w:t xml:space="preserve"> resources available</w:t>
      </w:r>
      <w:r w:rsidR="00863D0B" w:rsidRPr="003B1F97">
        <w:t xml:space="preserve"> to meet demand</w:t>
      </w:r>
      <w:r w:rsidR="00C53B50">
        <w:t>,</w:t>
      </w:r>
      <w:r w:rsidR="00C53B50" w:rsidRPr="00C53B50">
        <w:t xml:space="preserve"> </w:t>
      </w:r>
      <w:r w:rsidR="00C53B50" w:rsidRPr="007F0DE4">
        <w:t>particularly in winter</w:t>
      </w:r>
      <w:r w:rsidRPr="003B1F97">
        <w:t>. During</w:t>
      </w:r>
      <w:r w:rsidR="005E0754">
        <w:t xml:space="preserve"> severely </w:t>
      </w:r>
      <w:r w:rsidRPr="00534D54">
        <w:t xml:space="preserve">cold periods, electricity needs have been </w:t>
      </w:r>
      <w:r w:rsidR="00B44AAF">
        <w:t xml:space="preserve">primarily </w:t>
      </w:r>
      <w:r w:rsidRPr="00534D54">
        <w:t>met</w:t>
      </w:r>
      <w:r w:rsidR="00D83122" w:rsidRPr="00534D54">
        <w:t xml:space="preserve"> </w:t>
      </w:r>
      <w:r w:rsidRPr="00534D54">
        <w:t>through a combination of generators using natural</w:t>
      </w:r>
      <w:r w:rsidR="00D03C76">
        <w:t xml:space="preserve"> </w:t>
      </w:r>
      <w:r w:rsidRPr="00534D54">
        <w:t xml:space="preserve">gas </w:t>
      </w:r>
      <w:r w:rsidRPr="003B1F97">
        <w:t xml:space="preserve">from </w:t>
      </w:r>
      <w:r w:rsidRPr="00534D54">
        <w:t xml:space="preserve">pipelines and liquefied natural gas (LNG), </w:t>
      </w:r>
      <w:r w:rsidR="00311FEB">
        <w:t>rather than</w:t>
      </w:r>
      <w:r w:rsidRPr="00534D54">
        <w:t xml:space="preserve"> nuclear, coal, and oil fuels</w:t>
      </w:r>
      <w:r w:rsidR="0086692C">
        <w:t>.</w:t>
      </w:r>
      <w:r w:rsidR="00DD68FE" w:rsidRPr="00534D54">
        <w:t xml:space="preserve"> </w:t>
      </w:r>
      <w:r w:rsidR="00FF6F55" w:rsidRPr="00D83122">
        <w:t xml:space="preserve">The majority of New England </w:t>
      </w:r>
      <w:r w:rsidR="00D83122" w:rsidRPr="00D83122">
        <w:t>n</w:t>
      </w:r>
      <w:r w:rsidR="00FF6F55" w:rsidRPr="00D83122">
        <w:t>atural</w:t>
      </w:r>
      <w:r w:rsidR="00D03C76">
        <w:t xml:space="preserve"> </w:t>
      </w:r>
      <w:r w:rsidR="00D83122" w:rsidRPr="00534D54">
        <w:t>g</w:t>
      </w:r>
      <w:r w:rsidR="00FF6F55" w:rsidRPr="00D83122">
        <w:t xml:space="preserve">as </w:t>
      </w:r>
      <w:r w:rsidR="00D83122" w:rsidRPr="00534D54">
        <w:t>g</w:t>
      </w:r>
      <w:r w:rsidR="00FF6F55" w:rsidRPr="00D83122">
        <w:t>enerat</w:t>
      </w:r>
      <w:r w:rsidR="008F0FCF">
        <w:t>or</w:t>
      </w:r>
      <w:r w:rsidR="0064335F">
        <w:t>s</w:t>
      </w:r>
      <w:r w:rsidR="00FF6F55" w:rsidRPr="00D83122">
        <w:t xml:space="preserve"> </w:t>
      </w:r>
      <w:r w:rsidR="00D83122" w:rsidRPr="00D83122">
        <w:t>do not</w:t>
      </w:r>
      <w:r w:rsidR="00FF6F55" w:rsidRPr="00D83122">
        <w:t xml:space="preserve"> have firm gas contract</w:t>
      </w:r>
      <w:r w:rsidR="0064335F">
        <w:t>s</w:t>
      </w:r>
      <w:r w:rsidR="00FF6F55" w:rsidRPr="00D83122">
        <w:t>,</w:t>
      </w:r>
      <w:r w:rsidR="00FF6F55">
        <w:t xml:space="preserve"> and typically buy gas in the spot market. This has become an issue in the winter</w:t>
      </w:r>
      <w:r w:rsidR="00B44AAF">
        <w:t xml:space="preserve"> when gas </w:t>
      </w:r>
      <w:r w:rsidR="00682C13" w:rsidRPr="00682C13">
        <w:t xml:space="preserve">supply available for generation is </w:t>
      </w:r>
      <w:r w:rsidR="002908EA">
        <w:t>reduced by</w:t>
      </w:r>
      <w:r w:rsidR="00FF6F55">
        <w:t xml:space="preserve"> home heating natural</w:t>
      </w:r>
      <w:r w:rsidR="00D03C76">
        <w:t xml:space="preserve"> </w:t>
      </w:r>
      <w:r w:rsidR="00FF6F55">
        <w:t>gas demands</w:t>
      </w:r>
      <w:r w:rsidR="00B44AAF">
        <w:t>. However,</w:t>
      </w:r>
      <w:r w:rsidR="00FF6F55">
        <w:t xml:space="preserve"> </w:t>
      </w:r>
      <w:r w:rsidR="002908EA">
        <w:t>reduced gas availability</w:t>
      </w:r>
      <w:r w:rsidR="00FF6F55">
        <w:t xml:space="preserve"> can occur</w:t>
      </w:r>
      <w:r w:rsidR="00FF6F55" w:rsidRPr="00420A98">
        <w:t xml:space="preserve"> a</w:t>
      </w:r>
      <w:r w:rsidR="00FF6F55">
        <w:t xml:space="preserve">t any time of the year. </w:t>
      </w:r>
      <w:r w:rsidRPr="00420A98">
        <w:t xml:space="preserve">Additionally, LNG deliveries to New England, which are influenced by </w:t>
      </w:r>
      <w:r w:rsidR="00A33203">
        <w:t xml:space="preserve">global </w:t>
      </w:r>
      <w:r w:rsidRPr="00420A98">
        <w:t xml:space="preserve">economics and logistics, </w:t>
      </w:r>
      <w:r>
        <w:t>can be</w:t>
      </w:r>
      <w:r w:rsidRPr="00420A98">
        <w:t xml:space="preserve"> uncertain</w:t>
      </w:r>
      <w:r w:rsidR="00F440CF">
        <w:t>,</w:t>
      </w:r>
      <w:r w:rsidRPr="00420A98">
        <w:t xml:space="preserve"> and environmental permitting for new dual-fuel capability (typically, natural gas and oil) is becoming more difficult. Even when </w:t>
      </w:r>
      <w:r w:rsidR="00B44AAF">
        <w:t>dual-fuel</w:t>
      </w:r>
      <w:r w:rsidR="00B44AAF" w:rsidRPr="00420A98">
        <w:t xml:space="preserve"> </w:t>
      </w:r>
      <w:r w:rsidRPr="00420A98">
        <w:t xml:space="preserve">units have permits, their run times for burning oil may be </w:t>
      </w:r>
      <w:r w:rsidR="00B44AAF">
        <w:t xml:space="preserve">limited to </w:t>
      </w:r>
      <w:r w:rsidRPr="00420A98">
        <w:t>restrict their air emissions</w:t>
      </w:r>
      <w:r w:rsidRPr="005F6B8A">
        <w:t>.</w:t>
      </w:r>
      <w:r w:rsidRPr="00383AFC">
        <w:t xml:space="preserve"> </w:t>
      </w:r>
      <w:r w:rsidRPr="00CF2B8B">
        <w:t xml:space="preserve">The development of renewable resources, </w:t>
      </w:r>
      <w:r w:rsidR="00FF6F55">
        <w:t>energy efficiency (</w:t>
      </w:r>
      <w:r w:rsidRPr="00CF2B8B">
        <w:t>EE</w:t>
      </w:r>
      <w:r w:rsidR="00FF6F55">
        <w:t>)</w:t>
      </w:r>
      <w:r w:rsidRPr="00353985">
        <w:t xml:space="preserve">, </w:t>
      </w:r>
      <w:r w:rsidR="0004771C">
        <w:t>battery storage</w:t>
      </w:r>
      <w:r w:rsidRPr="00353985">
        <w:t>, i</w:t>
      </w:r>
      <w:r w:rsidRPr="00CF2B8B">
        <w:t>mports</w:t>
      </w:r>
      <w:r w:rsidR="00863D0B">
        <w:t>,</w:t>
      </w:r>
      <w:r w:rsidRPr="00CF2B8B">
        <w:t xml:space="preserve"> and continued investment in </w:t>
      </w:r>
      <w:r w:rsidR="000824FE">
        <w:t xml:space="preserve">natural </w:t>
      </w:r>
      <w:r w:rsidRPr="00CF2B8B">
        <w:t xml:space="preserve">gas-efficiency measures will help </w:t>
      </w:r>
      <w:r w:rsidR="00C5643D">
        <w:t>reduce</w:t>
      </w:r>
      <w:r w:rsidR="00C5643D" w:rsidRPr="00CF2B8B">
        <w:t xml:space="preserve"> </w:t>
      </w:r>
      <w:r w:rsidR="00C50D56">
        <w:t xml:space="preserve">these </w:t>
      </w:r>
      <w:r w:rsidRPr="00CF2B8B">
        <w:t>risks</w:t>
      </w:r>
      <w:r w:rsidR="00054C0E">
        <w:t xml:space="preserve">, but are unlikely to </w:t>
      </w:r>
      <w:r w:rsidR="002908EA">
        <w:t xml:space="preserve">fully </w:t>
      </w:r>
      <w:r w:rsidR="00054C0E">
        <w:t>mitigate the risks associated with extreme weather events that limit renewable energy production and/or cause multiple, correlated contingencies</w:t>
      </w:r>
      <w:r w:rsidRPr="00CF2B8B">
        <w:t xml:space="preserve">. </w:t>
      </w:r>
      <w:r w:rsidR="00836BED">
        <w:t xml:space="preserve">The </w:t>
      </w:r>
      <w:r w:rsidR="009B163D">
        <w:t xml:space="preserve">ISO has initiated a project </w:t>
      </w:r>
      <w:r w:rsidR="00836BED">
        <w:t xml:space="preserve">to update </w:t>
      </w:r>
      <w:r w:rsidR="00836BED" w:rsidRPr="0086692C">
        <w:t>the modeling of low probability, high impact events, including those caused by severe weather.</w:t>
      </w:r>
      <w:r w:rsidR="009B163D" w:rsidRPr="0086692C">
        <w:t xml:space="preserve"> This will allow </w:t>
      </w:r>
      <w:r w:rsidR="00D35AD6" w:rsidRPr="0086692C">
        <w:t>policy</w:t>
      </w:r>
      <w:r w:rsidR="0086692C">
        <w:t>-</w:t>
      </w:r>
      <w:r w:rsidR="00D35AD6" w:rsidRPr="0086692C">
        <w:t>makers</w:t>
      </w:r>
      <w:r w:rsidR="00CE3DD0" w:rsidRPr="0086692C">
        <w:t>, regulators</w:t>
      </w:r>
      <w:r w:rsidR="002908EA" w:rsidRPr="0086692C">
        <w:t>,</w:t>
      </w:r>
      <w:r w:rsidR="009B163D" w:rsidRPr="0086692C">
        <w:t xml:space="preserve"> and the ISO to </w:t>
      </w:r>
      <w:r w:rsidR="000D3694" w:rsidRPr="0086692C">
        <w:t xml:space="preserve">assess the likelihood of risks and then discuss whether and how </w:t>
      </w:r>
      <w:r w:rsidR="009B163D" w:rsidRPr="0086692C">
        <w:t>to mitigate these risks.</w:t>
      </w:r>
    </w:p>
    <w:p w:rsidR="00776BA4" w:rsidRPr="00132214" w:rsidRDefault="00F92523" w:rsidP="00776BA4">
      <w:r w:rsidRPr="000279D9">
        <w:t>Generator retirements, integration of many distributed and grid</w:t>
      </w:r>
      <w:r w:rsidR="00971262">
        <w:t xml:space="preserve"> </w:t>
      </w:r>
      <w:r w:rsidRPr="000279D9">
        <w:t xml:space="preserve">level resources, use of inverter-based technologies, and issues </w:t>
      </w:r>
      <w:r w:rsidR="00AE28E3">
        <w:t>a</w:t>
      </w:r>
      <w:r w:rsidRPr="000279D9">
        <w:t>rising from minimum-load assessments are changing the</w:t>
      </w:r>
      <w:r w:rsidR="0064335F">
        <w:t xml:space="preserve"> drivers of</w:t>
      </w:r>
      <w:r w:rsidRPr="000279D9">
        <w:t xml:space="preserve"> reliability-based transmission </w:t>
      </w:r>
      <w:r w:rsidRPr="00132214">
        <w:t>upgrades.</w:t>
      </w:r>
      <w:r>
        <w:t xml:space="preserve"> </w:t>
      </w:r>
      <w:r w:rsidRPr="000279D9">
        <w:t>The ISO has been identifying long-term system needs</w:t>
      </w:r>
      <w:r>
        <w:t xml:space="preserve"> </w:t>
      </w:r>
      <w:r w:rsidR="00F30706">
        <w:t>and</w:t>
      </w:r>
      <w:r w:rsidR="005C4926">
        <w:t>,</w:t>
      </w:r>
      <w:r w:rsidR="005C4926" w:rsidRPr="005C4926">
        <w:rPr>
          <w:color w:val="FF0000"/>
        </w:rPr>
        <w:t xml:space="preserve"> </w:t>
      </w:r>
      <w:r w:rsidR="005C4926" w:rsidRPr="0086692C">
        <w:t>on one occasion,</w:t>
      </w:r>
      <w:r w:rsidR="00F30706">
        <w:t xml:space="preserve"> </w:t>
      </w:r>
      <w:hyperlink r:id="rId21" w:history="1">
        <w:r w:rsidR="00F30706" w:rsidRPr="00D476EE">
          <w:rPr>
            <w:rStyle w:val="Hyperlink"/>
          </w:rPr>
          <w:t>solicit</w:t>
        </w:r>
        <w:r w:rsidR="005C4926">
          <w:rPr>
            <w:rStyle w:val="Hyperlink"/>
          </w:rPr>
          <w:t>ed</w:t>
        </w:r>
        <w:r w:rsidR="00F30706" w:rsidRPr="00D476EE">
          <w:rPr>
            <w:rStyle w:val="Hyperlink"/>
          </w:rPr>
          <w:t xml:space="preserve"> competitive solutions</w:t>
        </w:r>
      </w:hyperlink>
      <w:r w:rsidR="00F30706">
        <w:t xml:space="preserve"> for needs that </w:t>
      </w:r>
      <w:r w:rsidR="00B44AAF">
        <w:t>arise more</w:t>
      </w:r>
      <w:r w:rsidR="00F30706">
        <w:t xml:space="preserve"> than three years</w:t>
      </w:r>
      <w:r w:rsidR="00B44AAF">
        <w:t xml:space="preserve"> in the future</w:t>
      </w:r>
      <w:r w:rsidR="00F30706">
        <w:t xml:space="preserve"> </w:t>
      </w:r>
      <w:r w:rsidRPr="000279D9">
        <w:t xml:space="preserve">in accordance with </w:t>
      </w:r>
      <w:r w:rsidRPr="00744016">
        <w:t xml:space="preserve">FERC </w:t>
      </w:r>
      <w:hyperlink r:id="rId22" w:history="1">
        <w:r w:rsidRPr="00D476EE">
          <w:rPr>
            <w:rStyle w:val="Hyperlink"/>
          </w:rPr>
          <w:t>Order 1000</w:t>
        </w:r>
      </w:hyperlink>
      <w:r w:rsidRPr="000279D9">
        <w:t>.</w:t>
      </w:r>
      <w:r w:rsidR="00430C93">
        <w:rPr>
          <w:rStyle w:val="FootnoteReference"/>
        </w:rPr>
        <w:footnoteReference w:id="5"/>
      </w:r>
      <w:r>
        <w:t xml:space="preserve"> T</w:t>
      </w:r>
      <w:r w:rsidR="00776BA4" w:rsidRPr="00DF00D4">
        <w:t xml:space="preserve">he </w:t>
      </w:r>
      <w:r w:rsidR="00F440CF" w:rsidRPr="00DF00D4">
        <w:t>reliab</w:t>
      </w:r>
      <w:r w:rsidR="00F440CF">
        <w:t>le</w:t>
      </w:r>
      <w:r w:rsidR="00F440CF" w:rsidRPr="00DF00D4">
        <w:t xml:space="preserve"> </w:t>
      </w:r>
      <w:r w:rsidR="00776BA4" w:rsidRPr="00DF00D4">
        <w:t>and economic performance of the system is expected to continue</w:t>
      </w:r>
      <w:r w:rsidR="00AE28E3">
        <w:t xml:space="preserve"> </w:t>
      </w:r>
      <w:r w:rsidR="00776BA4" w:rsidRPr="00DF00D4">
        <w:t xml:space="preserve">as </w:t>
      </w:r>
      <w:r w:rsidR="00D83122">
        <w:t>a</w:t>
      </w:r>
      <w:r w:rsidR="00776BA4" w:rsidRPr="00DF00D4">
        <w:t xml:space="preserve"> result of approxima</w:t>
      </w:r>
      <w:r w:rsidR="00776BA4" w:rsidRPr="00176E03">
        <w:t xml:space="preserve">tely </w:t>
      </w:r>
      <w:r w:rsidR="00776BA4" w:rsidRPr="00B74B04">
        <w:t>$1.</w:t>
      </w:r>
      <w:r w:rsidR="008373D6">
        <w:t>1</w:t>
      </w:r>
      <w:r w:rsidR="00776BA4" w:rsidRPr="00B74B04">
        <w:t xml:space="preserve"> billion</w:t>
      </w:r>
      <w:r w:rsidR="00776BA4" w:rsidRPr="00DF00D4">
        <w:t xml:space="preserve"> of planned transmission upgrades</w:t>
      </w:r>
      <w:r w:rsidR="00776BA4">
        <w:t xml:space="preserve"> over the next 10 years</w:t>
      </w:r>
      <w:r w:rsidR="00776BA4" w:rsidRPr="00DF00D4">
        <w:t>, much of which is in siting or under co</w:t>
      </w:r>
      <w:r w:rsidR="00776BA4" w:rsidRPr="000279D9">
        <w:t xml:space="preserve">nstruction. </w:t>
      </w:r>
    </w:p>
    <w:p w:rsidR="00776BA4" w:rsidRPr="003A1975" w:rsidRDefault="00776BA4" w:rsidP="00776BA4">
      <w:r w:rsidRPr="00132214">
        <w:t xml:space="preserve">The overall system is transforming to a </w:t>
      </w:r>
      <w:r w:rsidRPr="00AC72D1">
        <w:t xml:space="preserve">cleaner, hybrid grid, </w:t>
      </w:r>
      <w:r w:rsidR="00B44AAF">
        <w:t>characterized by</w:t>
      </w:r>
      <w:r w:rsidR="00B44AAF" w:rsidRPr="00AC72D1">
        <w:t xml:space="preserve"> </w:t>
      </w:r>
      <w:r w:rsidRPr="00AC72D1">
        <w:t xml:space="preserve">low system emissions </w:t>
      </w:r>
      <w:r w:rsidR="00B44AAF">
        <w:t>through</w:t>
      </w:r>
      <w:r w:rsidR="00B44AAF" w:rsidRPr="00AC72D1">
        <w:t xml:space="preserve"> </w:t>
      </w:r>
      <w:r w:rsidRPr="00AC72D1">
        <w:t>the</w:t>
      </w:r>
      <w:r w:rsidRPr="00132214">
        <w:t xml:space="preserve"> widespread developmen</w:t>
      </w:r>
      <w:r w:rsidRPr="00AC72D1">
        <w:t>t of renewable resources, including onshore and offshore wind generation</w:t>
      </w:r>
      <w:r w:rsidR="00251EAE">
        <w:t xml:space="preserve"> and both grid-connected and distributed</w:t>
      </w:r>
      <w:r w:rsidR="00D908DC">
        <w:t xml:space="preserve"> </w:t>
      </w:r>
      <w:r w:rsidR="00B44AAF">
        <w:t>photovoltaics (</w:t>
      </w:r>
      <w:r w:rsidRPr="00383AFC">
        <w:t>PV</w:t>
      </w:r>
      <w:r w:rsidR="00B44AAF">
        <w:t>)</w:t>
      </w:r>
      <w:r w:rsidR="0086692C">
        <w:t>.</w:t>
      </w:r>
      <w:r w:rsidRPr="00383AFC">
        <w:rPr>
          <w:vertAlign w:val="superscript"/>
        </w:rPr>
        <w:footnoteReference w:id="6"/>
      </w:r>
      <w:r w:rsidR="00251EAE">
        <w:t xml:space="preserve"> </w:t>
      </w:r>
      <w:r w:rsidRPr="00EB0617">
        <w:t>Over the longer-term</w:t>
      </w:r>
      <w:r w:rsidRPr="00132214">
        <w:t xml:space="preserve">, additional Canadian hydroelectricity (hydro) </w:t>
      </w:r>
      <w:r w:rsidR="00C60ACA">
        <w:t xml:space="preserve">imports </w:t>
      </w:r>
      <w:r w:rsidRPr="00132214">
        <w:t xml:space="preserve">and new technologies </w:t>
      </w:r>
      <w:r w:rsidRPr="00B31FEF">
        <w:t>will likely continue the trend toward a cleaner, albeit more complex, system. The ISO closely monitors</w:t>
      </w:r>
      <w:r w:rsidR="00C50D56">
        <w:t xml:space="preserve"> state and federal</w:t>
      </w:r>
      <w:r w:rsidRPr="00B31FEF">
        <w:t xml:space="preserve"> policy </w:t>
      </w:r>
      <w:r w:rsidRPr="00EB16A5">
        <w:t xml:space="preserve">developments, </w:t>
      </w:r>
      <w:r w:rsidR="00076689">
        <w:t>with</w:t>
      </w:r>
      <w:r w:rsidRPr="00EB16A5">
        <w:t xml:space="preserve"> the electrification of the transportation sector</w:t>
      </w:r>
      <w:r w:rsidR="00076689">
        <w:t xml:space="preserve"> and home heating expected</w:t>
      </w:r>
      <w:r w:rsidRPr="00B31FEF">
        <w:t xml:space="preserve"> to increase demand beyond the 10-year </w:t>
      </w:r>
      <w:r w:rsidRPr="005F6B8A">
        <w:t xml:space="preserve">forecast period. </w:t>
      </w:r>
    </w:p>
    <w:p w:rsidR="00A847E6" w:rsidRDefault="00776BA4" w:rsidP="00776BA4">
      <w:r w:rsidRPr="00383AFC">
        <w:t xml:space="preserve">The ISO has taken several actions to address the added complexities </w:t>
      </w:r>
      <w:r w:rsidR="00C60ACA">
        <w:t xml:space="preserve">affecting </w:t>
      </w:r>
      <w:r w:rsidRPr="00383AFC">
        <w:t xml:space="preserve">real-time operations, regional planning, and the economic performance of the system brought about by grid transformation. </w:t>
      </w:r>
      <w:r w:rsidR="00715271">
        <w:t>State-of-the-art tools have improved demand, wind, and solar forecasting techniques.</w:t>
      </w:r>
      <w:r w:rsidR="00B44AAF">
        <w:t xml:space="preserve"> Closer coordination with the </w:t>
      </w:r>
      <w:r w:rsidR="000824FE">
        <w:t xml:space="preserve">natural </w:t>
      </w:r>
      <w:r w:rsidR="00B44AAF">
        <w:t>gas industry has provided more certainty about near term-fuel supplies.</w:t>
      </w:r>
      <w:r w:rsidR="00715271">
        <w:t xml:space="preserve"> New </w:t>
      </w:r>
      <w:r w:rsidR="00C50D56">
        <w:t xml:space="preserve">analytic </w:t>
      </w:r>
      <w:r w:rsidR="00715271">
        <w:t xml:space="preserve">and system modeling techniques have provided a more robust means to </w:t>
      </w:r>
      <w:r w:rsidR="00C50D56">
        <w:t xml:space="preserve">evaluate </w:t>
      </w:r>
      <w:r w:rsidR="00715271">
        <w:t>the state of the system.</w:t>
      </w:r>
      <w:r w:rsidR="00FF6F55">
        <w:t xml:space="preserve"> </w:t>
      </w:r>
      <w:hyperlink r:id="rId23" w:history="1">
        <w:r w:rsidRPr="001419DB">
          <w:rPr>
            <w:rStyle w:val="Hyperlink"/>
          </w:rPr>
          <w:t>Economic studies</w:t>
        </w:r>
      </w:hyperlink>
      <w:r w:rsidRPr="00977858">
        <w:t xml:space="preserve"> hav</w:t>
      </w:r>
      <w:r w:rsidRPr="00311A35">
        <w:t>e ide</w:t>
      </w:r>
      <w:r w:rsidRPr="00383AFC">
        <w:t>ntified key issues with different resource portfolios for the regi</w:t>
      </w:r>
      <w:r w:rsidRPr="005F6B8A">
        <w:t xml:space="preserve">on. </w:t>
      </w:r>
    </w:p>
    <w:p w:rsidR="00247F6F" w:rsidRDefault="00247F6F" w:rsidP="00247F6F">
      <w:r>
        <w:t xml:space="preserve">The power sector plays a pivotal role in any scenario for substantially decarbonizing the U.S. economy. The power sector must substantially reduce its emissions even as demand for </w:t>
      </w:r>
      <w:r w:rsidR="00311FEB">
        <w:t xml:space="preserve">energy </w:t>
      </w:r>
      <w:r>
        <w:t xml:space="preserve">rises as other sectors switch from fossil fuels to electricity to reduce their own carbon emissions. According to the </w:t>
      </w:r>
      <w:hyperlink r:id="rId24" w:history="1">
        <w:r w:rsidRPr="00D476EE">
          <w:rPr>
            <w:rStyle w:val="Hyperlink"/>
          </w:rPr>
          <w:t>Center for Climate and Energy Solutions</w:t>
        </w:r>
      </w:hyperlink>
      <w:r>
        <w:t>, “with rising generation from natural gas, wind, and solar, the power sector has been decarbonizing at an average rate of 3 percent a year since 2008. Under a business-as-usual scenario, power generation is projected to rise 24 percent by 2050; greenhouse gas emissions will continue declining in the near term but are projected to return almost to today’s levels by 2030 and remain level through 2050.”</w:t>
      </w:r>
      <w:r w:rsidRPr="00247F6F">
        <w:t xml:space="preserve"> </w:t>
      </w:r>
      <w:r>
        <w:t xml:space="preserve">As further noted, “decarbonizing the power sector requires a multi-faceted approach that could include: continued substitution of no- or lower-emission power sources; continued improvements in end-use efficiency; improved grid flexibility and storage; and the use of carbon capture, utilization and storage on remaining fossil fuel-based generation.” ISO-NE is </w:t>
      </w:r>
      <w:r w:rsidR="00AA4E5C">
        <w:t xml:space="preserve">well </w:t>
      </w:r>
      <w:r w:rsidR="00FB614C">
        <w:t xml:space="preserve">positioned </w:t>
      </w:r>
      <w:r>
        <w:t xml:space="preserve">to assist </w:t>
      </w:r>
      <w:r w:rsidR="00FB614C">
        <w:t xml:space="preserve">and provide assessments associated </w:t>
      </w:r>
      <w:r>
        <w:t xml:space="preserve">with this </w:t>
      </w:r>
      <w:r w:rsidR="00AF3920">
        <w:t xml:space="preserve">these changes, and thereby inform </w:t>
      </w:r>
      <w:r>
        <w:t xml:space="preserve">local, state and federal policies. </w:t>
      </w:r>
      <w:r w:rsidR="004D1220">
        <w:t xml:space="preserve">Decarbonization of the power sector not only affects emissions, but there are downstream impacts to load forecasting, resource adequacy, and transmission </w:t>
      </w:r>
      <w:r w:rsidR="00C5643D">
        <w:t>development</w:t>
      </w:r>
      <w:r w:rsidR="004D1220">
        <w:t>. Throughout RSP21, the impacts of decarbonization are discussed.</w:t>
      </w:r>
    </w:p>
    <w:p w:rsidR="00664A5B" w:rsidRDefault="00A847E6" w:rsidP="00247F6F">
      <w:r>
        <w:t>Several studies are underway to assess</w:t>
      </w:r>
      <w:r w:rsidR="00C50D56">
        <w:t xml:space="preserve"> </w:t>
      </w:r>
      <w:r w:rsidR="00311FEB">
        <w:t xml:space="preserve">how to maintain reliability with </w:t>
      </w:r>
      <w:r w:rsidR="004C6FD0">
        <w:t>a decarbonized grid</w:t>
      </w:r>
      <w:r>
        <w:t xml:space="preserve">. Currently, as </w:t>
      </w:r>
      <w:r w:rsidR="009D20C4">
        <w:t>part of the</w:t>
      </w:r>
      <w:r>
        <w:t xml:space="preserve"> 2021 Economic Study, the ISO is undertaking </w:t>
      </w:r>
      <w:r w:rsidR="00591845">
        <w:t>the</w:t>
      </w:r>
      <w:r>
        <w:t xml:space="preserve"> Future Grid Reliability Study</w:t>
      </w:r>
      <w:r w:rsidR="0096253F">
        <w:t xml:space="preserve"> (FGRS)</w:t>
      </w:r>
      <w:r>
        <w:t>. The study</w:t>
      </w:r>
      <w:r w:rsidR="009D20C4">
        <w:t xml:space="preserve">, </w:t>
      </w:r>
      <w:r w:rsidR="009D20C4" w:rsidRPr="0086692C">
        <w:t xml:space="preserve">initiated by </w:t>
      </w:r>
      <w:r w:rsidR="00971262" w:rsidRPr="0086692C">
        <w:t>the New England Power Pool (</w:t>
      </w:r>
      <w:r w:rsidR="009D20C4" w:rsidRPr="0086692C">
        <w:t>NEPOOL</w:t>
      </w:r>
      <w:r w:rsidR="00971262" w:rsidRPr="0086692C">
        <w:t>)</w:t>
      </w:r>
      <w:r w:rsidR="00556877" w:rsidRPr="0086692C">
        <w:t xml:space="preserve"> and </w:t>
      </w:r>
      <w:r w:rsidR="0092409E" w:rsidRPr="0086692C">
        <w:t xml:space="preserve">supported by </w:t>
      </w:r>
      <w:r w:rsidR="00556877" w:rsidRPr="0086692C">
        <w:t>the New England states</w:t>
      </w:r>
      <w:r w:rsidR="009D20C4" w:rsidRPr="0086692C">
        <w:t>,</w:t>
      </w:r>
      <w:r w:rsidRPr="0086692C">
        <w:t xml:space="preserve"> will look at </w:t>
      </w:r>
      <w:r>
        <w:t>the implications of a substantially</w:t>
      </w:r>
      <w:r w:rsidR="003B2317">
        <w:t>-</w:t>
      </w:r>
      <w:r>
        <w:t xml:space="preserve">changed grid, one where </w:t>
      </w:r>
      <w:r w:rsidR="004248A1">
        <w:t>clean, intermittent resources</w:t>
      </w:r>
      <w:r w:rsidR="004248A1" w:rsidRPr="004248A1">
        <w:t xml:space="preserve"> </w:t>
      </w:r>
      <w:r w:rsidR="004248A1">
        <w:t xml:space="preserve">comprise </w:t>
      </w:r>
      <w:r w:rsidR="00EF0B00" w:rsidRPr="004248A1">
        <w:t xml:space="preserve">a </w:t>
      </w:r>
      <w:r w:rsidRPr="004248A1">
        <w:t xml:space="preserve">majority </w:t>
      </w:r>
      <w:r w:rsidRPr="001D17DC">
        <w:t xml:space="preserve">of the </w:t>
      </w:r>
      <w:r w:rsidR="00703F79" w:rsidRPr="001D17DC">
        <w:t>generation</w:t>
      </w:r>
      <w:r w:rsidRPr="001D17DC">
        <w:t xml:space="preserve"> mix</w:t>
      </w:r>
      <w:r w:rsidR="004248A1" w:rsidRPr="001D17DC">
        <w:t>.</w:t>
      </w:r>
      <w:r w:rsidRPr="001D17DC">
        <w:t xml:space="preserve"> </w:t>
      </w:r>
      <w:r w:rsidR="00311FEB" w:rsidRPr="001D17DC">
        <w:t>Another study</w:t>
      </w:r>
      <w:r w:rsidR="001D17DC" w:rsidRPr="001D17DC">
        <w:t xml:space="preserve"> is</w:t>
      </w:r>
      <w:r w:rsidR="00311FEB" w:rsidRPr="001D17DC">
        <w:t xml:space="preserve"> t</w:t>
      </w:r>
      <w:r w:rsidR="005032E6" w:rsidRPr="001D17DC">
        <w:t xml:space="preserve">he New England states’ </w:t>
      </w:r>
      <w:hyperlink r:id="rId25" w:history="1">
        <w:r w:rsidR="005032E6" w:rsidRPr="001D17DC">
          <w:rPr>
            <w:rStyle w:val="Hyperlink"/>
            <w:i/>
          </w:rPr>
          <w:t>Vision Statement</w:t>
        </w:r>
      </w:hyperlink>
      <w:r w:rsidR="001D17DC" w:rsidRPr="001D17DC">
        <w:t xml:space="preserve">, which </w:t>
      </w:r>
      <w:r w:rsidR="005032E6" w:rsidRPr="001D17DC">
        <w:t xml:space="preserve">seeks to </w:t>
      </w:r>
      <w:r w:rsidR="00C5643D" w:rsidRPr="001D17DC">
        <w:t xml:space="preserve">have the ISO </w:t>
      </w:r>
      <w:r w:rsidR="0092409E" w:rsidRPr="001D17DC">
        <w:t xml:space="preserve">study transmission scenarios through </w:t>
      </w:r>
      <w:r w:rsidR="005032E6" w:rsidRPr="001D17DC">
        <w:t>the year 2050 to address the states’ energy-policy goals</w:t>
      </w:r>
      <w:r w:rsidR="00DE6A24" w:rsidRPr="001D17DC">
        <w:t xml:space="preserve"> and to incorporate such long</w:t>
      </w:r>
      <w:r w:rsidR="004253D4" w:rsidRPr="001D17DC">
        <w:t>-</w:t>
      </w:r>
      <w:r w:rsidR="00DE6A24" w:rsidRPr="001D17DC">
        <w:t>term, policy-based analysis into ISO’s routine process</w:t>
      </w:r>
      <w:r w:rsidR="005032E6" w:rsidRPr="001D17DC">
        <w:t xml:space="preserve">. This </w:t>
      </w:r>
      <w:r w:rsidR="00A74A5E" w:rsidRPr="001D17DC">
        <w:t xml:space="preserve">current </w:t>
      </w:r>
      <w:r w:rsidR="005032E6" w:rsidRPr="001D17DC">
        <w:t>study is</w:t>
      </w:r>
      <w:r w:rsidR="00591845" w:rsidRPr="001D17DC">
        <w:t xml:space="preserve"> focused on</w:t>
      </w:r>
      <w:r w:rsidR="00524C4A" w:rsidRPr="0086692C">
        <w:t xml:space="preserve"> a l</w:t>
      </w:r>
      <w:r w:rsidR="00524C4A">
        <w:t>onger-term look at</w:t>
      </w:r>
      <w:r w:rsidR="00591845">
        <w:t xml:space="preserve"> transmission </w:t>
      </w:r>
      <w:r w:rsidR="005032E6">
        <w:t>needs and</w:t>
      </w:r>
      <w:r>
        <w:t xml:space="preserve"> will </w:t>
      </w:r>
      <w:r w:rsidR="009D20C4">
        <w:t>inform policy</w:t>
      </w:r>
      <w:r w:rsidR="005C5D9A">
        <w:t>-</w:t>
      </w:r>
      <w:r w:rsidR="009D20C4">
        <w:t>makers</w:t>
      </w:r>
      <w:r>
        <w:t xml:space="preserve"> as they </w:t>
      </w:r>
      <w:r w:rsidR="00750907">
        <w:t xml:space="preserve">make </w:t>
      </w:r>
      <w:r w:rsidR="00591845">
        <w:t>grid expansion decisions to enable the</w:t>
      </w:r>
      <w:r>
        <w:t xml:space="preserve"> decarbonization</w:t>
      </w:r>
      <w:r w:rsidR="009D20C4">
        <w:t xml:space="preserve"> of the </w:t>
      </w:r>
      <w:r w:rsidR="00311FEB">
        <w:t xml:space="preserve">electric </w:t>
      </w:r>
      <w:r w:rsidR="009D20C4">
        <w:t>industry</w:t>
      </w:r>
      <w:r>
        <w:t xml:space="preserve">. In addition to these stakeholder and state-requested studies, the ISO launched </w:t>
      </w:r>
      <w:r w:rsidR="009D20C4">
        <w:t xml:space="preserve">its own </w:t>
      </w:r>
      <w:r w:rsidR="00591845">
        <w:t xml:space="preserve">initiative </w:t>
      </w:r>
      <w:r w:rsidR="009D20C4">
        <w:t xml:space="preserve">to refine </w:t>
      </w:r>
      <w:r w:rsidR="00877C97">
        <w:t>transmission-planning</w:t>
      </w:r>
      <w:r>
        <w:t xml:space="preserve"> assumptions to better reflect the </w:t>
      </w:r>
      <w:r w:rsidR="00591845">
        <w:t>system stresses likely to be encountered as a result of</w:t>
      </w:r>
      <w:r>
        <w:t xml:space="preserve"> the clean energy transition.</w:t>
      </w:r>
      <w:r w:rsidR="00664A5B">
        <w:t xml:space="preserve"> </w:t>
      </w:r>
      <w:r w:rsidR="005032E6">
        <w:t>The</w:t>
      </w:r>
      <w:r w:rsidR="007E7EC2">
        <w:t xml:space="preserve"> Clean Energy Transition (TPCET) Pilot Study began in 2020 and will continue throughout 2021. </w:t>
      </w:r>
      <w:r w:rsidR="009D20C4">
        <w:t xml:space="preserve">In conjunction with </w:t>
      </w:r>
      <w:r w:rsidR="00591845">
        <w:t xml:space="preserve">the </w:t>
      </w:r>
      <w:r w:rsidR="009D20C4">
        <w:t>reliability and planning studies underway</w:t>
      </w:r>
      <w:r w:rsidR="00776BA4">
        <w:t>, a</w:t>
      </w:r>
      <w:r w:rsidR="00776BA4" w:rsidRPr="00383AFC">
        <w:t xml:space="preserve"> number of wholesale market improvements</w:t>
      </w:r>
      <w:r w:rsidR="00917754">
        <w:t xml:space="preserve">, as </w:t>
      </w:r>
      <w:r w:rsidR="00750907">
        <w:t>covered</w:t>
      </w:r>
      <w:r w:rsidR="00917754">
        <w:t xml:space="preserve"> in the </w:t>
      </w:r>
      <w:hyperlink r:id="rId26" w:history="1">
        <w:r w:rsidR="00917754" w:rsidRPr="00D476EE">
          <w:rPr>
            <w:rStyle w:val="Hyperlink"/>
            <w:i/>
          </w:rPr>
          <w:t>Annual Work Plan</w:t>
        </w:r>
      </w:hyperlink>
      <w:r w:rsidR="00917754">
        <w:t>,</w:t>
      </w:r>
      <w:r w:rsidR="00776BA4" w:rsidRPr="00383AFC">
        <w:t xml:space="preserve"> </w:t>
      </w:r>
      <w:r w:rsidR="00C24B3B">
        <w:t>are being discussed and implemented to</w:t>
      </w:r>
      <w:r w:rsidR="005361CF">
        <w:t xml:space="preserve"> </w:t>
      </w:r>
      <w:r w:rsidR="00776BA4" w:rsidRPr="00383AFC">
        <w:t xml:space="preserve">facilitate </w:t>
      </w:r>
      <w:r w:rsidR="005361CF">
        <w:t xml:space="preserve">the </w:t>
      </w:r>
      <w:r w:rsidR="00776BA4" w:rsidRPr="00383AFC">
        <w:t>grid transformation.</w:t>
      </w:r>
    </w:p>
    <w:p w:rsidR="007A2833" w:rsidRDefault="000418C3" w:rsidP="00776BA4">
      <w:r>
        <w:t xml:space="preserve">Through various forums, the ISO continues to work with stakeholders to improve the </w:t>
      </w:r>
      <w:r w:rsidR="00311FEB">
        <w:t xml:space="preserve">transmission </w:t>
      </w:r>
      <w:r>
        <w:t xml:space="preserve">system and wholesale electricity markets. </w:t>
      </w:r>
      <w:r w:rsidRPr="001659AB">
        <w:t xml:space="preserve">Despite the fact </w:t>
      </w:r>
      <w:r w:rsidR="009A01B6" w:rsidRPr="001659AB">
        <w:t xml:space="preserve">that </w:t>
      </w:r>
      <w:r w:rsidRPr="001659AB">
        <w:t>future supply</w:t>
      </w:r>
      <w:r w:rsidR="009A01B6" w:rsidRPr="001659AB">
        <w:t>-</w:t>
      </w:r>
      <w:r w:rsidRPr="001659AB">
        <w:t xml:space="preserve">side resources are likely to be less controllable </w:t>
      </w:r>
      <w:r w:rsidR="00524C4A" w:rsidRPr="001659AB">
        <w:t>than traditional resources</w:t>
      </w:r>
      <w:r w:rsidR="00872E4A">
        <w:t>,</w:t>
      </w:r>
      <w:r w:rsidR="00524C4A">
        <w:t xml:space="preserve"> </w:t>
      </w:r>
      <w:r>
        <w:t xml:space="preserve">and </w:t>
      </w:r>
      <w:r w:rsidR="00591845">
        <w:t xml:space="preserve">that </w:t>
      </w:r>
      <w:r>
        <w:t>loads</w:t>
      </w:r>
      <w:r w:rsidR="00591845">
        <w:t xml:space="preserve"> will be</w:t>
      </w:r>
      <w:r>
        <w:t xml:space="preserve"> more </w:t>
      </w:r>
      <w:r w:rsidR="00311FEB">
        <w:t>challenging</w:t>
      </w:r>
      <w:r>
        <w:t xml:space="preserve"> to </w:t>
      </w:r>
      <w:r w:rsidR="00A30F84">
        <w:t>forecast</w:t>
      </w:r>
      <w:r>
        <w:t xml:space="preserve">, the ISO is </w:t>
      </w:r>
      <w:r w:rsidR="000A7564" w:rsidRPr="001659AB">
        <w:t>well positioned</w:t>
      </w:r>
      <w:r w:rsidR="000A7564">
        <w:t xml:space="preserve"> to anticipate and prepare for the future</w:t>
      </w:r>
      <w:r w:rsidR="009A01B6" w:rsidRPr="00AB2A0A">
        <w:t>.</w:t>
      </w:r>
      <w:r w:rsidR="00776BA4" w:rsidRPr="00AB2A0A">
        <w:t xml:space="preserve"> </w:t>
      </w:r>
      <w:r w:rsidR="007A2833">
        <w:t xml:space="preserve">The technical challenges of incorporating </w:t>
      </w:r>
      <w:r w:rsidR="00AB4D3F">
        <w:t xml:space="preserve">distributed energy resources </w:t>
      </w:r>
      <w:r w:rsidR="007A2833">
        <w:t>and VERs into our system are being met with new planning approaches, operational modifications</w:t>
      </w:r>
      <w:r w:rsidR="00C5643D">
        <w:t>,</w:t>
      </w:r>
      <w:r w:rsidR="007A2833">
        <w:t xml:space="preserve"> and market enhancements that will help unlock the benefits of a low-carbon energy system for our region while maintaining reliability.  </w:t>
      </w:r>
    </w:p>
    <w:p w:rsidR="00776BA4" w:rsidRPr="00DF00D4" w:rsidRDefault="00776BA4" w:rsidP="00776BA4">
      <w:r w:rsidRPr="00AB2A0A">
        <w:t>For all RSP analyses, the ISO use</w:t>
      </w:r>
      <w:r w:rsidR="00591845">
        <w:t>s</w:t>
      </w:r>
      <w:r w:rsidRPr="00AB2A0A">
        <w:t xml:space="preserve"> assumptions</w:t>
      </w:r>
      <w:r w:rsidRPr="00DF00D4">
        <w:t xml:space="preserve"> discussed with the</w:t>
      </w:r>
      <w:r w:rsidR="00FF6F55">
        <w:t xml:space="preserve"> </w:t>
      </w:r>
      <w:hyperlink r:id="rId27" w:history="1">
        <w:r w:rsidR="00FF6F55" w:rsidRPr="00963B61">
          <w:rPr>
            <w:rStyle w:val="Hyperlink"/>
          </w:rPr>
          <w:t>Planning Advisory Committee</w:t>
        </w:r>
      </w:hyperlink>
      <w:r w:rsidR="00FF6F55">
        <w:t xml:space="preserve"> (PAC)</w:t>
      </w:r>
      <w:r w:rsidR="00D438DD">
        <w:t>.</w:t>
      </w:r>
      <w:r w:rsidRPr="00DF00D4">
        <w:t xml:space="preserve"> </w:t>
      </w:r>
      <w:r w:rsidR="00D438DD">
        <w:t xml:space="preserve">These </w:t>
      </w:r>
      <w:r w:rsidR="00D438DD" w:rsidRPr="00066688">
        <w:t>assumptions</w:t>
      </w:r>
      <w:r w:rsidRPr="00066688">
        <w:t xml:space="preserve"> are subject to uncertainty as the system evolves over the planning period and the markets are </w:t>
      </w:r>
      <w:r w:rsidR="002629EC" w:rsidRPr="00066688">
        <w:t>reformed</w:t>
      </w:r>
      <w:r w:rsidRPr="00066688">
        <w:t xml:space="preserve"> to accommodate </w:t>
      </w:r>
      <w:r w:rsidR="002629EC" w:rsidRPr="00066688">
        <w:t>state laws, mandates and policies</w:t>
      </w:r>
      <w:r w:rsidRPr="00066688">
        <w:t xml:space="preserve">. Changes in </w:t>
      </w:r>
      <w:r w:rsidRPr="00DF00D4">
        <w:t>these assumptions could affect the results and conclusions of RSP analyses</w:t>
      </w:r>
      <w:r w:rsidR="00872E4A">
        <w:t>,</w:t>
      </w:r>
      <w:r w:rsidRPr="00DF00D4">
        <w:t xml:space="preserve"> and ultimately the development of transmission</w:t>
      </w:r>
      <w:r w:rsidR="00EF0B00">
        <w:t>,</w:t>
      </w:r>
      <w:r w:rsidRPr="00DF00D4">
        <w:t xml:space="preserve"> generation</w:t>
      </w:r>
      <w:r w:rsidR="00EF0B00">
        <w:t>,</w:t>
      </w:r>
      <w:r w:rsidRPr="00DF00D4">
        <w:t xml:space="preserve"> and demand resources. While each RSP is a snapshot in time, the planning process is </w:t>
      </w:r>
      <w:r w:rsidR="005464F5">
        <w:t xml:space="preserve">proactive and </w:t>
      </w:r>
      <w:r w:rsidRPr="00DF00D4">
        <w:t>continuous</w:t>
      </w:r>
      <w:r>
        <w:t xml:space="preserve">. As needed and appropriate, </w:t>
      </w:r>
      <w:r w:rsidRPr="00DF00D4">
        <w:t xml:space="preserve">the ISO updates the results of planning activities </w:t>
      </w:r>
      <w:r>
        <w:t xml:space="preserve">by </w:t>
      </w:r>
      <w:r w:rsidRPr="00DF00D4">
        <w:t>accounting for the status of ongoing projects, studies, and new initiatives.</w:t>
      </w:r>
    </w:p>
    <w:p w:rsidR="00776BA4" w:rsidRPr="001B747C" w:rsidRDefault="00776BA4" w:rsidP="007A5925">
      <w:pPr>
        <w:pStyle w:val="Heading2"/>
      </w:pPr>
      <w:bookmarkStart w:id="34" w:name="_Toc8727170"/>
      <w:bookmarkStart w:id="35" w:name="_Toc10116682"/>
      <w:bookmarkStart w:id="36" w:name="_Toc81544488"/>
      <w:r w:rsidRPr="001B747C">
        <w:t>Highlights and Key</w:t>
      </w:r>
      <w:r>
        <w:t xml:space="preserve"> Results of</w:t>
      </w:r>
      <w:bookmarkEnd w:id="34"/>
      <w:bookmarkEnd w:id="35"/>
      <w:r w:rsidR="00533048">
        <w:t> </w:t>
      </w:r>
      <w:r w:rsidR="003B7D3C">
        <w:t>RSP21</w:t>
      </w:r>
      <w:bookmarkEnd w:id="36"/>
    </w:p>
    <w:p w:rsidR="00776BA4" w:rsidRPr="001B747C" w:rsidRDefault="00776BA4" w:rsidP="00776BA4">
      <w:r w:rsidRPr="001B747C">
        <w:t xml:space="preserve">This section discusses the highlights of </w:t>
      </w:r>
      <w:r w:rsidR="00D6611A">
        <w:t>the 2021 Regional System Plan (</w:t>
      </w:r>
      <w:r w:rsidRPr="001B747C">
        <w:t>RSP</w:t>
      </w:r>
      <w:r w:rsidR="00AD5DF1">
        <w:t>21</w:t>
      </w:r>
      <w:r w:rsidR="00D6611A">
        <w:t>)</w:t>
      </w:r>
      <w:r w:rsidRPr="001B747C">
        <w:t xml:space="preserve"> and the results of various system and regional strategic planning studies and other materials. The RSP</w:t>
      </w:r>
      <w:r w:rsidR="00D6611A">
        <w:t>21</w:t>
      </w:r>
      <w:r w:rsidRPr="001B747C">
        <w:t xml:space="preserve"> sections indicated below contain more details and links to definitions of terms and full citation information. </w:t>
      </w:r>
    </w:p>
    <w:p w:rsidR="00776BA4" w:rsidRPr="001B747C" w:rsidRDefault="00776BA4" w:rsidP="006B38CE">
      <w:pPr>
        <w:pStyle w:val="Heading3"/>
      </w:pPr>
      <w:bookmarkStart w:id="37" w:name="_Toc8727171"/>
      <w:bookmarkStart w:id="38" w:name="_Toc10116683"/>
      <w:bookmarkStart w:id="39" w:name="_Toc81544489"/>
      <w:r w:rsidRPr="001B747C">
        <w:t>Forecasts of the Annual and Peak Use of Electric Energy (</w:t>
      </w:r>
      <w:hyperlink w:anchor="_Forecasts_of_New" w:history="1">
        <w:r w:rsidR="0028497B" w:rsidRPr="00E711B4">
          <w:rPr>
            <w:u w:val="single"/>
          </w:rPr>
          <w:t>Chapter</w:t>
        </w:r>
        <w:r w:rsidR="00533048" w:rsidRPr="00E711B4">
          <w:rPr>
            <w:u w:val="single"/>
          </w:rPr>
          <w:t> </w:t>
        </w:r>
        <w:r w:rsidR="0028497B" w:rsidRPr="00E711B4">
          <w:rPr>
            <w:u w:val="single"/>
          </w:rPr>
          <w:t>3</w:t>
        </w:r>
      </w:hyperlink>
      <w:r w:rsidRPr="001B747C">
        <w:t>)</w:t>
      </w:r>
      <w:bookmarkEnd w:id="37"/>
      <w:bookmarkEnd w:id="38"/>
      <w:bookmarkEnd w:id="39"/>
    </w:p>
    <w:p w:rsidR="00AD5DF1" w:rsidRPr="001B747C" w:rsidRDefault="00AD5DF1" w:rsidP="00AD5DF1">
      <w:r w:rsidRPr="00D4150E">
        <w:t xml:space="preserve">Historical loads, seasonal weather patterns, economic and demographic factors, and anticipated growth of </w:t>
      </w:r>
      <w:r w:rsidR="00414917" w:rsidRPr="00D4150E">
        <w:t xml:space="preserve">distribution-connected resources and technologies </w:t>
      </w:r>
      <w:r w:rsidRPr="00D4150E">
        <w:t xml:space="preserve">drive the RSP21 </w:t>
      </w:r>
      <w:hyperlink r:id="rId28" w:history="1">
        <w:r w:rsidRPr="00D476EE">
          <w:rPr>
            <w:rStyle w:val="Hyperlink"/>
          </w:rPr>
          <w:t>forecasts of the gross peak and annual electric energy demand</w:t>
        </w:r>
      </w:hyperlink>
      <w:r w:rsidRPr="00D4150E">
        <w:t>. While the forecast methods used in RSP21 are similar to those used in RSP</w:t>
      </w:r>
      <w:r w:rsidRPr="00B453E7">
        <w:t xml:space="preserve">19, the ISO </w:t>
      </w:r>
      <w:r w:rsidR="00AF661C">
        <w:t xml:space="preserve">has </w:t>
      </w:r>
      <w:r w:rsidRPr="00B453E7">
        <w:t>improved its gross load forecast</w:t>
      </w:r>
      <w:r w:rsidR="005464F5">
        <w:t>ing methodology</w:t>
      </w:r>
      <w:r w:rsidRPr="00B453E7">
        <w:t xml:space="preserve"> </w:t>
      </w:r>
      <w:r w:rsidR="00C7392E" w:rsidRPr="00B453E7">
        <w:t xml:space="preserve">to </w:t>
      </w:r>
      <w:r w:rsidR="004E7BAA" w:rsidRPr="00B453E7">
        <w:t xml:space="preserve">better </w:t>
      </w:r>
      <w:r w:rsidRPr="00B453E7">
        <w:t>account for passive</w:t>
      </w:r>
      <w:r w:rsidR="00C10CBC" w:rsidRPr="00B453E7">
        <w:t>-</w:t>
      </w:r>
      <w:r w:rsidRPr="00B453E7">
        <w:t>demand</w:t>
      </w:r>
      <w:r>
        <w:t xml:space="preserve"> resources that participate in</w:t>
      </w:r>
      <w:r w:rsidR="00D438DD">
        <w:t xml:space="preserve"> the</w:t>
      </w:r>
      <w:r>
        <w:t xml:space="preserve"> </w:t>
      </w:r>
      <w:hyperlink r:id="rId29" w:history="1">
        <w:r w:rsidR="00715271" w:rsidRPr="00D476EE">
          <w:rPr>
            <w:rStyle w:val="Hyperlink"/>
          </w:rPr>
          <w:t>Forward Capacity Market</w:t>
        </w:r>
      </w:hyperlink>
      <w:r w:rsidR="00715271">
        <w:t xml:space="preserve"> (</w:t>
      </w:r>
      <w:r>
        <w:t>FCM</w:t>
      </w:r>
      <w:r w:rsidR="00715271">
        <w:t>)</w:t>
      </w:r>
      <w:r w:rsidR="00D438DD">
        <w:t>.</w:t>
      </w:r>
      <w:r>
        <w:t xml:space="preserve"> </w:t>
      </w:r>
      <w:r w:rsidR="00D438DD">
        <w:t>The ISO also</w:t>
      </w:r>
      <w:r w:rsidRPr="001B4B24">
        <w:t xml:space="preserve"> used the most up-to-date expectations regarding the macroeconomic implications of the COVID-19 pandemic</w:t>
      </w:r>
      <w:r w:rsidRPr="001657A6">
        <w:t>.</w:t>
      </w:r>
      <w:r w:rsidRPr="001B747C">
        <w:t xml:space="preserve"> RSP</w:t>
      </w:r>
      <w:r>
        <w:t>21</w:t>
      </w:r>
      <w:r w:rsidRPr="001B747C">
        <w:t xml:space="preserve"> </w:t>
      </w:r>
      <w:r>
        <w:t xml:space="preserve">forecasts additional energy and demand savings from </w:t>
      </w:r>
      <w:r w:rsidR="00046F89">
        <w:t>e</w:t>
      </w:r>
      <w:r w:rsidR="00DE5142">
        <w:t xml:space="preserve">nergy </w:t>
      </w:r>
      <w:r w:rsidR="00046F89">
        <w:t>e</w:t>
      </w:r>
      <w:r w:rsidR="00DE5142">
        <w:t>fficiency (</w:t>
      </w:r>
      <w:r w:rsidR="00715271">
        <w:t>EE</w:t>
      </w:r>
      <w:r w:rsidR="00DE5142">
        <w:t>)</w:t>
      </w:r>
      <w:r w:rsidRPr="001B747C">
        <w:t xml:space="preserve"> resources</w:t>
      </w:r>
      <w:r>
        <w:t>, as well as</w:t>
      </w:r>
      <w:r w:rsidRPr="001B747C">
        <w:t xml:space="preserve"> </w:t>
      </w:r>
      <w:r>
        <w:t>those resulting from</w:t>
      </w:r>
      <w:r w:rsidRPr="001B747C">
        <w:t xml:space="preserve"> </w:t>
      </w:r>
      <w:r w:rsidR="00046F89">
        <w:t>behind</w:t>
      </w:r>
      <w:r w:rsidR="00524C4A">
        <w:t>-the-</w:t>
      </w:r>
      <w:r w:rsidR="00046F89">
        <w:t xml:space="preserve">meter </w:t>
      </w:r>
      <w:r w:rsidR="00524C4A">
        <w:t>(</w:t>
      </w:r>
      <w:r w:rsidRPr="00715271">
        <w:t>BTM</w:t>
      </w:r>
      <w:r w:rsidR="00524C4A">
        <w:t>)</w:t>
      </w:r>
      <w:r w:rsidR="0089412C">
        <w:t xml:space="preserve"> </w:t>
      </w:r>
      <w:r w:rsidR="00046F89">
        <w:t>photovoltaics (</w:t>
      </w:r>
      <w:r w:rsidRPr="001B747C">
        <w:t>PV</w:t>
      </w:r>
      <w:r w:rsidR="00046F89">
        <w:t>)</w:t>
      </w:r>
      <w:r>
        <w:t>, both of which</w:t>
      </w:r>
      <w:r w:rsidRPr="00847CB2">
        <w:t xml:space="preserve"> </w:t>
      </w:r>
      <w:r w:rsidRPr="001B747C">
        <w:t>lower the gross forecasts of peak demand and annual use of electric energy. In addition, RSP</w:t>
      </w:r>
      <w:r>
        <w:t>21</w:t>
      </w:r>
      <w:r w:rsidRPr="001B747C">
        <w:t xml:space="preserve"> includes</w:t>
      </w:r>
      <w:r>
        <w:t xml:space="preserve"> forecasts of demand additions </w:t>
      </w:r>
      <w:r w:rsidR="00C5643D">
        <w:t>resulting from</w:t>
      </w:r>
      <w:r>
        <w:t xml:space="preserve"> </w:t>
      </w:r>
      <w:r w:rsidR="008062FB">
        <w:t xml:space="preserve">the </w:t>
      </w:r>
      <w:r>
        <w:t>heating and transportation</w:t>
      </w:r>
      <w:r w:rsidR="008062FB">
        <w:t xml:space="preserve"> electrification</w:t>
      </w:r>
      <w:r>
        <w:t xml:space="preserve"> initiatives </w:t>
      </w:r>
      <w:r w:rsidR="002B2BAE">
        <w:t>in</w:t>
      </w:r>
      <w:r>
        <w:t xml:space="preserve"> the region. </w:t>
      </w:r>
      <w:r w:rsidRPr="001B747C">
        <w:t>The forecasts are key inputs for determining the region’s resource</w:t>
      </w:r>
      <w:r w:rsidR="00046F89">
        <w:t xml:space="preserve"> </w:t>
      </w:r>
      <w:r w:rsidRPr="001B747C">
        <w:t xml:space="preserve">adequacy requirements, evaluating the reliability and economic performance of the electric power system under various conditions, and planning needed transmission improvements. </w:t>
      </w:r>
    </w:p>
    <w:p w:rsidR="00AD5DF1" w:rsidRPr="001B747C" w:rsidRDefault="00AD5DF1" w:rsidP="00AD5DF1">
      <w:r w:rsidRPr="001B747C">
        <w:t xml:space="preserve">Key </w:t>
      </w:r>
      <w:hyperlink w:anchor="_Forecasts_of_New" w:history="1">
        <w:r w:rsidR="00D344A1" w:rsidRPr="00D476EE">
          <w:rPr>
            <w:rStyle w:val="Hyperlink"/>
          </w:rPr>
          <w:t xml:space="preserve">Chapter </w:t>
        </w:r>
        <w:r w:rsidRPr="00D476EE">
          <w:rPr>
            <w:rStyle w:val="Hyperlink"/>
          </w:rPr>
          <w:t>3</w:t>
        </w:r>
      </w:hyperlink>
      <w:r w:rsidRPr="001B747C">
        <w:t xml:space="preserve"> results are as follows:</w:t>
      </w:r>
    </w:p>
    <w:p w:rsidR="009D0B1D" w:rsidRDefault="00AD5DF1" w:rsidP="00AD5DF1">
      <w:pPr>
        <w:numPr>
          <w:ilvl w:val="0"/>
          <w:numId w:val="2"/>
        </w:numPr>
        <w:spacing w:after="120"/>
        <w:rPr>
          <w:rFonts w:eastAsia="Times New Roman"/>
          <w:color w:val="000000"/>
          <w:szCs w:val="24"/>
        </w:rPr>
      </w:pPr>
      <w:r w:rsidRPr="001B747C">
        <w:rPr>
          <w:rFonts w:eastAsia="Times New Roman"/>
          <w:color w:val="000000"/>
          <w:szCs w:val="24"/>
        </w:rPr>
        <w:t>The 10-year net energy for load, accounting for EE</w:t>
      </w:r>
      <w:r>
        <w:rPr>
          <w:rFonts w:eastAsia="Times New Roman"/>
          <w:color w:val="000000"/>
          <w:szCs w:val="24"/>
        </w:rPr>
        <w:t>,</w:t>
      </w:r>
      <w:r w:rsidRPr="001B747C">
        <w:rPr>
          <w:rFonts w:eastAsia="Times New Roman"/>
          <w:color w:val="000000"/>
          <w:szCs w:val="24"/>
        </w:rPr>
        <w:t xml:space="preserve"> PV, </w:t>
      </w:r>
      <w:r>
        <w:rPr>
          <w:rFonts w:eastAsia="Times New Roman"/>
          <w:color w:val="000000"/>
          <w:szCs w:val="24"/>
        </w:rPr>
        <w:t xml:space="preserve">and electrification, </w:t>
      </w:r>
      <w:r w:rsidRPr="001B747C">
        <w:rPr>
          <w:rFonts w:eastAsia="Times New Roman"/>
          <w:color w:val="000000"/>
          <w:szCs w:val="24"/>
        </w:rPr>
        <w:t xml:space="preserve">is projected to </w:t>
      </w:r>
      <w:r>
        <w:rPr>
          <w:rFonts w:eastAsia="Times New Roman"/>
          <w:color w:val="000000"/>
          <w:szCs w:val="24"/>
        </w:rPr>
        <w:t>increase</w:t>
      </w:r>
      <w:r w:rsidRPr="001B747C">
        <w:rPr>
          <w:rFonts w:eastAsia="Times New Roman"/>
          <w:color w:val="000000"/>
          <w:szCs w:val="24"/>
        </w:rPr>
        <w:t xml:space="preserve"> from </w:t>
      </w:r>
      <w:r>
        <w:rPr>
          <w:rFonts w:eastAsia="Times New Roman"/>
          <w:color w:val="000000"/>
          <w:szCs w:val="24"/>
        </w:rPr>
        <w:t>121,692</w:t>
      </w:r>
      <w:r w:rsidRPr="001B747C">
        <w:rPr>
          <w:rFonts w:eastAsia="Times New Roman"/>
          <w:color w:val="000000"/>
          <w:szCs w:val="24"/>
        </w:rPr>
        <w:t xml:space="preserve"> gigawatt-hours (GWh) in </w:t>
      </w:r>
      <w:r>
        <w:rPr>
          <w:rFonts w:eastAsia="Times New Roman"/>
          <w:color w:val="000000"/>
          <w:szCs w:val="24"/>
        </w:rPr>
        <w:t>2021</w:t>
      </w:r>
      <w:r w:rsidRPr="001B747C">
        <w:rPr>
          <w:rFonts w:eastAsia="Times New Roman"/>
          <w:color w:val="000000"/>
          <w:szCs w:val="24"/>
        </w:rPr>
        <w:t xml:space="preserve"> to </w:t>
      </w:r>
      <w:r>
        <w:rPr>
          <w:rFonts w:eastAsia="Times New Roman"/>
          <w:color w:val="000000"/>
          <w:szCs w:val="24"/>
        </w:rPr>
        <w:t>133,960</w:t>
      </w:r>
      <w:r w:rsidRPr="001B747C">
        <w:rPr>
          <w:rFonts w:eastAsia="Times New Roman"/>
          <w:color w:val="000000"/>
          <w:szCs w:val="24"/>
        </w:rPr>
        <w:t xml:space="preserve"> GWh in </w:t>
      </w:r>
      <w:r>
        <w:rPr>
          <w:rFonts w:eastAsia="Times New Roman"/>
          <w:color w:val="000000"/>
          <w:szCs w:val="24"/>
        </w:rPr>
        <w:t>2030</w:t>
      </w:r>
      <w:r w:rsidRPr="001B747C">
        <w:rPr>
          <w:rFonts w:eastAsia="Times New Roman"/>
          <w:color w:val="000000"/>
          <w:szCs w:val="24"/>
        </w:rPr>
        <w:t>, a</w:t>
      </w:r>
      <w:r>
        <w:rPr>
          <w:rFonts w:eastAsia="Times New Roman"/>
          <w:color w:val="000000"/>
          <w:szCs w:val="24"/>
        </w:rPr>
        <w:t xml:space="preserve">n increase </w:t>
      </w:r>
      <w:r w:rsidRPr="001B747C">
        <w:rPr>
          <w:rFonts w:eastAsia="Times New Roman"/>
          <w:color w:val="000000"/>
          <w:szCs w:val="24"/>
        </w:rPr>
        <w:t xml:space="preserve">of </w:t>
      </w:r>
      <w:r>
        <w:rPr>
          <w:rFonts w:eastAsia="Times New Roman"/>
          <w:color w:val="000000"/>
          <w:szCs w:val="24"/>
        </w:rPr>
        <w:t>1.1</w:t>
      </w:r>
      <w:r w:rsidRPr="001B747C">
        <w:rPr>
          <w:rFonts w:eastAsia="Times New Roman"/>
          <w:color w:val="000000"/>
          <w:szCs w:val="24"/>
        </w:rPr>
        <w:t xml:space="preserve">% per year. </w:t>
      </w:r>
    </w:p>
    <w:p w:rsidR="00AD5DF1" w:rsidRPr="001B747C" w:rsidRDefault="00AD5DF1" w:rsidP="00AD5DF1">
      <w:pPr>
        <w:numPr>
          <w:ilvl w:val="0"/>
          <w:numId w:val="2"/>
        </w:numPr>
        <w:spacing w:after="120"/>
        <w:rPr>
          <w:rFonts w:eastAsia="Times New Roman"/>
          <w:color w:val="000000"/>
          <w:szCs w:val="24"/>
        </w:rPr>
      </w:pPr>
      <w:r w:rsidRPr="001B747C">
        <w:rPr>
          <w:rFonts w:eastAsia="Times New Roman"/>
          <w:color w:val="000000"/>
          <w:szCs w:val="24"/>
        </w:rPr>
        <w:t xml:space="preserve">The “50/50” net summer peak forecast is </w:t>
      </w:r>
      <w:r>
        <w:rPr>
          <w:rFonts w:eastAsia="Times New Roman"/>
          <w:color w:val="000000"/>
          <w:szCs w:val="24"/>
        </w:rPr>
        <w:t>24,810</w:t>
      </w:r>
      <w:r w:rsidRPr="001B747C">
        <w:rPr>
          <w:rFonts w:eastAsia="Times New Roman"/>
          <w:color w:val="000000"/>
          <w:szCs w:val="24"/>
        </w:rPr>
        <w:t xml:space="preserve"> megawatts (MW) for </w:t>
      </w:r>
      <w:r>
        <w:rPr>
          <w:rFonts w:eastAsia="Times New Roman"/>
          <w:color w:val="000000"/>
          <w:szCs w:val="24"/>
        </w:rPr>
        <w:t>2021</w:t>
      </w:r>
      <w:r w:rsidRPr="001B747C">
        <w:rPr>
          <w:rFonts w:eastAsia="Times New Roman"/>
          <w:color w:val="000000"/>
          <w:szCs w:val="24"/>
        </w:rPr>
        <w:t xml:space="preserve">, </w:t>
      </w:r>
      <w:r>
        <w:rPr>
          <w:rFonts w:eastAsia="Times New Roman"/>
          <w:color w:val="000000"/>
          <w:szCs w:val="24"/>
        </w:rPr>
        <w:t>and</w:t>
      </w:r>
      <w:r w:rsidRPr="001B747C">
        <w:rPr>
          <w:rFonts w:eastAsia="Times New Roman"/>
          <w:color w:val="000000"/>
          <w:szCs w:val="24"/>
        </w:rPr>
        <w:t xml:space="preserve"> </w:t>
      </w:r>
      <w:r>
        <w:rPr>
          <w:rFonts w:eastAsia="Times New Roman"/>
          <w:color w:val="000000"/>
          <w:szCs w:val="24"/>
        </w:rPr>
        <w:t>remains steady at</w:t>
      </w:r>
      <w:r w:rsidRPr="001B747C">
        <w:rPr>
          <w:rFonts w:eastAsia="Times New Roman"/>
          <w:color w:val="000000"/>
          <w:szCs w:val="24"/>
        </w:rPr>
        <w:t xml:space="preserve"> 24</w:t>
      </w:r>
      <w:r>
        <w:rPr>
          <w:rFonts w:eastAsia="Times New Roman"/>
          <w:color w:val="000000"/>
          <w:szCs w:val="24"/>
        </w:rPr>
        <w:t>,796</w:t>
      </w:r>
      <w:r w:rsidRPr="001B747C">
        <w:rPr>
          <w:rFonts w:eastAsia="Times New Roman"/>
          <w:color w:val="000000"/>
          <w:szCs w:val="24"/>
        </w:rPr>
        <w:t xml:space="preserve"> MW for </w:t>
      </w:r>
      <w:r>
        <w:rPr>
          <w:rFonts w:eastAsia="Times New Roman"/>
          <w:color w:val="000000"/>
          <w:szCs w:val="24"/>
        </w:rPr>
        <w:t>2030</w:t>
      </w:r>
      <w:r w:rsidRPr="001B747C">
        <w:rPr>
          <w:rFonts w:eastAsia="Times New Roman"/>
          <w:color w:val="000000"/>
          <w:szCs w:val="24"/>
        </w:rPr>
        <w:t>.</w:t>
      </w:r>
      <w:r w:rsidRPr="001B747C">
        <w:rPr>
          <w:vertAlign w:val="superscript"/>
        </w:rPr>
        <w:footnoteReference w:id="7"/>
      </w:r>
      <w:r w:rsidRPr="001B747C">
        <w:rPr>
          <w:rFonts w:eastAsia="Times New Roman"/>
          <w:color w:val="000000"/>
          <w:szCs w:val="24"/>
        </w:rPr>
        <w:t xml:space="preserve"> The “90/10” net summer peak forecast, which represents </w:t>
      </w:r>
      <w:r w:rsidR="00FB3AC5">
        <w:rPr>
          <w:rFonts w:eastAsia="Times New Roman"/>
          <w:color w:val="000000"/>
          <w:szCs w:val="24"/>
        </w:rPr>
        <w:t>hotter-than-expected weather</w:t>
      </w:r>
      <w:r w:rsidRPr="001B747C">
        <w:rPr>
          <w:rFonts w:eastAsia="Times New Roman"/>
          <w:color w:val="000000"/>
          <w:szCs w:val="24"/>
        </w:rPr>
        <w:t xml:space="preserve">, is </w:t>
      </w:r>
      <w:r>
        <w:rPr>
          <w:rFonts w:eastAsia="Times New Roman"/>
          <w:color w:val="000000"/>
          <w:szCs w:val="24"/>
        </w:rPr>
        <w:t>26,711</w:t>
      </w:r>
      <w:r w:rsidRPr="001B747C">
        <w:rPr>
          <w:rFonts w:eastAsia="Times New Roman"/>
          <w:color w:val="000000"/>
          <w:szCs w:val="24"/>
        </w:rPr>
        <w:t xml:space="preserve"> MW for </w:t>
      </w:r>
      <w:r>
        <w:rPr>
          <w:rFonts w:eastAsia="Times New Roman"/>
          <w:color w:val="000000"/>
          <w:szCs w:val="24"/>
        </w:rPr>
        <w:t>2021</w:t>
      </w:r>
      <w:r w:rsidRPr="001B747C">
        <w:rPr>
          <w:rFonts w:eastAsia="Times New Roman"/>
          <w:color w:val="000000"/>
          <w:szCs w:val="24"/>
        </w:rPr>
        <w:t xml:space="preserve"> and 26,</w:t>
      </w:r>
      <w:r>
        <w:rPr>
          <w:rFonts w:eastAsia="Times New Roman"/>
          <w:color w:val="000000"/>
          <w:szCs w:val="24"/>
        </w:rPr>
        <w:t>816</w:t>
      </w:r>
      <w:r w:rsidRPr="001B747C">
        <w:rPr>
          <w:rFonts w:eastAsia="Times New Roman"/>
          <w:color w:val="000000"/>
          <w:szCs w:val="24"/>
        </w:rPr>
        <w:t xml:space="preserve"> MW in </w:t>
      </w:r>
      <w:r>
        <w:rPr>
          <w:rFonts w:eastAsia="Times New Roman"/>
          <w:color w:val="000000"/>
          <w:szCs w:val="24"/>
        </w:rPr>
        <w:t>2030</w:t>
      </w:r>
      <w:r w:rsidR="002B2BAE">
        <w:rPr>
          <w:rFonts w:eastAsia="Times New Roman"/>
          <w:color w:val="000000"/>
          <w:szCs w:val="24"/>
        </w:rPr>
        <w:t>, increasing slightly</w:t>
      </w:r>
      <w:r w:rsidRPr="001B747C">
        <w:rPr>
          <w:rFonts w:eastAsia="Times New Roman"/>
          <w:color w:val="000000"/>
          <w:szCs w:val="24"/>
        </w:rPr>
        <w:t xml:space="preserve">. </w:t>
      </w:r>
    </w:p>
    <w:p w:rsidR="00AD5DF1" w:rsidRPr="001B747C" w:rsidRDefault="00AD5DF1" w:rsidP="00AD5DF1">
      <w:pPr>
        <w:numPr>
          <w:ilvl w:val="0"/>
          <w:numId w:val="2"/>
        </w:numPr>
        <w:spacing w:after="120"/>
        <w:rPr>
          <w:rFonts w:eastAsia="Times New Roman"/>
          <w:color w:val="000000"/>
          <w:szCs w:val="24"/>
        </w:rPr>
      </w:pPr>
      <w:r w:rsidRPr="001B747C">
        <w:rPr>
          <w:rFonts w:eastAsia="Times New Roman"/>
          <w:color w:val="000000"/>
          <w:szCs w:val="24"/>
        </w:rPr>
        <w:t xml:space="preserve">The gross winter peak demand </w:t>
      </w:r>
      <w:r w:rsidRPr="001B747C">
        <w:t xml:space="preserve">from </w:t>
      </w:r>
      <w:r>
        <w:t>2021</w:t>
      </w:r>
      <w:r w:rsidRPr="001B747C">
        <w:t xml:space="preserve"> through </w:t>
      </w:r>
      <w:r>
        <w:t>2030</w:t>
      </w:r>
      <w:r w:rsidRPr="001B747C">
        <w:t xml:space="preserve"> </w:t>
      </w:r>
      <w:r w:rsidRPr="001B747C">
        <w:rPr>
          <w:rFonts w:eastAsia="Times New Roman"/>
          <w:color w:val="000000"/>
          <w:szCs w:val="24"/>
        </w:rPr>
        <w:t xml:space="preserve">grows at </w:t>
      </w:r>
      <w:r>
        <w:rPr>
          <w:rFonts w:eastAsia="Times New Roman"/>
          <w:color w:val="000000"/>
          <w:szCs w:val="24"/>
        </w:rPr>
        <w:t>1.3</w:t>
      </w:r>
      <w:r w:rsidRPr="001B747C">
        <w:rPr>
          <w:rFonts w:eastAsia="Times New Roman"/>
          <w:color w:val="000000"/>
          <w:szCs w:val="24"/>
        </w:rPr>
        <w:t xml:space="preserve">% per year, </w:t>
      </w:r>
      <w:r>
        <w:rPr>
          <w:rFonts w:eastAsia="Times New Roman"/>
          <w:color w:val="000000"/>
          <w:szCs w:val="24"/>
        </w:rPr>
        <w:t xml:space="preserve">with expected demand savings from EE reducing the </w:t>
      </w:r>
      <w:r w:rsidRPr="001B747C">
        <w:rPr>
          <w:rFonts w:eastAsia="Times New Roman"/>
          <w:color w:val="000000"/>
          <w:szCs w:val="24"/>
        </w:rPr>
        <w:t xml:space="preserve">annual peak demand </w:t>
      </w:r>
      <w:r>
        <w:rPr>
          <w:rFonts w:eastAsia="Times New Roman"/>
          <w:color w:val="000000"/>
          <w:szCs w:val="24"/>
        </w:rPr>
        <w:t>growth to</w:t>
      </w:r>
      <w:r w:rsidRPr="001B747C">
        <w:rPr>
          <w:rFonts w:eastAsia="Times New Roman"/>
          <w:color w:val="000000"/>
          <w:szCs w:val="24"/>
        </w:rPr>
        <w:t xml:space="preserve"> 0.</w:t>
      </w:r>
      <w:r>
        <w:rPr>
          <w:rFonts w:eastAsia="Times New Roman"/>
          <w:color w:val="000000"/>
          <w:szCs w:val="24"/>
        </w:rPr>
        <w:t>8</w:t>
      </w:r>
      <w:r w:rsidRPr="001B747C">
        <w:rPr>
          <w:rFonts w:eastAsia="Times New Roman"/>
          <w:color w:val="000000"/>
          <w:szCs w:val="24"/>
        </w:rPr>
        <w:t>% per year</w:t>
      </w:r>
      <w:r>
        <w:rPr>
          <w:rFonts w:eastAsia="Times New Roman"/>
          <w:color w:val="000000"/>
          <w:szCs w:val="24"/>
        </w:rPr>
        <w:t xml:space="preserve">. Much of the growth reflected in the winter demand forecast is </w:t>
      </w:r>
      <w:r w:rsidRPr="001B747C">
        <w:rPr>
          <w:rFonts w:eastAsia="Times New Roman"/>
          <w:color w:val="000000"/>
          <w:szCs w:val="24"/>
        </w:rPr>
        <w:t xml:space="preserve">a result of </w:t>
      </w:r>
      <w:r>
        <w:rPr>
          <w:rFonts w:eastAsia="Times New Roman"/>
          <w:color w:val="000000"/>
          <w:szCs w:val="24"/>
        </w:rPr>
        <w:t>electrification initiatives</w:t>
      </w:r>
      <w:r w:rsidRPr="001B747C">
        <w:rPr>
          <w:rFonts w:eastAsia="Times New Roman"/>
          <w:color w:val="000000"/>
          <w:szCs w:val="24"/>
        </w:rPr>
        <w:t xml:space="preserve"> throughout the region.</w:t>
      </w:r>
    </w:p>
    <w:p w:rsidR="00AD5DF1" w:rsidRDefault="00AD5DF1" w:rsidP="00AD5DF1">
      <w:pPr>
        <w:numPr>
          <w:ilvl w:val="0"/>
          <w:numId w:val="2"/>
        </w:numPr>
        <w:spacing w:after="120"/>
        <w:rPr>
          <w:rFonts w:eastAsia="Times New Roman"/>
          <w:color w:val="000000"/>
          <w:szCs w:val="24"/>
        </w:rPr>
      </w:pPr>
      <w:r w:rsidRPr="00EB16A5">
        <w:rPr>
          <w:rFonts w:eastAsia="Times New Roman"/>
          <w:color w:val="000000"/>
          <w:szCs w:val="24"/>
        </w:rPr>
        <w:t xml:space="preserve">The </w:t>
      </w:r>
      <w:r>
        <w:rPr>
          <w:rFonts w:eastAsia="Times New Roman"/>
          <w:color w:val="000000"/>
          <w:szCs w:val="24"/>
        </w:rPr>
        <w:t>impacts of strategic electrification across the region, including consumer adoption of electrified light-duty vehicles and residential air-sourced</w:t>
      </w:r>
      <w:r w:rsidRPr="001B747C">
        <w:rPr>
          <w:rFonts w:eastAsia="Times New Roman"/>
          <w:color w:val="000000"/>
          <w:szCs w:val="24"/>
        </w:rPr>
        <w:t xml:space="preserve"> heat pumps</w:t>
      </w:r>
      <w:r>
        <w:rPr>
          <w:rFonts w:eastAsia="Times New Roman"/>
          <w:color w:val="000000"/>
          <w:szCs w:val="24"/>
        </w:rPr>
        <w:t>, are expected to add 6,080</w:t>
      </w:r>
      <w:r w:rsidR="006354D2">
        <w:rPr>
          <w:rFonts w:eastAsia="Times New Roman"/>
          <w:color w:val="000000"/>
          <w:szCs w:val="24"/>
        </w:rPr>
        <w:t> </w:t>
      </w:r>
      <w:r>
        <w:rPr>
          <w:rFonts w:eastAsia="Times New Roman"/>
          <w:color w:val="000000"/>
          <w:szCs w:val="24"/>
        </w:rPr>
        <w:t>GWh of annual energy</w:t>
      </w:r>
      <w:r w:rsidR="00C5643D">
        <w:rPr>
          <w:rFonts w:eastAsia="Times New Roman"/>
          <w:color w:val="000000"/>
          <w:szCs w:val="24"/>
        </w:rPr>
        <w:t xml:space="preserve"> consumption</w:t>
      </w:r>
      <w:r>
        <w:rPr>
          <w:rFonts w:eastAsia="Times New Roman"/>
          <w:color w:val="000000"/>
          <w:szCs w:val="24"/>
        </w:rPr>
        <w:t xml:space="preserve">, 675 MW of summer demand, and 2,422 MW of winter demand by 2030. </w:t>
      </w:r>
      <w:r w:rsidRPr="009C1D97">
        <w:rPr>
          <w:rFonts w:eastAsia="Times New Roman"/>
          <w:color w:val="000000"/>
          <w:szCs w:val="24"/>
        </w:rPr>
        <w:t xml:space="preserve">Beyond the current 10-year planning horizon, </w:t>
      </w:r>
      <w:r w:rsidR="00AB4D3F">
        <w:rPr>
          <w:rFonts w:eastAsia="Times New Roman"/>
          <w:color w:val="000000"/>
          <w:szCs w:val="24"/>
        </w:rPr>
        <w:t xml:space="preserve">the </w:t>
      </w:r>
      <w:r w:rsidRPr="009C1D97">
        <w:rPr>
          <w:rFonts w:eastAsia="Times New Roman"/>
          <w:color w:val="000000"/>
          <w:szCs w:val="24"/>
        </w:rPr>
        <w:t xml:space="preserve">increased electrification needed to achieve </w:t>
      </w:r>
      <w:r w:rsidR="003130F0" w:rsidRPr="009C1D97">
        <w:rPr>
          <w:rFonts w:eastAsia="Times New Roman"/>
          <w:color w:val="000000"/>
          <w:szCs w:val="24"/>
        </w:rPr>
        <w:t>state</w:t>
      </w:r>
      <w:r w:rsidR="003130F0">
        <w:rPr>
          <w:rFonts w:eastAsia="Times New Roman"/>
          <w:color w:val="000000"/>
          <w:szCs w:val="24"/>
        </w:rPr>
        <w:t>s’</w:t>
      </w:r>
      <w:r w:rsidRPr="009C1D97">
        <w:rPr>
          <w:rFonts w:eastAsia="Times New Roman"/>
          <w:color w:val="000000"/>
          <w:szCs w:val="24"/>
        </w:rPr>
        <w:t xml:space="preserve"> long-term decarbonization goals will likely cause the region to become a winter</w:t>
      </w:r>
      <w:r w:rsidR="006354D2">
        <w:rPr>
          <w:rFonts w:eastAsia="Times New Roman"/>
          <w:color w:val="000000"/>
          <w:szCs w:val="24"/>
        </w:rPr>
        <w:t>-</w:t>
      </w:r>
      <w:r w:rsidRPr="009C1D97">
        <w:rPr>
          <w:rFonts w:eastAsia="Times New Roman"/>
          <w:color w:val="000000"/>
          <w:szCs w:val="24"/>
        </w:rPr>
        <w:t>peaking system</w:t>
      </w:r>
      <w:r>
        <w:rPr>
          <w:rFonts w:eastAsia="Times New Roman"/>
          <w:color w:val="000000"/>
          <w:szCs w:val="24"/>
        </w:rPr>
        <w:t>.</w:t>
      </w:r>
    </w:p>
    <w:p w:rsidR="00AD5DF1" w:rsidRPr="001B747C" w:rsidRDefault="00AD5DF1" w:rsidP="00AD5DF1">
      <w:pPr>
        <w:numPr>
          <w:ilvl w:val="0"/>
          <w:numId w:val="2"/>
        </w:numPr>
        <w:spacing w:after="120"/>
        <w:rPr>
          <w:rFonts w:eastAsia="Times New Roman"/>
          <w:color w:val="000000"/>
          <w:szCs w:val="24"/>
        </w:rPr>
      </w:pPr>
      <w:r w:rsidRPr="00D4150E">
        <w:rPr>
          <w:rFonts w:eastAsia="Times New Roman"/>
          <w:color w:val="000000"/>
          <w:szCs w:val="24"/>
        </w:rPr>
        <w:t xml:space="preserve">Changes </w:t>
      </w:r>
      <w:r w:rsidR="00414917" w:rsidRPr="00D4150E">
        <w:rPr>
          <w:rFonts w:eastAsia="Times New Roman"/>
          <w:color w:val="000000"/>
          <w:szCs w:val="24"/>
        </w:rPr>
        <w:t>to</w:t>
      </w:r>
      <w:r w:rsidR="009C3AF9" w:rsidRPr="00B453E7">
        <w:rPr>
          <w:rFonts w:eastAsia="Times New Roman"/>
          <w:color w:val="000000"/>
          <w:szCs w:val="24"/>
        </w:rPr>
        <w:t xml:space="preserve"> </w:t>
      </w:r>
      <w:r w:rsidRPr="00D4150E">
        <w:rPr>
          <w:rFonts w:eastAsia="Times New Roman"/>
          <w:color w:val="000000"/>
          <w:szCs w:val="24"/>
        </w:rPr>
        <w:t>the accounting for passive</w:t>
      </w:r>
      <w:r w:rsidR="00702183" w:rsidRPr="00D4150E">
        <w:rPr>
          <w:rFonts w:eastAsia="Times New Roman"/>
          <w:color w:val="000000"/>
          <w:szCs w:val="24"/>
        </w:rPr>
        <w:t>-</w:t>
      </w:r>
      <w:r w:rsidRPr="00D4150E">
        <w:rPr>
          <w:rFonts w:eastAsia="Times New Roman"/>
          <w:color w:val="000000"/>
          <w:szCs w:val="24"/>
        </w:rPr>
        <w:t>demand resources implemented in the 2021 g</w:t>
      </w:r>
      <w:r w:rsidRPr="00BD480E">
        <w:rPr>
          <w:rFonts w:eastAsia="Times New Roman"/>
          <w:color w:val="000000"/>
          <w:szCs w:val="24"/>
        </w:rPr>
        <w:t>ross load</w:t>
      </w:r>
      <w:r>
        <w:rPr>
          <w:rFonts w:eastAsia="Times New Roman"/>
          <w:color w:val="000000"/>
          <w:szCs w:val="24"/>
        </w:rPr>
        <w:t xml:space="preserve"> forecast resulted in a significant share of historical </w:t>
      </w:r>
      <w:r w:rsidR="006354D2">
        <w:rPr>
          <w:rFonts w:eastAsia="Times New Roman"/>
          <w:color w:val="000000"/>
          <w:szCs w:val="24"/>
        </w:rPr>
        <w:t>EE</w:t>
      </w:r>
      <w:r>
        <w:rPr>
          <w:rFonts w:eastAsia="Times New Roman"/>
          <w:color w:val="000000"/>
          <w:szCs w:val="24"/>
        </w:rPr>
        <w:t xml:space="preserve"> installations becoming embedded as reductions to the gross load forecast. Additional </w:t>
      </w:r>
      <w:r w:rsidRPr="001B747C">
        <w:rPr>
          <w:rFonts w:eastAsia="Times New Roman"/>
          <w:color w:val="000000"/>
          <w:szCs w:val="24"/>
        </w:rPr>
        <w:t xml:space="preserve">summer peak demand savings from </w:t>
      </w:r>
      <w:r w:rsidR="006354D2">
        <w:rPr>
          <w:rFonts w:eastAsia="Times New Roman"/>
          <w:color w:val="000000"/>
          <w:szCs w:val="24"/>
        </w:rPr>
        <w:t>EE</w:t>
      </w:r>
      <w:r w:rsidRPr="001B747C">
        <w:rPr>
          <w:rFonts w:eastAsia="Times New Roman"/>
          <w:color w:val="000000"/>
          <w:szCs w:val="24"/>
        </w:rPr>
        <w:t xml:space="preserve"> are expected to grow from </w:t>
      </w:r>
      <w:r>
        <w:rPr>
          <w:rFonts w:eastAsia="Times New Roman"/>
          <w:color w:val="000000"/>
          <w:szCs w:val="24"/>
        </w:rPr>
        <w:t>2,677</w:t>
      </w:r>
      <w:r w:rsidRPr="001B747C">
        <w:rPr>
          <w:rFonts w:eastAsia="Times New Roman"/>
          <w:color w:val="000000"/>
          <w:szCs w:val="24"/>
        </w:rPr>
        <w:t xml:space="preserve"> MW in </w:t>
      </w:r>
      <w:r>
        <w:rPr>
          <w:rFonts w:eastAsia="Times New Roman"/>
          <w:color w:val="000000"/>
          <w:szCs w:val="24"/>
        </w:rPr>
        <w:t>2021</w:t>
      </w:r>
      <w:r w:rsidRPr="001B747C">
        <w:rPr>
          <w:rFonts w:eastAsia="Times New Roman"/>
          <w:color w:val="000000"/>
          <w:szCs w:val="24"/>
        </w:rPr>
        <w:t xml:space="preserve"> to </w:t>
      </w:r>
      <w:r>
        <w:rPr>
          <w:rFonts w:eastAsia="Times New Roman"/>
          <w:color w:val="000000"/>
          <w:szCs w:val="24"/>
        </w:rPr>
        <w:t xml:space="preserve">4,294 </w:t>
      </w:r>
      <w:r w:rsidRPr="001B747C">
        <w:rPr>
          <w:rFonts w:eastAsia="Times New Roman"/>
          <w:color w:val="000000"/>
          <w:szCs w:val="24"/>
        </w:rPr>
        <w:t xml:space="preserve">MW in </w:t>
      </w:r>
      <w:r>
        <w:rPr>
          <w:rFonts w:eastAsia="Times New Roman"/>
          <w:color w:val="000000"/>
          <w:szCs w:val="24"/>
        </w:rPr>
        <w:t>2030</w:t>
      </w:r>
      <w:r w:rsidRPr="001B747C">
        <w:rPr>
          <w:rFonts w:eastAsia="Times New Roman"/>
          <w:color w:val="000000"/>
          <w:szCs w:val="24"/>
        </w:rPr>
        <w:t>. New England states’ annual investments in EE programs</w:t>
      </w:r>
      <w:r>
        <w:rPr>
          <w:rFonts w:eastAsia="Times New Roman"/>
          <w:color w:val="000000"/>
          <w:szCs w:val="24"/>
        </w:rPr>
        <w:t>, which</w:t>
      </w:r>
      <w:r w:rsidRPr="001657A6">
        <w:rPr>
          <w:rFonts w:eastAsia="Times New Roman"/>
          <w:color w:val="000000"/>
          <w:szCs w:val="24"/>
        </w:rPr>
        <w:t xml:space="preserve"> </w:t>
      </w:r>
      <w:r>
        <w:rPr>
          <w:rFonts w:eastAsia="Times New Roman"/>
          <w:color w:val="000000"/>
          <w:szCs w:val="24"/>
        </w:rPr>
        <w:t>are also expected to help facilitate electrification initiatives taking shape across the region,</w:t>
      </w:r>
      <w:r w:rsidRPr="001B747C">
        <w:rPr>
          <w:rFonts w:eastAsia="Times New Roman"/>
          <w:color w:val="000000"/>
          <w:szCs w:val="24"/>
        </w:rPr>
        <w:t xml:space="preserve"> are expected to be more than $1 billion per year for </w:t>
      </w:r>
      <w:r>
        <w:rPr>
          <w:rFonts w:eastAsia="Times New Roman"/>
          <w:color w:val="000000"/>
          <w:szCs w:val="24"/>
        </w:rPr>
        <w:t>2021 through 2030.</w:t>
      </w:r>
    </w:p>
    <w:p w:rsidR="00AD5DF1" w:rsidRDefault="002B2BAE" w:rsidP="00AD5DF1">
      <w:pPr>
        <w:numPr>
          <w:ilvl w:val="0"/>
          <w:numId w:val="3"/>
        </w:numPr>
        <w:spacing w:after="120"/>
        <w:rPr>
          <w:rFonts w:eastAsia="Times New Roman"/>
          <w:color w:val="000000"/>
          <w:szCs w:val="24"/>
        </w:rPr>
      </w:pPr>
      <w:r>
        <w:rPr>
          <w:rFonts w:eastAsia="Times New Roman"/>
          <w:color w:val="000000"/>
          <w:szCs w:val="24"/>
        </w:rPr>
        <w:t>D</w:t>
      </w:r>
      <w:r w:rsidR="00AD5DF1">
        <w:rPr>
          <w:rFonts w:eastAsia="Times New Roman"/>
          <w:color w:val="000000"/>
          <w:szCs w:val="24"/>
        </w:rPr>
        <w:t xml:space="preserve">istribution-connected </w:t>
      </w:r>
      <w:r w:rsidR="00702183">
        <w:rPr>
          <w:rFonts w:eastAsia="Times New Roman"/>
          <w:color w:val="000000"/>
          <w:szCs w:val="24"/>
        </w:rPr>
        <w:t>PV</w:t>
      </w:r>
      <w:r w:rsidR="00AD5DF1" w:rsidRPr="001B747C">
        <w:rPr>
          <w:rFonts w:eastAsia="Times New Roman"/>
          <w:color w:val="000000"/>
          <w:szCs w:val="24"/>
        </w:rPr>
        <w:t xml:space="preserve"> resources </w:t>
      </w:r>
      <w:r w:rsidR="00AD5DF1">
        <w:rPr>
          <w:rFonts w:eastAsia="Times New Roman"/>
          <w:color w:val="000000"/>
          <w:szCs w:val="24"/>
        </w:rPr>
        <w:t xml:space="preserve">in the region </w:t>
      </w:r>
      <w:r w:rsidR="00AD5DF1" w:rsidRPr="001B747C">
        <w:rPr>
          <w:rFonts w:eastAsia="Times New Roman"/>
          <w:color w:val="000000"/>
          <w:szCs w:val="24"/>
        </w:rPr>
        <w:t xml:space="preserve">reached </w:t>
      </w:r>
      <w:r w:rsidR="00AD5DF1">
        <w:rPr>
          <w:rFonts w:eastAsia="Times New Roman"/>
          <w:color w:val="000000"/>
          <w:szCs w:val="24"/>
        </w:rPr>
        <w:t>3,996</w:t>
      </w:r>
      <w:r w:rsidR="00136954">
        <w:rPr>
          <w:rFonts w:eastAsia="Times New Roman"/>
          <w:color w:val="000000"/>
          <w:szCs w:val="24"/>
        </w:rPr>
        <w:t xml:space="preserve"> MW (</w:t>
      </w:r>
      <w:r w:rsidR="00DE5142">
        <w:rPr>
          <w:rFonts w:eastAsia="Times New Roman"/>
          <w:color w:val="000000"/>
          <w:szCs w:val="24"/>
        </w:rPr>
        <w:t xml:space="preserve">alternating current </w:t>
      </w:r>
      <w:r w:rsidR="006D2E82">
        <w:rPr>
          <w:rFonts w:eastAsia="Times New Roman"/>
          <w:color w:val="000000"/>
          <w:szCs w:val="24"/>
        </w:rPr>
        <w:t>[</w:t>
      </w:r>
      <w:r w:rsidR="00136954">
        <w:rPr>
          <w:rFonts w:eastAsia="Times New Roman"/>
          <w:color w:val="000000"/>
          <w:szCs w:val="24"/>
        </w:rPr>
        <w:t>AC</w:t>
      </w:r>
      <w:r w:rsidR="006D2E82">
        <w:rPr>
          <w:rFonts w:eastAsia="Times New Roman"/>
          <w:color w:val="000000"/>
          <w:szCs w:val="24"/>
        </w:rPr>
        <w:t>]</w:t>
      </w:r>
      <w:r w:rsidR="00136954">
        <w:rPr>
          <w:rFonts w:eastAsia="Times New Roman"/>
          <w:color w:val="000000"/>
          <w:szCs w:val="24"/>
        </w:rPr>
        <w:t>)</w:t>
      </w:r>
      <w:r w:rsidR="00AD5DF1" w:rsidRPr="001B747C">
        <w:rPr>
          <w:rFonts w:eastAsia="Times New Roman"/>
          <w:color w:val="000000"/>
          <w:szCs w:val="24"/>
        </w:rPr>
        <w:t xml:space="preserve"> in nameplate capacity by the end of </w:t>
      </w:r>
      <w:r w:rsidR="00AD5DF1">
        <w:rPr>
          <w:rFonts w:eastAsia="Times New Roman"/>
          <w:color w:val="000000"/>
          <w:szCs w:val="24"/>
        </w:rPr>
        <w:t>2020</w:t>
      </w:r>
      <w:r>
        <w:rPr>
          <w:rFonts w:eastAsia="Times New Roman"/>
          <w:color w:val="000000"/>
          <w:szCs w:val="24"/>
        </w:rPr>
        <w:t>,</w:t>
      </w:r>
      <w:r w:rsidR="00AD5DF1" w:rsidRPr="001B747C">
        <w:rPr>
          <w:rFonts w:eastAsia="Times New Roman"/>
          <w:color w:val="000000"/>
          <w:szCs w:val="24"/>
        </w:rPr>
        <w:t xml:space="preserve"> and are expected to grow to </w:t>
      </w:r>
      <w:r w:rsidR="00AD5DF1">
        <w:rPr>
          <w:rFonts w:eastAsia="Times New Roman"/>
          <w:color w:val="000000"/>
          <w:szCs w:val="24"/>
        </w:rPr>
        <w:t>10,033</w:t>
      </w:r>
      <w:r w:rsidR="00AD5DF1" w:rsidRPr="001B747C">
        <w:rPr>
          <w:rFonts w:eastAsia="Times New Roman"/>
          <w:color w:val="000000"/>
          <w:szCs w:val="24"/>
        </w:rPr>
        <w:t xml:space="preserve"> </w:t>
      </w:r>
      <w:r w:rsidR="00136954">
        <w:rPr>
          <w:rFonts w:eastAsia="Times New Roman"/>
          <w:color w:val="000000"/>
          <w:szCs w:val="24"/>
        </w:rPr>
        <w:t xml:space="preserve">MW (AC) </w:t>
      </w:r>
      <w:r w:rsidR="00AD5DF1" w:rsidRPr="001B747C">
        <w:rPr>
          <w:rFonts w:eastAsia="Times New Roman"/>
          <w:color w:val="000000"/>
          <w:szCs w:val="24"/>
        </w:rPr>
        <w:t>b</w:t>
      </w:r>
      <w:r w:rsidR="00AD5DF1" w:rsidRPr="00F614B3">
        <w:rPr>
          <w:rFonts w:eastAsia="Times New Roman"/>
          <w:color w:val="000000"/>
          <w:szCs w:val="24"/>
        </w:rPr>
        <w:t xml:space="preserve">y </w:t>
      </w:r>
      <w:r w:rsidR="00AD5DF1">
        <w:rPr>
          <w:rFonts w:eastAsia="Times New Roman"/>
          <w:color w:val="000000"/>
          <w:szCs w:val="24"/>
        </w:rPr>
        <w:t xml:space="preserve">2030, </w:t>
      </w:r>
      <w:r>
        <w:rPr>
          <w:rFonts w:eastAsia="Times New Roman"/>
          <w:color w:val="000000"/>
          <w:szCs w:val="24"/>
        </w:rPr>
        <w:t>with more than half</w:t>
      </w:r>
      <w:r w:rsidR="00AD5DF1">
        <w:rPr>
          <w:rFonts w:eastAsia="Times New Roman"/>
          <w:color w:val="000000"/>
          <w:szCs w:val="24"/>
        </w:rPr>
        <w:t xml:space="preserve"> expected to be </w:t>
      </w:r>
      <w:r w:rsidR="0089412C">
        <w:rPr>
          <w:rFonts w:eastAsia="Times New Roman"/>
          <w:color w:val="000000"/>
          <w:szCs w:val="24"/>
        </w:rPr>
        <w:t>BTM</w:t>
      </w:r>
      <w:r w:rsidR="00AD5DF1" w:rsidRPr="00F614B3">
        <w:rPr>
          <w:rFonts w:eastAsia="Times New Roman"/>
          <w:color w:val="000000"/>
          <w:szCs w:val="24"/>
        </w:rPr>
        <w:t xml:space="preserve">. The estimated reductions in summer seasonal peak demand due to </w:t>
      </w:r>
      <w:r w:rsidR="00AD5DF1">
        <w:rPr>
          <w:rFonts w:eastAsia="Times New Roman"/>
          <w:color w:val="000000"/>
          <w:szCs w:val="24"/>
        </w:rPr>
        <w:t>BTM</w:t>
      </w:r>
      <w:r w:rsidR="00AD5DF1" w:rsidRPr="00F614B3">
        <w:rPr>
          <w:rFonts w:eastAsia="Times New Roman"/>
          <w:color w:val="000000"/>
          <w:szCs w:val="24"/>
        </w:rPr>
        <w:t xml:space="preserve"> PV are </w:t>
      </w:r>
      <w:r w:rsidR="00AD5DF1">
        <w:rPr>
          <w:rFonts w:eastAsia="Times New Roman"/>
          <w:color w:val="000000"/>
          <w:szCs w:val="24"/>
        </w:rPr>
        <w:t>836</w:t>
      </w:r>
      <w:r w:rsidR="00AD5DF1" w:rsidRPr="00F614B3">
        <w:rPr>
          <w:rFonts w:eastAsia="Times New Roman"/>
          <w:color w:val="000000"/>
          <w:szCs w:val="24"/>
        </w:rPr>
        <w:t xml:space="preserve"> MW in </w:t>
      </w:r>
      <w:r w:rsidR="00AD5DF1">
        <w:rPr>
          <w:rFonts w:eastAsia="Times New Roman"/>
          <w:color w:val="000000"/>
          <w:szCs w:val="24"/>
        </w:rPr>
        <w:t>2021</w:t>
      </w:r>
      <w:r w:rsidR="00AD5DF1" w:rsidRPr="00F614B3">
        <w:rPr>
          <w:rFonts w:eastAsia="Times New Roman"/>
          <w:color w:val="000000"/>
          <w:szCs w:val="24"/>
        </w:rPr>
        <w:t xml:space="preserve"> </w:t>
      </w:r>
      <w:r w:rsidR="00524C4A">
        <w:rPr>
          <w:rFonts w:eastAsia="Times New Roman"/>
          <w:color w:val="000000"/>
          <w:szCs w:val="24"/>
        </w:rPr>
        <w:t>to</w:t>
      </w:r>
      <w:r w:rsidR="00524C4A" w:rsidRPr="00F614B3">
        <w:rPr>
          <w:rFonts w:eastAsia="Times New Roman"/>
          <w:color w:val="000000"/>
          <w:szCs w:val="24"/>
        </w:rPr>
        <w:t xml:space="preserve"> </w:t>
      </w:r>
      <w:r w:rsidR="00AD5DF1">
        <w:rPr>
          <w:rFonts w:eastAsia="Times New Roman"/>
          <w:color w:val="000000"/>
          <w:szCs w:val="24"/>
        </w:rPr>
        <w:t>1,087</w:t>
      </w:r>
      <w:r w:rsidR="00AD5DF1" w:rsidRPr="00F614B3">
        <w:rPr>
          <w:rFonts w:eastAsia="Times New Roman"/>
          <w:color w:val="000000"/>
          <w:szCs w:val="24"/>
        </w:rPr>
        <w:t xml:space="preserve"> MW in </w:t>
      </w:r>
      <w:r w:rsidR="00AD5DF1">
        <w:rPr>
          <w:rFonts w:eastAsia="Times New Roman"/>
          <w:color w:val="000000"/>
          <w:szCs w:val="24"/>
        </w:rPr>
        <w:t>2030</w:t>
      </w:r>
      <w:r w:rsidR="006354D2">
        <w:rPr>
          <w:rFonts w:eastAsia="Times New Roman"/>
          <w:color w:val="000000"/>
          <w:szCs w:val="24"/>
        </w:rPr>
        <w:t>.</w:t>
      </w:r>
      <w:r w:rsidR="00AD5DF1" w:rsidRPr="00F614B3">
        <w:rPr>
          <w:rFonts w:eastAsia="Times New Roman"/>
          <w:color w:val="000000"/>
          <w:szCs w:val="24"/>
        </w:rPr>
        <w:t xml:space="preserve"> BTM PV does not reduce winter peaks because </w:t>
      </w:r>
      <w:r w:rsidR="00DE7F0C">
        <w:rPr>
          <w:rFonts w:eastAsia="Times New Roman"/>
          <w:color w:val="000000"/>
          <w:szCs w:val="24"/>
        </w:rPr>
        <w:t>winter peaks</w:t>
      </w:r>
      <w:r w:rsidR="00AD5DF1" w:rsidRPr="00F614B3">
        <w:rPr>
          <w:rFonts w:eastAsia="Times New Roman"/>
          <w:color w:val="000000"/>
          <w:szCs w:val="24"/>
        </w:rPr>
        <w:t xml:space="preserve"> typically occur after the sun sets.</w:t>
      </w:r>
      <w:r w:rsidR="00AD5DF1">
        <w:rPr>
          <w:rFonts w:eastAsia="Times New Roman"/>
          <w:color w:val="000000"/>
          <w:szCs w:val="24"/>
        </w:rPr>
        <w:t xml:space="preserve"> </w:t>
      </w:r>
    </w:p>
    <w:p w:rsidR="00AD5DF1" w:rsidRDefault="00AD5DF1" w:rsidP="00AD5DF1">
      <w:pPr>
        <w:rPr>
          <w:rFonts w:eastAsia="Times New Roman"/>
          <w:color w:val="000000"/>
          <w:szCs w:val="24"/>
        </w:rPr>
      </w:pPr>
      <w:r>
        <w:rPr>
          <w:rFonts w:eastAsia="Times New Roman"/>
          <w:color w:val="000000"/>
          <w:szCs w:val="24"/>
        </w:rPr>
        <w:t xml:space="preserve">The effects of heating </w:t>
      </w:r>
      <w:r w:rsidR="00524C4A">
        <w:rPr>
          <w:rFonts w:eastAsia="Times New Roman"/>
          <w:color w:val="000000"/>
          <w:szCs w:val="24"/>
        </w:rPr>
        <w:t>and</w:t>
      </w:r>
      <w:r>
        <w:rPr>
          <w:rFonts w:eastAsia="Times New Roman"/>
          <w:color w:val="000000"/>
          <w:szCs w:val="24"/>
        </w:rPr>
        <w:t xml:space="preserve"> transportation electrification, and growing</w:t>
      </w:r>
      <w:r w:rsidRPr="007C4400">
        <w:rPr>
          <w:rFonts w:eastAsia="Times New Roman"/>
          <w:color w:val="000000"/>
          <w:szCs w:val="24"/>
        </w:rPr>
        <w:t xml:space="preserve"> penetrations of distributed PV</w:t>
      </w:r>
      <w:r w:rsidR="003130F0">
        <w:rPr>
          <w:rFonts w:eastAsia="Times New Roman"/>
          <w:color w:val="000000"/>
          <w:szCs w:val="24"/>
        </w:rPr>
        <w:t>,</w:t>
      </w:r>
      <w:r w:rsidRPr="007C4400">
        <w:rPr>
          <w:rFonts w:eastAsia="Times New Roman"/>
          <w:color w:val="000000"/>
          <w:szCs w:val="24"/>
        </w:rPr>
        <w:t xml:space="preserve"> </w:t>
      </w:r>
      <w:r>
        <w:rPr>
          <w:rFonts w:eastAsia="Times New Roman"/>
          <w:color w:val="000000"/>
          <w:szCs w:val="24"/>
        </w:rPr>
        <w:t>will</w:t>
      </w:r>
      <w:r w:rsidRPr="007C4400">
        <w:rPr>
          <w:rFonts w:eastAsia="Times New Roman"/>
          <w:color w:val="000000"/>
          <w:szCs w:val="24"/>
        </w:rPr>
        <w:t xml:space="preserve"> </w:t>
      </w:r>
      <w:r>
        <w:rPr>
          <w:rFonts w:eastAsia="Times New Roman"/>
          <w:color w:val="000000"/>
          <w:szCs w:val="24"/>
        </w:rPr>
        <w:t>significantly change</w:t>
      </w:r>
      <w:r w:rsidRPr="007C4400">
        <w:rPr>
          <w:rFonts w:eastAsia="Times New Roman"/>
          <w:color w:val="000000"/>
          <w:szCs w:val="24"/>
        </w:rPr>
        <w:t xml:space="preserve"> the region’s load characteristics</w:t>
      </w:r>
      <w:r w:rsidR="00524C4A">
        <w:rPr>
          <w:rFonts w:eastAsia="Times New Roman"/>
          <w:color w:val="000000"/>
          <w:szCs w:val="24"/>
        </w:rPr>
        <w:t xml:space="preserve"> and the daily timing of peaks. These</w:t>
      </w:r>
      <w:r w:rsidRPr="007C4400">
        <w:rPr>
          <w:rFonts w:eastAsia="Times New Roman"/>
          <w:color w:val="000000"/>
          <w:szCs w:val="24"/>
        </w:rPr>
        <w:t xml:space="preserve"> are key consideration</w:t>
      </w:r>
      <w:r w:rsidR="002B2BAE">
        <w:rPr>
          <w:rFonts w:eastAsia="Times New Roman"/>
          <w:color w:val="000000"/>
          <w:szCs w:val="24"/>
        </w:rPr>
        <w:t>s</w:t>
      </w:r>
      <w:r w:rsidR="007737A8">
        <w:rPr>
          <w:color w:val="000000"/>
          <w:szCs w:val="24"/>
        </w:rPr>
        <w:t xml:space="preserve"> as the New England grid evolves</w:t>
      </w:r>
      <w:r w:rsidRPr="007C4400">
        <w:rPr>
          <w:rFonts w:eastAsia="Times New Roman"/>
          <w:color w:val="000000"/>
          <w:szCs w:val="24"/>
        </w:rPr>
        <w:t>.</w:t>
      </w:r>
    </w:p>
    <w:p w:rsidR="00776BA4" w:rsidRPr="001B747C" w:rsidRDefault="00E36CF5" w:rsidP="006B38CE">
      <w:pPr>
        <w:pStyle w:val="Heading3"/>
      </w:pPr>
      <w:bookmarkStart w:id="40" w:name="_Toc8727172"/>
      <w:bookmarkStart w:id="41" w:name="_Toc10116684"/>
      <w:bookmarkStart w:id="42" w:name="_Toc81544490"/>
      <w:r>
        <w:t>Resource Adequacy</w:t>
      </w:r>
      <w:r w:rsidR="00776BA4" w:rsidRPr="001B747C">
        <w:t xml:space="preserve"> </w:t>
      </w:r>
      <w:r w:rsidR="00477DA2">
        <w:t>(</w:t>
      </w:r>
      <w:hyperlink w:anchor="_Resource_Adequacy—Resources,_Capaci" w:history="1">
        <w:r w:rsidR="00477DA2" w:rsidRPr="0011141F">
          <w:rPr>
            <w:u w:val="single"/>
          </w:rPr>
          <w:t>Chapter 4</w:t>
        </w:r>
      </w:hyperlink>
      <w:r w:rsidR="00477DA2">
        <w:t>)</w:t>
      </w:r>
      <w:bookmarkEnd w:id="42"/>
      <w:r w:rsidR="00477DA2">
        <w:t xml:space="preserve"> </w:t>
      </w:r>
      <w:bookmarkEnd w:id="40"/>
      <w:bookmarkEnd w:id="41"/>
    </w:p>
    <w:p w:rsidR="00776BA4" w:rsidRDefault="00776BA4" w:rsidP="00776BA4">
      <w:r w:rsidRPr="001B747C">
        <w:t xml:space="preserve">Sufficient resources are projected for New England through </w:t>
      </w:r>
      <w:r w:rsidR="002B44C9">
        <w:t>2030</w:t>
      </w:r>
      <w:r w:rsidR="002B44C9" w:rsidRPr="001B747C">
        <w:t xml:space="preserve"> </w:t>
      </w:r>
      <w:r w:rsidRPr="001B747C">
        <w:t>to meet the resource</w:t>
      </w:r>
      <w:r w:rsidR="00877C97">
        <w:t>-</w:t>
      </w:r>
      <w:r w:rsidRPr="001B747C">
        <w:t xml:space="preserve">adequacy planning criterion, assuming no major </w:t>
      </w:r>
      <w:r w:rsidR="00524C4A">
        <w:t xml:space="preserve">resource </w:t>
      </w:r>
      <w:r w:rsidRPr="001B747C">
        <w:t>retirements and the successful completion and operation of all new resources that have cleared the</w:t>
      </w:r>
      <w:r w:rsidR="00702183">
        <w:t xml:space="preserve"> </w:t>
      </w:r>
      <w:r w:rsidR="00046F89">
        <w:t>Forward Capacity Market (</w:t>
      </w:r>
      <w:r w:rsidR="00C8356C">
        <w:t>F</w:t>
      </w:r>
      <w:r w:rsidR="00702183">
        <w:t>CM</w:t>
      </w:r>
      <w:r w:rsidR="00046F89">
        <w:t>)</w:t>
      </w:r>
      <w:r w:rsidRPr="001B747C">
        <w:t xml:space="preserve">. The planning analyses account for new </w:t>
      </w:r>
      <w:r w:rsidRPr="00393695">
        <w:t xml:space="preserve">resource additions that have </w:t>
      </w:r>
      <w:r w:rsidR="000704B5" w:rsidRPr="00393695">
        <w:t xml:space="preserve">cleared the </w:t>
      </w:r>
      <w:r w:rsidR="005A04F3" w:rsidRPr="00393695">
        <w:t xml:space="preserve">FCM </w:t>
      </w:r>
      <w:r w:rsidR="000704B5" w:rsidRPr="00393695">
        <w:t xml:space="preserve">and those that have received contracts </w:t>
      </w:r>
      <w:r w:rsidR="005A04F3" w:rsidRPr="00393695">
        <w:t>pursuant to</w:t>
      </w:r>
      <w:r w:rsidRPr="00393695">
        <w:t xml:space="preserve"> state </w:t>
      </w:r>
      <w:r w:rsidR="002629EC" w:rsidRPr="00393695">
        <w:t>laws and mandates</w:t>
      </w:r>
      <w:r w:rsidR="000704B5" w:rsidRPr="00393695">
        <w:t>, as well as</w:t>
      </w:r>
      <w:r w:rsidRPr="00393695">
        <w:t xml:space="preserve"> known </w:t>
      </w:r>
      <w:r w:rsidR="009D0B1D" w:rsidRPr="00393695">
        <w:t xml:space="preserve">upcoming </w:t>
      </w:r>
      <w:r w:rsidRPr="00393695">
        <w:t xml:space="preserve">resource retirements. </w:t>
      </w:r>
      <w:r w:rsidR="003E40ED" w:rsidRPr="00393695">
        <w:t>The</w:t>
      </w:r>
      <w:r w:rsidRPr="00393695">
        <w:t xml:space="preserve"> FCM </w:t>
      </w:r>
      <w:r w:rsidR="003E40ED" w:rsidRPr="00393695">
        <w:t xml:space="preserve">plays a critical role in meeting the </w:t>
      </w:r>
      <w:r w:rsidR="003E40ED">
        <w:t>reliability needs of the region</w:t>
      </w:r>
      <w:r w:rsidR="005F3A6B" w:rsidRPr="005F3A6B" w:rsidDel="00397559">
        <w:t xml:space="preserve"> </w:t>
      </w:r>
      <w:r w:rsidR="00524C4A">
        <w:t xml:space="preserve">by identifying </w:t>
      </w:r>
      <w:r w:rsidR="005F3A6B" w:rsidRPr="00824EA7" w:rsidDel="00397559">
        <w:t xml:space="preserve">the physical capacity needs </w:t>
      </w:r>
      <w:r w:rsidR="00524C4A">
        <w:t>through</w:t>
      </w:r>
      <w:r w:rsidR="00524C4A" w:rsidRPr="00824EA7">
        <w:t xml:space="preserve"> </w:t>
      </w:r>
      <w:r w:rsidR="005F3A6B" w:rsidRPr="00824EA7" w:rsidDel="00397559">
        <w:t>the</w:t>
      </w:r>
      <w:r w:rsidR="005F3A6B" w:rsidRPr="00824EA7">
        <w:t xml:space="preserve"> </w:t>
      </w:r>
      <w:hyperlink r:id="rId30" w:history="1">
        <w:r w:rsidR="005F3A6B" w:rsidRPr="00D476EE">
          <w:rPr>
            <w:rStyle w:val="Hyperlink"/>
          </w:rPr>
          <w:t>Installed Capacity Requirement</w:t>
        </w:r>
      </w:hyperlink>
      <w:r w:rsidR="005F3A6B" w:rsidRPr="00824EA7" w:rsidDel="00397559">
        <w:t xml:space="preserve"> </w:t>
      </w:r>
      <w:r w:rsidR="005F3A6B" w:rsidRPr="00824EA7">
        <w:t>(</w:t>
      </w:r>
      <w:r w:rsidR="005F3A6B" w:rsidRPr="00824EA7" w:rsidDel="00397559">
        <w:t>ICR</w:t>
      </w:r>
      <w:r w:rsidR="005F3A6B" w:rsidRPr="00824EA7">
        <w:t>)</w:t>
      </w:r>
      <w:r w:rsidR="005F3A6B" w:rsidRPr="00824EA7" w:rsidDel="00397559">
        <w:t xml:space="preserve"> </w:t>
      </w:r>
      <w:r w:rsidR="005F3A6B" w:rsidRPr="00824EA7">
        <w:t>define</w:t>
      </w:r>
      <w:r w:rsidR="00524C4A">
        <w:t>d</w:t>
      </w:r>
      <w:r w:rsidR="005F3A6B" w:rsidRPr="00824EA7" w:rsidDel="00397559">
        <w:t xml:space="preserve"> for future years.</w:t>
      </w:r>
      <w:r w:rsidR="004729E8">
        <w:t xml:space="preserve"> </w:t>
      </w:r>
      <w:r w:rsidR="00872E4A">
        <w:t>T</w:t>
      </w:r>
      <w:r w:rsidR="004729E8">
        <w:t xml:space="preserve">he ISO is currently </w:t>
      </w:r>
      <w:r w:rsidR="005A04F3">
        <w:t xml:space="preserve">working with the states and </w:t>
      </w:r>
      <w:r w:rsidR="008E0D15">
        <w:t>the New England Power Pool (</w:t>
      </w:r>
      <w:r w:rsidR="005A04F3">
        <w:t>NEPOOL</w:t>
      </w:r>
      <w:r w:rsidR="008E0D15">
        <w:t>)</w:t>
      </w:r>
      <w:r w:rsidR="005A04F3">
        <w:t xml:space="preserve"> to eliminate the </w:t>
      </w:r>
      <w:hyperlink r:id="rId31" w:history="1">
        <w:r w:rsidR="001B1ADA" w:rsidRPr="00D476EE">
          <w:rPr>
            <w:rStyle w:val="Hyperlink"/>
          </w:rPr>
          <w:t>M</w:t>
        </w:r>
        <w:r w:rsidR="005A04F3" w:rsidRPr="00D476EE">
          <w:rPr>
            <w:rStyle w:val="Hyperlink"/>
          </w:rPr>
          <w:t xml:space="preserve">inimum </w:t>
        </w:r>
        <w:r w:rsidR="001B1ADA" w:rsidRPr="00D476EE">
          <w:rPr>
            <w:rStyle w:val="Hyperlink"/>
          </w:rPr>
          <w:t>O</w:t>
        </w:r>
        <w:r w:rsidR="005A04F3" w:rsidRPr="00D476EE">
          <w:rPr>
            <w:rStyle w:val="Hyperlink"/>
          </w:rPr>
          <w:t xml:space="preserve">ffer </w:t>
        </w:r>
        <w:r w:rsidR="001B1ADA" w:rsidRPr="00D476EE">
          <w:rPr>
            <w:rStyle w:val="Hyperlink"/>
          </w:rPr>
          <w:t>P</w:t>
        </w:r>
        <w:r w:rsidR="005A04F3" w:rsidRPr="00D476EE">
          <w:rPr>
            <w:rStyle w:val="Hyperlink"/>
          </w:rPr>
          <w:t xml:space="preserve">rice </w:t>
        </w:r>
        <w:r w:rsidR="001B1ADA" w:rsidRPr="00D476EE">
          <w:rPr>
            <w:rStyle w:val="Hyperlink"/>
          </w:rPr>
          <w:t>R</w:t>
        </w:r>
        <w:r w:rsidR="005A04F3" w:rsidRPr="00D476EE">
          <w:rPr>
            <w:rStyle w:val="Hyperlink"/>
          </w:rPr>
          <w:t>ule</w:t>
        </w:r>
      </w:hyperlink>
      <w:r w:rsidR="005A04F3">
        <w:t xml:space="preserve"> (MOPR) in the FCM and </w:t>
      </w:r>
      <w:r w:rsidR="004729E8">
        <w:t xml:space="preserve">assessing </w:t>
      </w:r>
      <w:r w:rsidR="00DE7F0C">
        <w:t>a consequent</w:t>
      </w:r>
      <w:r w:rsidR="005A04F3">
        <w:t xml:space="preserve"> need to adjust</w:t>
      </w:r>
      <w:r w:rsidR="00DE7F0C">
        <w:t xml:space="preserve"> certain</w:t>
      </w:r>
      <w:r w:rsidR="005A04F3">
        <w:t xml:space="preserve"> auction parameters. In addition, the ISO is assessing </w:t>
      </w:r>
      <w:r w:rsidR="004729E8">
        <w:t xml:space="preserve">possible modifications to the methodologies used to </w:t>
      </w:r>
      <w:r w:rsidR="00CD13C2">
        <w:t xml:space="preserve">calculate </w:t>
      </w:r>
      <w:r w:rsidR="004729E8">
        <w:t>resource contributions to resource adequacy</w:t>
      </w:r>
      <w:r w:rsidR="00F85EF7">
        <w:t xml:space="preserve">. </w:t>
      </w:r>
      <w:r w:rsidR="00823235">
        <w:t xml:space="preserve">The </w:t>
      </w:r>
      <w:hyperlink r:id="rId32" w:history="1">
        <w:r w:rsidR="00823235" w:rsidRPr="00D476EE">
          <w:rPr>
            <w:rStyle w:val="Hyperlink"/>
          </w:rPr>
          <w:t>Resource Capacity Accreditation</w:t>
        </w:r>
      </w:hyperlink>
      <w:r w:rsidR="00823235" w:rsidRPr="009D10C5">
        <w:t xml:space="preserve"> </w:t>
      </w:r>
      <w:r w:rsidR="00823235">
        <w:t xml:space="preserve">project will consider how Effective Load Carrying Capability (ELCC) techniques could be used in quantifying resource contributions to regional resource adequacy. The scope of this assessment will be defined in late 2021, and possible market-design modification discussions will extend into 2022. </w:t>
      </w:r>
      <w:r w:rsidR="00F85EF7">
        <w:t xml:space="preserve">Any changes made may impact the ability for the region to meet future </w:t>
      </w:r>
      <w:r w:rsidR="00CD13C2">
        <w:t>capacity requirements</w:t>
      </w:r>
      <w:r w:rsidR="00F85EF7">
        <w:t>.</w:t>
      </w:r>
    </w:p>
    <w:p w:rsidR="00776BA4" w:rsidRDefault="00776BA4" w:rsidP="00776BA4">
      <w:pPr>
        <w:spacing w:after="200" w:line="276" w:lineRule="auto"/>
      </w:pPr>
      <w:r w:rsidRPr="001B747C">
        <w:t>To date, resource</w:t>
      </w:r>
      <w:r w:rsidR="005C0F82">
        <w:t xml:space="preserve"> </w:t>
      </w:r>
      <w:r w:rsidRPr="001B747C">
        <w:t xml:space="preserve">adequacy studies have shown that </w:t>
      </w:r>
      <w:r w:rsidR="00FA2DF9" w:rsidRPr="001B747C">
        <w:t xml:space="preserve">developing new resources </w:t>
      </w:r>
      <w:r w:rsidR="00FA2DF9">
        <w:t>in</w:t>
      </w:r>
      <w:r w:rsidR="00FA2DF9" w:rsidRPr="001B747C">
        <w:t xml:space="preserve"> </w:t>
      </w:r>
      <w:r w:rsidR="00FA2DF9">
        <w:t xml:space="preserve">the </w:t>
      </w:r>
      <w:r w:rsidR="00FA2DF9" w:rsidRPr="001B747C">
        <w:t>Northeastern Massachusetts (NEMA)/Boston and Southeastern Massachusetts/Rhode Island (SEMA/RI)</w:t>
      </w:r>
      <w:r w:rsidR="00FA2DF9">
        <w:t xml:space="preserve"> areas are most beneficial to the region.</w:t>
      </w:r>
      <w:r w:rsidRPr="001B747C">
        <w:t xml:space="preserve"> This is due to anticipated retirements of aging fossil generation and the projected load growth in these areas. </w:t>
      </w:r>
      <w:r w:rsidR="000026DD">
        <w:t>Some t</w:t>
      </w:r>
      <w:r w:rsidRPr="001B747C">
        <w:t xml:space="preserve">ransmission improvements are underway in these areas, and new </w:t>
      </w:r>
      <w:r w:rsidR="00FB3AC5">
        <w:t xml:space="preserve">offshore wind and </w:t>
      </w:r>
      <w:r w:rsidR="00DF552C">
        <w:t>battery</w:t>
      </w:r>
      <w:r w:rsidR="00E00186">
        <w:t>-</w:t>
      </w:r>
      <w:r w:rsidR="00DF552C">
        <w:t>storage</w:t>
      </w:r>
      <w:r w:rsidR="00FB3AC5">
        <w:t xml:space="preserve"> resources are </w:t>
      </w:r>
      <w:r w:rsidRPr="001B747C">
        <w:t xml:space="preserve">under construction. This will help meet regional and local capacity needs and improve system reliability, but delays in </w:t>
      </w:r>
      <w:r w:rsidR="00524C4A">
        <w:t xml:space="preserve">siting, </w:t>
      </w:r>
      <w:r w:rsidRPr="001B747C">
        <w:t>construction</w:t>
      </w:r>
      <w:r w:rsidR="00B77726">
        <w:t>,</w:t>
      </w:r>
      <w:r w:rsidRPr="001B747C">
        <w:t xml:space="preserve"> or additional retirements would make meeting local resource</w:t>
      </w:r>
      <w:r>
        <w:t>-</w:t>
      </w:r>
      <w:r w:rsidRPr="001B747C">
        <w:t xml:space="preserve">adequacy requirements less certain. </w:t>
      </w:r>
      <w:r w:rsidR="00FB3AC5">
        <w:t xml:space="preserve">These </w:t>
      </w:r>
      <w:r w:rsidR="00524C4A">
        <w:t xml:space="preserve">timely </w:t>
      </w:r>
      <w:r w:rsidR="00FB3AC5">
        <w:t>improvement</w:t>
      </w:r>
      <w:r w:rsidR="004E0EF2">
        <w:t>s</w:t>
      </w:r>
      <w:r w:rsidR="00FB3AC5">
        <w:t xml:space="preserve"> will help ensure resource</w:t>
      </w:r>
      <w:r w:rsidR="004E0EF2">
        <w:t>-</w:t>
      </w:r>
      <w:r w:rsidR="00FB3AC5">
        <w:t xml:space="preserve">adequacy requirements continue to be </w:t>
      </w:r>
      <w:r w:rsidR="00B77726">
        <w:t xml:space="preserve">met </w:t>
      </w:r>
      <w:r w:rsidR="00FB3AC5">
        <w:t>through the 10-year planning horizon.</w:t>
      </w:r>
    </w:p>
    <w:p w:rsidR="00776BA4" w:rsidRDefault="00776BA4" w:rsidP="00776BA4">
      <w:r w:rsidRPr="001B747C">
        <w:t xml:space="preserve">Consistent with the resource-adequacy criterion and processes, the use of specific operator actions (e.g., </w:t>
      </w:r>
      <w:hyperlink r:id="rId33" w:history="1">
        <w:r w:rsidR="00FB3AC5" w:rsidRPr="00D476EE">
          <w:rPr>
            <w:rStyle w:val="Hyperlink"/>
          </w:rPr>
          <w:t>Operating Procedure No. 4</w:t>
        </w:r>
      </w:hyperlink>
      <w:r w:rsidR="00FB3AC5" w:rsidRPr="00FB3AC5">
        <w:t xml:space="preserve"> (OP</w:t>
      </w:r>
      <w:r w:rsidR="00834807">
        <w:t>-</w:t>
      </w:r>
      <w:r w:rsidR="00477DA2">
        <w:t>4</w:t>
      </w:r>
      <w:r w:rsidR="00FB3AC5" w:rsidRPr="00FB3AC5">
        <w:t>)</w:t>
      </w:r>
      <w:r w:rsidRPr="001B747C">
        <w:t xml:space="preserve">, </w:t>
      </w:r>
      <w:r w:rsidRPr="001B747C">
        <w:rPr>
          <w:i/>
        </w:rPr>
        <w:t xml:space="preserve">Actions </w:t>
      </w:r>
      <w:r w:rsidR="00702183">
        <w:rPr>
          <w:i/>
        </w:rPr>
        <w:t>D</w:t>
      </w:r>
      <w:r w:rsidRPr="001B747C">
        <w:rPr>
          <w:i/>
        </w:rPr>
        <w:t>uring a Capacity Deficiency</w:t>
      </w:r>
      <w:r w:rsidRPr="001B747C">
        <w:t>) may be necessary when resources are unavailable to serve demand. Actual system conditions would affect the frequency and extent of OP</w:t>
      </w:r>
      <w:r w:rsidR="00834807">
        <w:t>-</w:t>
      </w:r>
      <w:r w:rsidRPr="001B747C">
        <w:t xml:space="preserve">4 actions, in addition to the amount of resources procured to meet capacity needs and resource availability. </w:t>
      </w:r>
    </w:p>
    <w:p w:rsidR="00E36CF5" w:rsidRPr="001B747C" w:rsidRDefault="00E36CF5" w:rsidP="00FA04B6">
      <w:pPr>
        <w:pStyle w:val="Heading4"/>
      </w:pPr>
      <w:r w:rsidRPr="001B747C">
        <w:t>Projections of the Systemwide Need for Capacity and Operating</w:t>
      </w:r>
      <w:r w:rsidR="00533048">
        <w:t> </w:t>
      </w:r>
      <w:r w:rsidRPr="001B747C">
        <w:t>Reserves</w:t>
      </w:r>
    </w:p>
    <w:p w:rsidR="006D5F70" w:rsidRPr="001B747C" w:rsidRDefault="005C0F82" w:rsidP="006D5F70">
      <w:r>
        <w:t xml:space="preserve">The </w:t>
      </w:r>
      <w:r w:rsidR="006D7007">
        <w:t>2021 Regional System Plan (</w:t>
      </w:r>
      <w:r w:rsidR="006D5F70" w:rsidRPr="00C839FE">
        <w:t>RSP</w:t>
      </w:r>
      <w:r w:rsidR="006D5F70">
        <w:t>21</w:t>
      </w:r>
      <w:r w:rsidR="006D7007">
        <w:t>)</w:t>
      </w:r>
      <w:r w:rsidR="006D5F70" w:rsidRPr="00C839FE">
        <w:t xml:space="preserve"> </w:t>
      </w:r>
      <w:r w:rsidR="006D5F70">
        <w:t>summarizes</w:t>
      </w:r>
      <w:r w:rsidR="006D5F70" w:rsidRPr="00C839FE">
        <w:t xml:space="preserve"> operable</w:t>
      </w:r>
      <w:r w:rsidR="006D5F70">
        <w:t>-</w:t>
      </w:r>
      <w:r w:rsidR="006D5F70" w:rsidRPr="00C839FE">
        <w:t>capacity analys</w:t>
      </w:r>
      <w:r w:rsidR="006D5F70">
        <w:t>e</w:t>
      </w:r>
      <w:r w:rsidR="006D5F70" w:rsidRPr="00C839FE">
        <w:t xml:space="preserve">s using </w:t>
      </w:r>
      <w:r w:rsidR="006D5F70">
        <w:t>projected</w:t>
      </w:r>
      <w:r w:rsidR="006D5F70" w:rsidRPr="00C839FE">
        <w:t xml:space="preserve"> systemwide demand forecasts and </w:t>
      </w:r>
      <w:r w:rsidR="006D5F70">
        <w:t xml:space="preserve">projected </w:t>
      </w:r>
      <w:r w:rsidR="006D5F70" w:rsidRPr="00C839FE">
        <w:t>system</w:t>
      </w:r>
      <w:r w:rsidR="006D5F70">
        <w:t xml:space="preserve">wide </w:t>
      </w:r>
      <w:r w:rsidR="006D7007">
        <w:t>Installed Capacity Requirement (</w:t>
      </w:r>
      <w:r w:rsidR="006D5F70">
        <w:t>ICR</w:t>
      </w:r>
      <w:r w:rsidR="006D7007">
        <w:t>)</w:t>
      </w:r>
      <w:r w:rsidR="006D5F70">
        <w:t xml:space="preserve"> values for the 10-year planning horizon</w:t>
      </w:r>
      <w:r w:rsidR="006D5F70" w:rsidRPr="00C839FE">
        <w:t xml:space="preserve">. </w:t>
      </w:r>
      <w:r w:rsidR="006D5F70" w:rsidRPr="001B747C">
        <w:t>During either hot and humid 90/10</w:t>
      </w:r>
      <w:r w:rsidR="00081B7D">
        <w:rPr>
          <w:rStyle w:val="FootnoteReference"/>
        </w:rPr>
        <w:footnoteReference w:id="8"/>
      </w:r>
      <w:r w:rsidR="006D5F70" w:rsidRPr="001B747C">
        <w:t xml:space="preserve"> summer peak-load conditions or </w:t>
      </w:r>
      <w:r w:rsidR="006D5F70">
        <w:t>severe</w:t>
      </w:r>
      <w:r w:rsidR="006D5F70" w:rsidRPr="001B747C">
        <w:t xml:space="preserve"> winter conditions, </w:t>
      </w:r>
      <w:r w:rsidR="006D5F70">
        <w:t>t</w:t>
      </w:r>
      <w:r w:rsidR="006D5F70" w:rsidRPr="00DC1E08">
        <w:t xml:space="preserve">he </w:t>
      </w:r>
      <w:r w:rsidR="006D5F70">
        <w:t xml:space="preserve">deterministic assessment </w:t>
      </w:r>
      <w:r w:rsidR="006D5F70" w:rsidRPr="00DC1E08">
        <w:t xml:space="preserve">results </w:t>
      </w:r>
      <w:r w:rsidR="006D5F70">
        <w:t>indicate negative capacity margins. Summer 90/10 peak projections suggest that</w:t>
      </w:r>
      <w:r w:rsidR="006D5F70" w:rsidRPr="00DC1E08">
        <w:t xml:space="preserve"> the system would have negative operable capacity margins</w:t>
      </w:r>
      <w:r w:rsidR="00B77726">
        <w:t>,</w:t>
      </w:r>
      <w:r w:rsidR="006D5F70">
        <w:t xml:space="preserve"> from -973</w:t>
      </w:r>
      <w:r w:rsidR="006D5F70" w:rsidRPr="00DC1E08">
        <w:t xml:space="preserve"> </w:t>
      </w:r>
      <w:r w:rsidR="003F7A78">
        <w:t>megawatts (</w:t>
      </w:r>
      <w:r w:rsidR="006D5F70" w:rsidRPr="00DC1E08">
        <w:t>MW</w:t>
      </w:r>
      <w:r w:rsidR="003F7A78">
        <w:t>)</w:t>
      </w:r>
      <w:r w:rsidR="006D5F70" w:rsidRPr="00DC1E08">
        <w:t xml:space="preserve"> in </w:t>
      </w:r>
      <w:r w:rsidR="00524C4A">
        <w:t>Capacity Commitment Period (</w:t>
      </w:r>
      <w:r w:rsidR="006D5F70" w:rsidRPr="00DC1E08">
        <w:t>CCP</w:t>
      </w:r>
      <w:r w:rsidR="00524C4A">
        <w:t>)</w:t>
      </w:r>
      <w:r w:rsidR="006D5F70" w:rsidRPr="00DC1E08">
        <w:t xml:space="preserve"> 2024</w:t>
      </w:r>
      <w:r w:rsidR="006D5F70">
        <w:t>-2025 to -3,115 MW in CCP 2030-20</w:t>
      </w:r>
      <w:r w:rsidR="006D5F70" w:rsidRPr="00DC1E08">
        <w:t>31.</w:t>
      </w:r>
      <w:r w:rsidR="006D5F70">
        <w:t xml:space="preserve"> For </w:t>
      </w:r>
      <w:r w:rsidR="006D5F70" w:rsidRPr="00D271A8">
        <w:t xml:space="preserve">winter peak demands associated with the 90/10 forecast, the system negative operable capacity margins </w:t>
      </w:r>
      <w:r w:rsidR="006D5F70">
        <w:t xml:space="preserve">would range from </w:t>
      </w:r>
      <w:r w:rsidR="006D5F70" w:rsidRPr="00D271A8">
        <w:t>-628</w:t>
      </w:r>
      <w:r w:rsidR="006D5F70">
        <w:t xml:space="preserve"> MW in </w:t>
      </w:r>
      <w:r w:rsidR="00976DB9">
        <w:t xml:space="preserve">CCP </w:t>
      </w:r>
      <w:r w:rsidR="006D5F70" w:rsidRPr="00D271A8">
        <w:t>2024</w:t>
      </w:r>
      <w:r w:rsidR="006D5F70">
        <w:t>-20</w:t>
      </w:r>
      <w:r w:rsidR="006D5F70" w:rsidRPr="00D271A8">
        <w:t xml:space="preserve">25 </w:t>
      </w:r>
      <w:r w:rsidR="006D5F70">
        <w:t xml:space="preserve">to </w:t>
      </w:r>
      <w:r w:rsidR="006D5F70" w:rsidRPr="00D271A8">
        <w:t>-3,926</w:t>
      </w:r>
      <w:r w:rsidR="006D5F70">
        <w:t xml:space="preserve"> MW in </w:t>
      </w:r>
      <w:r w:rsidR="00976DB9">
        <w:t xml:space="preserve">CCP </w:t>
      </w:r>
      <w:r w:rsidR="006D5F70" w:rsidRPr="00D271A8">
        <w:t>2030</w:t>
      </w:r>
      <w:r w:rsidR="006D5F70">
        <w:t>-20</w:t>
      </w:r>
      <w:r w:rsidR="006D5F70" w:rsidRPr="00D271A8">
        <w:t>31.</w:t>
      </w:r>
      <w:r w:rsidR="006D5F70">
        <w:t xml:space="preserve"> Regardless of season, if these negative capacity margins materialize, New England would have to rely on actions of OP</w:t>
      </w:r>
      <w:r w:rsidR="00834807">
        <w:t>-</w:t>
      </w:r>
      <w:r w:rsidR="006D5F70">
        <w:t>4 and</w:t>
      </w:r>
      <w:r w:rsidR="00CD13C2">
        <w:t>/</w:t>
      </w:r>
      <w:r w:rsidR="006D5F70">
        <w:t xml:space="preserve">or </w:t>
      </w:r>
      <w:hyperlink r:id="rId34" w:history="1">
        <w:r w:rsidR="00834807" w:rsidRPr="00D476EE">
          <w:rPr>
            <w:rStyle w:val="Hyperlink"/>
          </w:rPr>
          <w:t>Operating Procedure No. 7</w:t>
        </w:r>
      </w:hyperlink>
      <w:r w:rsidR="00834807">
        <w:t xml:space="preserve"> (OP-7</w:t>
      </w:r>
      <w:r w:rsidR="00834807" w:rsidRPr="00FB3AC5">
        <w:t>)</w:t>
      </w:r>
      <w:r w:rsidR="00834807" w:rsidRPr="001B747C">
        <w:t xml:space="preserve">, </w:t>
      </w:r>
      <w:r w:rsidR="00834807" w:rsidRPr="00834807">
        <w:rPr>
          <w:i/>
        </w:rPr>
        <w:t>Action in an Emergency</w:t>
      </w:r>
      <w:r w:rsidR="00834807">
        <w:rPr>
          <w:i/>
        </w:rPr>
        <w:t>,</w:t>
      </w:r>
      <w:r w:rsidR="006D5F70">
        <w:t xml:space="preserve"> to mitigate these negative capacity margins.  </w:t>
      </w:r>
    </w:p>
    <w:p w:rsidR="00776BA4" w:rsidRDefault="00D239A0" w:rsidP="00776BA4">
      <w:r w:rsidRPr="00F508F4">
        <w:t xml:space="preserve">The results of the analysis of representative locational operating-reserve requirements show that operating reserves do not need to be located in Greater Southwest Connecticut and Greater Connecticut because of transmission improvements combined with recent and </w:t>
      </w:r>
      <w:r w:rsidR="006F4148">
        <w:t xml:space="preserve">expected </w:t>
      </w:r>
      <w:r w:rsidRPr="00F508F4">
        <w:t xml:space="preserve">future resource additions in these areas. The </w:t>
      </w:r>
      <w:r w:rsidR="003F7A78">
        <w:t>Northeast Massachusetts (</w:t>
      </w:r>
      <w:r w:rsidRPr="00F508F4">
        <w:t>NEMA</w:t>
      </w:r>
      <w:r w:rsidR="003F7A78">
        <w:t>)</w:t>
      </w:r>
      <w:r w:rsidRPr="00F508F4">
        <w:t>/Boston area could need up to 250 MW of operating reserves during the summer through 2024</w:t>
      </w:r>
      <w:r w:rsidR="006F4148">
        <w:t>,</w:t>
      </w:r>
      <w:r w:rsidRPr="00F508F4">
        <w:t xml:space="preserve"> and up to 600 MW in 2025</w:t>
      </w:r>
      <w:r>
        <w:t>,</w:t>
      </w:r>
      <w:r w:rsidRPr="00F508F4">
        <w:t xml:space="preserve"> due to the loss of local generating resources and the </w:t>
      </w:r>
      <w:r w:rsidR="006F4148">
        <w:t xml:space="preserve">associated </w:t>
      </w:r>
      <w:r w:rsidRPr="00F508F4">
        <w:t>reduction in import capability</w:t>
      </w:r>
      <w:r>
        <w:t>,</w:t>
      </w:r>
      <w:r w:rsidRPr="00F508F4">
        <w:t xml:space="preserve"> while no</w:t>
      </w:r>
      <w:r w:rsidR="006F4148">
        <w:t xml:space="preserve"> incremental</w:t>
      </w:r>
      <w:r w:rsidRPr="00F508F4">
        <w:t xml:space="preserve"> operating reserves are needed during the winters. There are approximately</w:t>
      </w:r>
      <w:r w:rsidR="00976DB9">
        <w:t xml:space="preserve"> </w:t>
      </w:r>
      <w:r w:rsidR="00976DB9" w:rsidRPr="00F508F4">
        <w:t>300 MW o</w:t>
      </w:r>
      <w:r w:rsidR="00976DB9" w:rsidRPr="00976DB9">
        <w:t>f combustion turbines totaling approximately 160 MW of claimed 30-minute reserves</w:t>
      </w:r>
      <w:r w:rsidR="00976DB9">
        <w:t xml:space="preserve"> </w:t>
      </w:r>
      <w:r w:rsidRPr="00F508F4">
        <w:t>currently in service in NEMA/Boston</w:t>
      </w:r>
      <w:r w:rsidR="006F4148">
        <w:t>. A</w:t>
      </w:r>
      <w:r w:rsidRPr="00F508F4">
        <w:t>dditional fast</w:t>
      </w:r>
      <w:r>
        <w:t>-</w:t>
      </w:r>
      <w:r w:rsidRPr="00F508F4">
        <w:t xml:space="preserve">start resources </w:t>
      </w:r>
      <w:r w:rsidR="00FE0001">
        <w:t>are needed</w:t>
      </w:r>
      <w:r w:rsidRPr="00F508F4">
        <w:t xml:space="preserve"> to satisfy local operating reserve needs in 2025</w:t>
      </w:r>
      <w:r w:rsidR="00976DB9">
        <w:t>.</w:t>
      </w:r>
      <w:r w:rsidRPr="00F508F4">
        <w:t xml:space="preserve"> The region is expected to meet future representative operating-reserve requirements </w:t>
      </w:r>
      <w:r w:rsidR="006F4148">
        <w:t>with current resources.</w:t>
      </w:r>
      <w:r w:rsidRPr="00F508F4">
        <w:t xml:space="preserve"> Fast-start resources with short </w:t>
      </w:r>
      <w:r w:rsidR="008373D6">
        <w:t>notification</w:t>
      </w:r>
      <w:r w:rsidR="008373D6" w:rsidRPr="00F508F4">
        <w:t xml:space="preserve"> </w:t>
      </w:r>
      <w:r w:rsidRPr="00F508F4">
        <w:t>times</w:t>
      </w:r>
      <w:r>
        <w:t>,</w:t>
      </w:r>
      <w:r w:rsidRPr="00F508F4">
        <w:t xml:space="preserve"> such as the approximate 600 MW of battery storage resources planned for 2025-2026 and generators able to quickly ramp up</w:t>
      </w:r>
      <w:r>
        <w:t>,</w:t>
      </w:r>
      <w:r w:rsidRPr="00F508F4">
        <w:t xml:space="preserve"> can satisfy the regional operating-reserve requirements while providing operational flexibility to major load pockets and the system overall. Developers interconnecting and placing well-sized and economical resources</w:t>
      </w:r>
      <w:r w:rsidR="00EE6898">
        <w:t xml:space="preserve">, </w:t>
      </w:r>
      <w:r w:rsidRPr="00F508F4">
        <w:t>within or near major load pockets to replace resource retirements</w:t>
      </w:r>
      <w:r w:rsidR="006E4D8D">
        <w:t>,</w:t>
      </w:r>
      <w:r w:rsidRPr="00F508F4">
        <w:t xml:space="preserve"> would decrease the amount of</w:t>
      </w:r>
      <w:r w:rsidR="00976DB9">
        <w:t xml:space="preserve"> local</w:t>
      </w:r>
      <w:r w:rsidRPr="00F508F4">
        <w:t xml:space="preserve"> reserves required within </w:t>
      </w:r>
      <w:r w:rsidR="00976DB9">
        <w:t xml:space="preserve">those </w:t>
      </w:r>
      <w:r w:rsidRPr="00F508F4">
        <w:t>load pockets and reduce the reliance on transmission facilities. Transmission improvements can continue to help reduce or eliminate operating-reserve needs in the major import areas.</w:t>
      </w:r>
      <w:r w:rsidR="00776BA4" w:rsidRPr="001B747C">
        <w:t xml:space="preserve"> </w:t>
      </w:r>
    </w:p>
    <w:p w:rsidR="008460AC" w:rsidRDefault="008460AC" w:rsidP="00FA04B6">
      <w:pPr>
        <w:pStyle w:val="Heading4"/>
      </w:pPr>
      <w:r>
        <w:t>Generator Fuels</w:t>
      </w:r>
    </w:p>
    <w:p w:rsidR="008460AC" w:rsidRDefault="008460AC" w:rsidP="008460AC">
      <w:r w:rsidRPr="001B747C">
        <w:t xml:space="preserve">New England relies on natural gas as a primary fuel for generating electric energy and is decreasing its reliance on oil and coal. The high regional use of </w:t>
      </w:r>
      <w:r w:rsidR="00EE18F6">
        <w:t>natural gas</w:t>
      </w:r>
      <w:r w:rsidRPr="001B747C">
        <w:t xml:space="preserve">-fired generation reflects the addition of new, efficient </w:t>
      </w:r>
      <w:r w:rsidR="00EE18F6">
        <w:t>natural gas</w:t>
      </w:r>
      <w:r w:rsidRPr="001B747C">
        <w:t>-fired units over the past 20 years</w:t>
      </w:r>
      <w:r w:rsidR="00C571D1">
        <w:t>,</w:t>
      </w:r>
      <w:r w:rsidRPr="001B747C">
        <w:t xml:space="preserve"> the generally low price of natural gas</w:t>
      </w:r>
      <w:r w:rsidR="00C571D1">
        <w:t>,</w:t>
      </w:r>
      <w:r w:rsidRPr="001B747C">
        <w:t xml:space="preserve"> and the </w:t>
      </w:r>
      <w:r w:rsidR="00BE656A">
        <w:t>relative</w:t>
      </w:r>
      <w:r w:rsidR="00BE656A" w:rsidRPr="001B747C">
        <w:t xml:space="preserve"> </w:t>
      </w:r>
      <w:r w:rsidRPr="001B747C">
        <w:t xml:space="preserve">ease with which these new, efficient units can comply with emissions requirements. </w:t>
      </w:r>
      <w:r>
        <w:t xml:space="preserve">As </w:t>
      </w:r>
      <w:r w:rsidR="000D65F1">
        <w:t xml:space="preserve">reported in the </w:t>
      </w:r>
      <w:r w:rsidR="000D65F1" w:rsidRPr="00963B61">
        <w:rPr>
          <w:i/>
        </w:rPr>
        <w:t xml:space="preserve">2021 </w:t>
      </w:r>
      <w:hyperlink r:id="rId35" w:history="1">
        <w:r w:rsidR="000D65F1" w:rsidRPr="00963B61">
          <w:rPr>
            <w:rStyle w:val="Hyperlink"/>
            <w:i/>
          </w:rPr>
          <w:t>Capacity, Energy, Loads, and Transmission</w:t>
        </w:r>
      </w:hyperlink>
      <w:r w:rsidR="000D65F1" w:rsidRPr="00963B61">
        <w:rPr>
          <w:i/>
        </w:rPr>
        <w:t xml:space="preserve"> (CELT) </w:t>
      </w:r>
      <w:r w:rsidR="004E0EF2" w:rsidRPr="00963B61">
        <w:rPr>
          <w:i/>
        </w:rPr>
        <w:t>R</w:t>
      </w:r>
      <w:r w:rsidR="000D65F1" w:rsidRPr="00963B61">
        <w:rPr>
          <w:i/>
        </w:rPr>
        <w:t>eport</w:t>
      </w:r>
      <w:r w:rsidR="000D65F1">
        <w:t>,</w:t>
      </w:r>
      <w:r>
        <w:t xml:space="preserve"> </w:t>
      </w:r>
      <w:r w:rsidR="00EE18F6">
        <w:t>natural gas</w:t>
      </w:r>
      <w:r>
        <w:t>-fired generation represented about 50% of the New England generation fleet</w:t>
      </w:r>
      <w:r w:rsidR="00472DE6">
        <w:t>,</w:t>
      </w:r>
      <w:r>
        <w:t xml:space="preserve"> while renewables represented about 5%. By June 2024, due to the retirement of the Mystic 8 and 9 combined</w:t>
      </w:r>
      <w:r w:rsidR="00E167A9">
        <w:t>-</w:t>
      </w:r>
      <w:r>
        <w:t xml:space="preserve">cycle generators, </w:t>
      </w:r>
      <w:r w:rsidR="00EE18F6">
        <w:t>natural</w:t>
      </w:r>
      <w:r w:rsidR="004253D4">
        <w:t>-</w:t>
      </w:r>
      <w:r w:rsidR="00EE18F6">
        <w:t>gas</w:t>
      </w:r>
      <w:r>
        <w:t xml:space="preserve">-fired generation </w:t>
      </w:r>
      <w:r w:rsidR="00561F94" w:rsidRPr="00561F94">
        <w:t>fed directly from liquid natural</w:t>
      </w:r>
      <w:r w:rsidR="004253D4">
        <w:t>-</w:t>
      </w:r>
      <w:r w:rsidR="00561F94" w:rsidRPr="00561F94">
        <w:t>gas supplies will be eliminated from the system</w:t>
      </w:r>
      <w:r>
        <w:t xml:space="preserve">. </w:t>
      </w:r>
      <w:r w:rsidR="005A696E">
        <w:t>B</w:t>
      </w:r>
      <w:r>
        <w:t xml:space="preserve">ased on resources clearing in the </w:t>
      </w:r>
      <w:hyperlink r:id="rId36" w:history="1">
        <w:r w:rsidR="003F7A78" w:rsidRPr="00D476EE">
          <w:rPr>
            <w:rStyle w:val="Hyperlink"/>
          </w:rPr>
          <w:t>Forward Capacity Market</w:t>
        </w:r>
      </w:hyperlink>
      <w:r w:rsidR="003F7A78">
        <w:t xml:space="preserve"> (</w:t>
      </w:r>
      <w:r>
        <w:t>F</w:t>
      </w:r>
      <w:r w:rsidR="00E167A9">
        <w:t>CM</w:t>
      </w:r>
      <w:r w:rsidR="003F7A78">
        <w:t>)</w:t>
      </w:r>
      <w:r>
        <w:t xml:space="preserve">, renewables </w:t>
      </w:r>
      <w:r w:rsidR="005A696E">
        <w:t>(solar, wind and batter</w:t>
      </w:r>
      <w:r w:rsidR="00C25BE8">
        <w:t>y</w:t>
      </w:r>
      <w:r w:rsidR="005A696E">
        <w:t xml:space="preserve"> storage) </w:t>
      </w:r>
      <w:r>
        <w:t xml:space="preserve">are expected to increase to </w:t>
      </w:r>
      <w:r w:rsidR="003432E5">
        <w:t xml:space="preserve">10% of the </w:t>
      </w:r>
      <w:r w:rsidR="001366BE">
        <w:t xml:space="preserve">grid-connected </w:t>
      </w:r>
      <w:r w:rsidR="003432E5">
        <w:t xml:space="preserve">generation fleet by summer </w:t>
      </w:r>
      <w:r>
        <w:t>2030</w:t>
      </w:r>
      <w:r w:rsidR="00C25BE8">
        <w:t>, and possibly more based on participation in the upcoming capacity auctions</w:t>
      </w:r>
      <w:r w:rsidRPr="001B747C">
        <w:t xml:space="preserve">. </w:t>
      </w:r>
      <w:r w:rsidR="007A2833">
        <w:t xml:space="preserve">Renewables that </w:t>
      </w:r>
      <w:r w:rsidR="00877C97">
        <w:t>do not</w:t>
      </w:r>
      <w:r w:rsidR="007A2833">
        <w:t xml:space="preserve"> clear in the FCM may still be built and participate in the energy market to serve load or act as a reduction of demand. </w:t>
      </w:r>
      <w:r>
        <w:t xml:space="preserve">Even though there </w:t>
      </w:r>
      <w:r w:rsidR="00BE656A">
        <w:t xml:space="preserve">have been </w:t>
      </w:r>
      <w:r>
        <w:t xml:space="preserve">no significant retirement requests since </w:t>
      </w:r>
      <w:r w:rsidR="00EC2AC4">
        <w:t>the 2019 Regional System Plan (</w:t>
      </w:r>
      <w:r>
        <w:t>RSP19</w:t>
      </w:r>
      <w:r w:rsidR="00EC2AC4">
        <w:t>)</w:t>
      </w:r>
      <w:r>
        <w:t>, the r</w:t>
      </w:r>
      <w:r w:rsidRPr="001B747C">
        <w:t xml:space="preserve">etirement of coal and oil generators </w:t>
      </w:r>
      <w:r w:rsidR="00BE656A">
        <w:t>is</w:t>
      </w:r>
      <w:r w:rsidR="00BE656A" w:rsidRPr="001B747C">
        <w:t xml:space="preserve"> </w:t>
      </w:r>
      <w:r w:rsidRPr="001B747C">
        <w:t>expected</w:t>
      </w:r>
      <w:r w:rsidR="00E84F5C">
        <w:t xml:space="preserve"> to continue</w:t>
      </w:r>
      <w:r w:rsidRPr="001B747C">
        <w:t xml:space="preserve"> over the next 10 years</w:t>
      </w:r>
      <w:r w:rsidR="00BE656A">
        <w:t>, consistent with</w:t>
      </w:r>
      <w:r w:rsidRPr="001B747C">
        <w:t xml:space="preserve"> pending environmental regulations. Although renewable resources are anticipated to grow over the long term, the ISO expects </w:t>
      </w:r>
      <w:r w:rsidR="00EE18F6">
        <w:t>natural gas</w:t>
      </w:r>
      <w:r w:rsidRPr="001B747C">
        <w:t xml:space="preserve"> resources to continue to set the marginal price for wholesale electricity in most hours over the planning horizon.</w:t>
      </w:r>
    </w:p>
    <w:p w:rsidR="00D239A0" w:rsidRDefault="0053098D" w:rsidP="00D239A0">
      <w:pPr>
        <w:pStyle w:val="CommentText"/>
      </w:pPr>
      <w:r>
        <w:t>Energy adequacy, especially during periods of extreme weather events, remains a top concern when considering reliability of the New England system over the planning horizon.</w:t>
      </w:r>
      <w:r w:rsidR="00D239A0" w:rsidRPr="00D239A0">
        <w:t xml:space="preserve"> </w:t>
      </w:r>
      <w:r w:rsidR="00D239A0">
        <w:t>Other parts of the United States have experienced extreme weather events.</w:t>
      </w:r>
      <w:r w:rsidR="00D239A0">
        <w:rPr>
          <w:rStyle w:val="FootnoteReference"/>
        </w:rPr>
        <w:footnoteReference w:id="9"/>
      </w:r>
      <w:r w:rsidR="00D239A0">
        <w:t xml:space="preserve"> For example, in late February 2021, an unusually strong blast of wintry weather in the </w:t>
      </w:r>
      <w:r w:rsidR="009D0B1D">
        <w:t xml:space="preserve">central </w:t>
      </w:r>
      <w:r w:rsidR="00D239A0">
        <w:t xml:space="preserve">United States resulted in strains on the power grid. The </w:t>
      </w:r>
      <w:hyperlink r:id="rId37" w:history="1">
        <w:r w:rsidR="00D239A0" w:rsidRPr="00D476EE">
          <w:rPr>
            <w:rStyle w:val="Hyperlink"/>
          </w:rPr>
          <w:t>polar vortex</w:t>
        </w:r>
      </w:hyperlink>
      <w:r w:rsidR="00D239A0">
        <w:t xml:space="preserve"> played a role in this extreme winter weather event. Temperatures were well below normal throughout the United States and according to NOAA, “</w:t>
      </w:r>
      <w:r w:rsidR="00D239A0" w:rsidRPr="00144F60">
        <w:t xml:space="preserve">the contiguous United States had its coldest February in more than 30 years.” </w:t>
      </w:r>
    </w:p>
    <w:p w:rsidR="003F5210" w:rsidRDefault="00D239A0" w:rsidP="003F5210">
      <w:pPr>
        <w:pStyle w:val="Caption"/>
        <w:keepNext/>
      </w:pPr>
      <w:r w:rsidRPr="00144F60">
        <w:rPr>
          <w:noProof/>
        </w:rPr>
        <w:drawing>
          <wp:inline distT="0" distB="0" distL="0" distR="0" wp14:anchorId="6C10C3C8" wp14:editId="5A33C01F">
            <wp:extent cx="5943600" cy="244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46020"/>
                    </a:xfrm>
                    <a:prstGeom prst="rect">
                      <a:avLst/>
                    </a:prstGeom>
                  </pic:spPr>
                </pic:pic>
              </a:graphicData>
            </a:graphic>
          </wp:inline>
        </w:drawing>
      </w:r>
    </w:p>
    <w:p w:rsidR="003F5210" w:rsidRPr="003F5210" w:rsidRDefault="003F5210" w:rsidP="003F5210">
      <w:pPr>
        <w:pStyle w:val="Caption"/>
        <w:jc w:val="left"/>
        <w:rPr>
          <w:szCs w:val="20"/>
        </w:rPr>
      </w:pPr>
      <w:bookmarkStart w:id="43" w:name="_Toc81544605"/>
      <w:r>
        <w:t xml:space="preserve">Figure </w:t>
      </w:r>
      <w:fldSimple w:instr=" STYLEREF 1 \s ">
        <w:r w:rsidR="00F85E49">
          <w:rPr>
            <w:noProof/>
          </w:rPr>
          <w:t>1</w:t>
        </w:r>
      </w:fldSimple>
      <w:r w:rsidR="00F85E49">
        <w:noBreakHyphen/>
      </w:r>
      <w:fldSimple w:instr=" SEQ Figure \* ARABIC \s 1 ">
        <w:r w:rsidR="00F85E49">
          <w:rPr>
            <w:noProof/>
          </w:rPr>
          <w:t>1</w:t>
        </w:r>
      </w:fldSimple>
      <w:r w:rsidRPr="003F5210">
        <w:rPr>
          <w:szCs w:val="20"/>
        </w:rPr>
        <w:t xml:space="preserve">: United States </w:t>
      </w:r>
      <w:r>
        <w:rPr>
          <w:szCs w:val="20"/>
        </w:rPr>
        <w:t>t</w:t>
      </w:r>
      <w:r w:rsidRPr="003F5210">
        <w:rPr>
          <w:szCs w:val="20"/>
        </w:rPr>
        <w:t xml:space="preserve">emperature </w:t>
      </w:r>
      <w:r>
        <w:rPr>
          <w:szCs w:val="20"/>
        </w:rPr>
        <w:t>c</w:t>
      </w:r>
      <w:r w:rsidRPr="003F5210">
        <w:rPr>
          <w:szCs w:val="20"/>
        </w:rPr>
        <w:t xml:space="preserve">omparisons – </w:t>
      </w:r>
      <w:r>
        <w:rPr>
          <w:szCs w:val="20"/>
        </w:rPr>
        <w:t>w</w:t>
      </w:r>
      <w:r w:rsidRPr="003F5210">
        <w:rPr>
          <w:szCs w:val="20"/>
        </w:rPr>
        <w:t xml:space="preserve">inter 2020-2021 to 1981-2010 </w:t>
      </w:r>
      <w:r>
        <w:rPr>
          <w:szCs w:val="20"/>
        </w:rPr>
        <w:t>a</w:t>
      </w:r>
      <w:r w:rsidRPr="003F5210">
        <w:rPr>
          <w:szCs w:val="20"/>
        </w:rPr>
        <w:t>verages</w:t>
      </w:r>
      <w:bookmarkEnd w:id="43"/>
    </w:p>
    <w:p w:rsidR="00D239A0" w:rsidRPr="003F5210" w:rsidRDefault="00D239A0" w:rsidP="003F5210">
      <w:pPr>
        <w:pStyle w:val="Caption"/>
        <w:jc w:val="left"/>
        <w:rPr>
          <w:b w:val="0"/>
          <w:sz w:val="16"/>
          <w:szCs w:val="16"/>
        </w:rPr>
      </w:pPr>
      <w:r w:rsidRPr="003F5210">
        <w:rPr>
          <w:b w:val="0"/>
          <w:sz w:val="16"/>
          <w:szCs w:val="16"/>
        </w:rPr>
        <w:t xml:space="preserve">Source:  NOAA, </w:t>
      </w:r>
      <w:hyperlink r:id="rId39" w:history="1">
        <w:r w:rsidRPr="003F5210">
          <w:rPr>
            <w:rStyle w:val="Hyperlink"/>
            <w:b w:val="0"/>
            <w:sz w:val="16"/>
            <w:szCs w:val="16"/>
          </w:rPr>
          <w:t>https://www.climate.gov/news-features/understanding-climate/us-has-cold-february-warm-winter</w:t>
        </w:r>
      </w:hyperlink>
      <w:r w:rsidRPr="003F5210">
        <w:rPr>
          <w:b w:val="0"/>
          <w:sz w:val="16"/>
          <w:szCs w:val="16"/>
        </w:rPr>
        <w:t xml:space="preserve"> </w:t>
      </w:r>
    </w:p>
    <w:p w:rsidR="0053098D" w:rsidRPr="002B3ED0" w:rsidRDefault="00D239A0" w:rsidP="00D239A0">
      <w:r>
        <w:t xml:space="preserve">Significant co-dependencies exist between the electric system and </w:t>
      </w:r>
      <w:r w:rsidR="003F7A78">
        <w:t xml:space="preserve">natural </w:t>
      </w:r>
      <w:r>
        <w:t xml:space="preserve">gas distribution system. </w:t>
      </w:r>
      <w:r w:rsidRPr="001B747C">
        <w:t xml:space="preserve">For well over a decade, the ISO has worked closely with the natural gas industry to improve coordination between </w:t>
      </w:r>
      <w:r w:rsidR="003F7A78">
        <w:t xml:space="preserve">natural </w:t>
      </w:r>
      <w:r w:rsidRPr="001B747C">
        <w:t xml:space="preserve">gas and electricity sector operations and communications. </w:t>
      </w:r>
      <w:r>
        <w:t xml:space="preserve">The ISO relies on </w:t>
      </w:r>
      <w:r w:rsidRPr="001B747C">
        <w:t xml:space="preserve">situational awareness through surveys of generating </w:t>
      </w:r>
      <w:r>
        <w:t>resources</w:t>
      </w:r>
      <w:r w:rsidRPr="001B747C">
        <w:t xml:space="preserve"> that inform system operations of fuel restrictions and environmental constraints that could limit energy production.</w:t>
      </w:r>
      <w:r>
        <w:t xml:space="preserve"> </w:t>
      </w:r>
      <w:r w:rsidR="00EE18F6">
        <w:t>Natural gas</w:t>
      </w:r>
      <w:r w:rsidRPr="00831D87">
        <w:t>-based generation</w:t>
      </w:r>
      <w:r w:rsidRPr="006C4254">
        <w:t xml:space="preserve"> technologies rely on the “j</w:t>
      </w:r>
      <w:r>
        <w:t xml:space="preserve">ust-in-time” delivery of their fuel. This may be problematic, </w:t>
      </w:r>
      <w:r w:rsidR="006D1464" w:rsidRPr="006D1464">
        <w:t xml:space="preserve">based on the industry’s reliance </w:t>
      </w:r>
      <w:r w:rsidR="006D1464">
        <w:t xml:space="preserve">on </w:t>
      </w:r>
      <w:r w:rsidR="006D1464" w:rsidRPr="006D1464">
        <w:t>non-firm gas arrangement</w:t>
      </w:r>
      <w:r w:rsidR="006D1464">
        <w:t>s,</w:t>
      </w:r>
      <w:r w:rsidR="006D1464" w:rsidRPr="006D1464">
        <w:t xml:space="preserve"> </w:t>
      </w:r>
      <w:r>
        <w:t xml:space="preserve">during times of extreme weather events or extended durations of unexpected weather. </w:t>
      </w:r>
      <w:r w:rsidRPr="00722161">
        <w:t>To address this</w:t>
      </w:r>
      <w:r>
        <w:t xml:space="preserve"> concern</w:t>
      </w:r>
      <w:r w:rsidRPr="00722161">
        <w:t>, the ISO and its stakeholders</w:t>
      </w:r>
      <w:r>
        <w:t xml:space="preserve"> have been discussing ways to improve energy security through the wholesale markets.</w:t>
      </w:r>
      <w:r>
        <w:rPr>
          <w:rStyle w:val="FootnoteReference"/>
        </w:rPr>
        <w:footnoteReference w:id="10"/>
      </w:r>
      <w:r>
        <w:t xml:space="preserve"> This may not be </w:t>
      </w:r>
      <w:r w:rsidR="006F4148">
        <w:t xml:space="preserve">sufficient </w:t>
      </w:r>
      <w:r>
        <w:t>given</w:t>
      </w:r>
      <w:r w:rsidRPr="009B7821">
        <w:t xml:space="preserve"> the potential </w:t>
      </w:r>
      <w:r>
        <w:t>to</w:t>
      </w:r>
      <w:r w:rsidRPr="009B7821">
        <w:t xml:space="preserve"> simultaneously experienc</w:t>
      </w:r>
      <w:r>
        <w:t>e</w:t>
      </w:r>
      <w:r w:rsidRPr="009B7821">
        <w:t xml:space="preserve"> high demand on the power system during an extreme cold weather event and </w:t>
      </w:r>
      <w:r w:rsidR="00976DB9">
        <w:t>low</w:t>
      </w:r>
      <w:r w:rsidRPr="009B7821">
        <w:t xml:space="preserve"> </w:t>
      </w:r>
      <w:r>
        <w:t xml:space="preserve">energy </w:t>
      </w:r>
      <w:r w:rsidRPr="009B7821">
        <w:t>production from both gas-fired and renewable resources</w:t>
      </w:r>
      <w:r>
        <w:t xml:space="preserve">.  </w:t>
      </w:r>
      <w:r w:rsidRPr="009B7821">
        <w:t xml:space="preserve">While </w:t>
      </w:r>
      <w:r>
        <w:t>tail-</w:t>
      </w:r>
      <w:r w:rsidRPr="009B7821">
        <w:t>risk events</w:t>
      </w:r>
      <w:r>
        <w:rPr>
          <w:rStyle w:val="FootnoteReference"/>
        </w:rPr>
        <w:footnoteReference w:id="11"/>
      </w:r>
      <w:r w:rsidRPr="009B7821">
        <w:t xml:space="preserve"> may be infrequent, their operational impacts </w:t>
      </w:r>
      <w:r>
        <w:t xml:space="preserve">are significant and </w:t>
      </w:r>
      <w:r w:rsidRPr="009B7821">
        <w:t>must be adequately assessed and understood</w:t>
      </w:r>
      <w:r>
        <w:t xml:space="preserve">. </w:t>
      </w:r>
      <w:r w:rsidRPr="009B7821">
        <w:t xml:space="preserve">Accordingly, </w:t>
      </w:r>
      <w:r>
        <w:t>the ISO</w:t>
      </w:r>
      <w:r w:rsidRPr="009B7821">
        <w:t xml:space="preserve"> will be initiating a </w:t>
      </w:r>
      <w:r w:rsidRPr="002B3ED0">
        <w:t xml:space="preserve">regional study in late 2021. The study process will focus initially on understanding the modeling approaches </w:t>
      </w:r>
      <w:r w:rsidR="00976DB9" w:rsidRPr="002B3ED0">
        <w:t xml:space="preserve">needed </w:t>
      </w:r>
      <w:r w:rsidRPr="002B3ED0">
        <w:t xml:space="preserve">to </w:t>
      </w:r>
      <w:r w:rsidR="00940083" w:rsidRPr="002B3ED0">
        <w:t>quantify</w:t>
      </w:r>
      <w:r w:rsidRPr="002B3ED0">
        <w:t xml:space="preserve"> such extreme risks and subsequently </w:t>
      </w:r>
      <w:r w:rsidR="00976DB9" w:rsidRPr="002B3ED0">
        <w:t>identify</w:t>
      </w:r>
      <w:r w:rsidRPr="002B3ED0">
        <w:t xml:space="preserve"> </w:t>
      </w:r>
      <w:r w:rsidR="00A42197" w:rsidRPr="002B3ED0">
        <w:t xml:space="preserve">whether </w:t>
      </w:r>
      <w:r w:rsidR="00872E4A" w:rsidRPr="002B3ED0">
        <w:t>additional safeguards</w:t>
      </w:r>
      <w:r w:rsidR="00A42197" w:rsidRPr="002B3ED0">
        <w:t xml:space="preserve"> are required and</w:t>
      </w:r>
      <w:r w:rsidR="004253D4" w:rsidRPr="002B3ED0">
        <w:t>,</w:t>
      </w:r>
      <w:r w:rsidR="00A42197" w:rsidRPr="002B3ED0">
        <w:t xml:space="preserve"> if so, what approach would most efficiently </w:t>
      </w:r>
      <w:r w:rsidRPr="002B3ED0">
        <w:t xml:space="preserve">protect against these risks.  </w:t>
      </w:r>
      <w:r w:rsidR="00C1276A" w:rsidRPr="002B3ED0">
        <w:t xml:space="preserve">  </w:t>
      </w:r>
    </w:p>
    <w:p w:rsidR="00E36CF5" w:rsidRPr="001B747C" w:rsidRDefault="00E36CF5" w:rsidP="00FA04B6">
      <w:pPr>
        <w:pStyle w:val="Heading4"/>
      </w:pPr>
      <w:r>
        <w:t xml:space="preserve">New Resource </w:t>
      </w:r>
      <w:r w:rsidR="002D52E6">
        <w:t>Development</w:t>
      </w:r>
    </w:p>
    <w:p w:rsidR="00EA2620" w:rsidRDefault="006D0888" w:rsidP="00776BA4">
      <w:pPr>
        <w:tabs>
          <w:tab w:val="left" w:pos="810"/>
        </w:tabs>
      </w:pPr>
      <w:r w:rsidRPr="002B3ED0">
        <w:t xml:space="preserve">Most new generating resources added to the New England power system over the next decade are driven by state policy mandates and subsidies targeting decarbonization. </w:t>
      </w:r>
      <w:r w:rsidR="00C113E8" w:rsidRPr="002B3ED0">
        <w:t xml:space="preserve">As of June 1, 2021, the ISO’s Interconnection </w:t>
      </w:r>
      <w:r w:rsidR="00C113E8" w:rsidRPr="00176E03">
        <w:t xml:space="preserve">Request Queue (the queue) reflected </w:t>
      </w:r>
      <w:r w:rsidR="00C113E8">
        <w:t>31,047</w:t>
      </w:r>
      <w:r w:rsidR="00C113E8" w:rsidRPr="00176E03">
        <w:t xml:space="preserve"> </w:t>
      </w:r>
      <w:r w:rsidR="00C113E8">
        <w:t>megawatts (</w:t>
      </w:r>
      <w:r w:rsidR="00C113E8" w:rsidRPr="00176E03">
        <w:t>MW</w:t>
      </w:r>
      <w:r w:rsidR="00C113E8">
        <w:t>)</w:t>
      </w:r>
      <w:r w:rsidR="00C113E8" w:rsidRPr="00176E03">
        <w:t xml:space="preserve"> of </w:t>
      </w:r>
      <w:r w:rsidR="00C113E8">
        <w:t>proposed projects, mostly renewables</w:t>
      </w:r>
      <w:r w:rsidR="00C113E8" w:rsidRPr="00176E03">
        <w:t>.</w:t>
      </w:r>
      <w:r w:rsidR="00C113E8" w:rsidRPr="00176E03">
        <w:rPr>
          <w:vertAlign w:val="superscript"/>
        </w:rPr>
        <w:footnoteReference w:id="12"/>
      </w:r>
      <w:r w:rsidR="00C113E8" w:rsidRPr="00176E03">
        <w:t xml:space="preserve"> This</w:t>
      </w:r>
      <w:r w:rsidR="00C113E8" w:rsidRPr="00D10561">
        <w:t xml:space="preserve"> includes</w:t>
      </w:r>
      <w:r w:rsidR="00C113E8">
        <w:t xml:space="preserve"> an additional</w:t>
      </w:r>
      <w:r w:rsidR="00C113E8" w:rsidRPr="00D10561">
        <w:t xml:space="preserve"> </w:t>
      </w:r>
      <w:r w:rsidR="00C113E8">
        <w:t>19,705</w:t>
      </w:r>
      <w:r w:rsidR="00C113E8" w:rsidRPr="00D10561">
        <w:t> MW of wind resources</w:t>
      </w:r>
      <w:r w:rsidR="00C113E8">
        <w:t>,</w:t>
      </w:r>
      <w:r w:rsidR="00C113E8" w:rsidRPr="00D10561">
        <w:t xml:space="preserve"> </w:t>
      </w:r>
      <w:r w:rsidR="00C113E8">
        <w:t>4,871</w:t>
      </w:r>
      <w:r w:rsidR="00C113E8" w:rsidRPr="00D10561">
        <w:t xml:space="preserve"> MW of large-scale </w:t>
      </w:r>
      <w:r w:rsidR="00C113E8">
        <w:t>photovoltaics (</w:t>
      </w:r>
      <w:r w:rsidR="00C113E8" w:rsidRPr="00D10561">
        <w:t>PV</w:t>
      </w:r>
      <w:r w:rsidR="00C113E8">
        <w:t xml:space="preserve">), and 5,349 MW of battery storage </w:t>
      </w:r>
      <w:r w:rsidR="00EA2620">
        <w:t>to be interconnected to the New England power system</w:t>
      </w:r>
      <w:r w:rsidR="00EA2620" w:rsidRPr="00D10561">
        <w:t xml:space="preserve">. </w:t>
      </w:r>
      <w:r w:rsidR="00EA2620">
        <w:t>O</w:t>
      </w:r>
      <w:r w:rsidR="00EA2620" w:rsidRPr="00D10561">
        <w:t>ffshore</w:t>
      </w:r>
      <w:r w:rsidR="00EA2620">
        <w:t xml:space="preserve"> wind</w:t>
      </w:r>
      <w:r w:rsidR="00EA2620" w:rsidRPr="00D10561">
        <w:t xml:space="preserve"> resources are being proposed off the southeastern New England coast, </w:t>
      </w:r>
      <w:r w:rsidR="00B4046A">
        <w:t>with</w:t>
      </w:r>
      <w:r w:rsidR="00EA2620" w:rsidRPr="00D10561">
        <w:t xml:space="preserve"> proposed onshore </w:t>
      </w:r>
      <w:r w:rsidR="00EA2620" w:rsidRPr="00FA7507">
        <w:t>wind resources predominantly in northern New England.</w:t>
      </w:r>
    </w:p>
    <w:p w:rsidR="00264549" w:rsidRDefault="00124357" w:rsidP="00776BA4">
      <w:pPr>
        <w:tabs>
          <w:tab w:val="left" w:pos="810"/>
        </w:tabs>
      </w:pPr>
      <w:r>
        <w:t xml:space="preserve">The first </w:t>
      </w:r>
      <w:hyperlink r:id="rId40" w:history="1">
        <w:r w:rsidRPr="00D476EE">
          <w:rPr>
            <w:rStyle w:val="Hyperlink"/>
            <w:i/>
          </w:rPr>
          <w:t>Cape Cod Resource Integration Study</w:t>
        </w:r>
      </w:hyperlink>
      <w:r>
        <w:t xml:space="preserve"> has identified that an additional 1,200 MW of offshore wind can be interconnected on Cape</w:t>
      </w:r>
      <w:r w:rsidR="00E167A9">
        <w:t xml:space="preserve"> Cod</w:t>
      </w:r>
      <w:r>
        <w:t xml:space="preserve"> after the addition of the </w:t>
      </w:r>
      <w:r w:rsidRPr="00FF45B8">
        <w:rPr>
          <w:i/>
        </w:rPr>
        <w:t>Cluster Enabling Transmission Upgrade</w:t>
      </w:r>
      <w:r>
        <w:t xml:space="preserve"> (CETU)</w:t>
      </w:r>
      <w:r w:rsidR="00E167A9">
        <w:t>,</w:t>
      </w:r>
      <w:r>
        <w:t xml:space="preserve"> which would include a second 345</w:t>
      </w:r>
      <w:r w:rsidR="00DC23A1">
        <w:t xml:space="preserve"> kilovolt</w:t>
      </w:r>
      <w:r>
        <w:t xml:space="preserve"> </w:t>
      </w:r>
      <w:r w:rsidR="00DC23A1">
        <w:t>(</w:t>
      </w:r>
      <w:r>
        <w:t>kV</w:t>
      </w:r>
      <w:r w:rsidR="00DC23A1">
        <w:t>)</w:t>
      </w:r>
      <w:r>
        <w:t xml:space="preserve"> line connecting West Barnstable to Bourne using the right</w:t>
      </w:r>
      <w:r w:rsidR="00702183">
        <w:t>-</w:t>
      </w:r>
      <w:r>
        <w:t>of</w:t>
      </w:r>
      <w:r w:rsidR="00702183">
        <w:t>-</w:t>
      </w:r>
      <w:r>
        <w:t>way that travels through the Falmouth area.</w:t>
      </w:r>
      <w:r w:rsidR="00264549">
        <w:t xml:space="preserve"> </w:t>
      </w:r>
      <w:r w:rsidR="00514F2F">
        <w:t xml:space="preserve">In May </w:t>
      </w:r>
      <w:r>
        <w:t xml:space="preserve">2021, a second Cape Cod Resource Integration Study </w:t>
      </w:r>
      <w:r w:rsidR="009D0B1D">
        <w:t>was</w:t>
      </w:r>
      <w:r>
        <w:t xml:space="preserve"> initiated to identify enabling upgrades for additional offshore wind interconnections in the Cape Cod area.</w:t>
      </w:r>
    </w:p>
    <w:p w:rsidR="003A3DD9" w:rsidRDefault="00B12DC9" w:rsidP="00281F7F">
      <w:r>
        <w:t xml:space="preserve">Not all new resources are </w:t>
      </w:r>
      <w:r w:rsidR="00BC57A9">
        <w:t xml:space="preserve">connecting to the grid </w:t>
      </w:r>
      <w:r>
        <w:t>via the ISO</w:t>
      </w:r>
      <w:r w:rsidR="00E167A9">
        <w:t>-</w:t>
      </w:r>
      <w:r>
        <w:t xml:space="preserve">administered interconnection process defined in Schedules 22/23/25 of the </w:t>
      </w:r>
      <w:r w:rsidR="00BC57A9">
        <w:t>Open Access Transmission Tariff</w:t>
      </w:r>
      <w:r>
        <w:t xml:space="preserve">. Most recently, there has been an abundance of </w:t>
      </w:r>
      <w:r w:rsidR="00335652">
        <w:t>Distributed Energy Resources (</w:t>
      </w:r>
      <w:r w:rsidR="00702183">
        <w:t>DERs</w:t>
      </w:r>
      <w:r w:rsidR="00335652">
        <w:t>)</w:t>
      </w:r>
      <w:r>
        <w:t xml:space="preserve"> </w:t>
      </w:r>
      <w:r w:rsidR="008373D6">
        <w:t>interconnecting to the New England electric system</w:t>
      </w:r>
      <w:r>
        <w:t xml:space="preserve">. Many of these DERs are solar or a combination of solar and battery facilities. </w:t>
      </w:r>
      <w:r w:rsidR="009D1DB6" w:rsidRPr="009D1DB6">
        <w:t xml:space="preserve">FERC </w:t>
      </w:r>
      <w:hyperlink r:id="rId41" w:history="1">
        <w:r w:rsidR="009D1DB6" w:rsidRPr="00D476EE">
          <w:rPr>
            <w:rStyle w:val="Hyperlink"/>
          </w:rPr>
          <w:t>Order No. 2222</w:t>
        </w:r>
      </w:hyperlink>
      <w:r w:rsidR="009D1DB6" w:rsidRPr="009D1DB6">
        <w:t xml:space="preserve"> requires removing barriers </w:t>
      </w:r>
      <w:r w:rsidR="00BE656A">
        <w:t>to</w:t>
      </w:r>
      <w:r w:rsidR="009D1DB6" w:rsidRPr="009D1DB6">
        <w:t xml:space="preserve"> entry for </w:t>
      </w:r>
      <w:r w:rsidR="00D908DC">
        <w:t>DER</w:t>
      </w:r>
      <w:r w:rsidR="00AE28E3">
        <w:t xml:space="preserve"> </w:t>
      </w:r>
      <w:r w:rsidR="009D1DB6">
        <w:t>aggregations in the wholesale m</w:t>
      </w:r>
      <w:r w:rsidR="009D1DB6" w:rsidRPr="009D1DB6">
        <w:t>arkets.</w:t>
      </w:r>
      <w:r w:rsidR="009D1DB6">
        <w:rPr>
          <w:rStyle w:val="FootnoteReference"/>
        </w:rPr>
        <w:footnoteReference w:id="13"/>
      </w:r>
      <w:r w:rsidR="009D1DB6" w:rsidRPr="009D1DB6">
        <w:t xml:space="preserve"> </w:t>
      </w:r>
      <w:r w:rsidR="009D1DB6">
        <w:t>In addition to market enhancements, t</w:t>
      </w:r>
      <w:r w:rsidR="009D1DB6" w:rsidRPr="001B747C">
        <w:t xml:space="preserve">he ISO also has adopted a number of practices to ensure the reliable integration of new inverter-based resources, including the use of </w:t>
      </w:r>
      <w:r w:rsidR="009D1DB6">
        <w:t>advanced</w:t>
      </w:r>
      <w:r w:rsidR="009D1DB6" w:rsidRPr="001B747C">
        <w:t xml:space="preserve"> models that </w:t>
      </w:r>
      <w:r w:rsidR="006F4148">
        <w:t xml:space="preserve">better </w:t>
      </w:r>
      <w:r w:rsidR="009D1DB6" w:rsidRPr="001B747C">
        <w:t xml:space="preserve">capture device performance and the confirmation of appropriate </w:t>
      </w:r>
      <w:r w:rsidR="009D0B1D">
        <w:t>voltage and frequency</w:t>
      </w:r>
      <w:r w:rsidR="009D0B1D" w:rsidRPr="001B747C">
        <w:t xml:space="preserve"> </w:t>
      </w:r>
      <w:r w:rsidR="009D1DB6" w:rsidRPr="001B747C">
        <w:t>ride-through and response capabilities of wind generators, large-scale PV, and DER</w:t>
      </w:r>
      <w:r w:rsidR="009D1DB6">
        <w:t>s</w:t>
      </w:r>
      <w:r w:rsidR="009D1DB6" w:rsidRPr="001B747C">
        <w:t xml:space="preserve">. The ISO actively participates in developing industry standards, including </w:t>
      </w:r>
      <w:hyperlink r:id="rId42" w:history="1">
        <w:r w:rsidR="009D1DB6" w:rsidRPr="00D476EE">
          <w:rPr>
            <w:rStyle w:val="Hyperlink"/>
          </w:rPr>
          <w:t>IEEE 1547</w:t>
        </w:r>
      </w:hyperlink>
      <w:r w:rsidR="009D1DB6" w:rsidRPr="001B747C">
        <w:t>—</w:t>
      </w:r>
      <w:r w:rsidR="009D1DB6" w:rsidRPr="001B747C">
        <w:rPr>
          <w:i/>
        </w:rPr>
        <w:t>Standard for the Interconnection of Distributed Resources with Electric Power Systems</w:t>
      </w:r>
      <w:r w:rsidR="009D1DB6" w:rsidRPr="001B747C">
        <w:t xml:space="preserve">, which ensures that increased amounts of PV can be reliably and economically interconnected to the distribution system. </w:t>
      </w:r>
      <w:r w:rsidR="00CA10A2">
        <w:t>Looking to the future, t</w:t>
      </w:r>
      <w:r w:rsidR="00CA10A2" w:rsidRPr="00CA10A2">
        <w:t xml:space="preserve">he ISO has begun a multi-year project (2021-2023) </w:t>
      </w:r>
      <w:r w:rsidR="00CA10A2">
        <w:t>referred to as the “</w:t>
      </w:r>
      <w:r w:rsidR="00CA10A2" w:rsidRPr="00CA10A2">
        <w:t>Inverter-Based Resource Inte</w:t>
      </w:r>
      <w:r w:rsidR="00CA10A2">
        <w:t>gration and Modeling Assessment</w:t>
      </w:r>
      <w:r w:rsidR="004253D4">
        <w:t>.</w:t>
      </w:r>
      <w:r w:rsidR="00CA10A2">
        <w:t>” The purpose of this project is</w:t>
      </w:r>
      <w:r w:rsidR="00CA10A2" w:rsidRPr="00CA10A2">
        <w:t xml:space="preserve"> to </w:t>
      </w:r>
      <w:r w:rsidR="00CA10A2">
        <w:t>evaluate</w:t>
      </w:r>
      <w:r w:rsidR="00CA10A2" w:rsidRPr="00CA10A2">
        <w:t xml:space="preserve"> and adopt advanced, innovative analysis techniques that capture the unique performance characteristics of inverter-based resources (e.g., solar and wind) critical to studies beyond the 10-year horizon</w:t>
      </w:r>
      <w:r w:rsidR="00CA10A2">
        <w:t>. B</w:t>
      </w:r>
      <w:r w:rsidR="00CA10A2" w:rsidRPr="00CA10A2">
        <w:t>y the end of 2021, the ISO expects to deliver a report that evaluates options for and recommends deployment of Electromagnetic Transient power system software and analytical methods that will enable efficient and reliable integration and modeling of rapidly-evolving</w:t>
      </w:r>
      <w:r w:rsidR="00B562FD">
        <w:t>,</w:t>
      </w:r>
      <w:r w:rsidR="00CA10A2" w:rsidRPr="00CA10A2">
        <w:t xml:space="preserve"> inverter-based resources</w:t>
      </w:r>
      <w:r w:rsidR="00CA10A2">
        <w:t>.</w:t>
      </w:r>
    </w:p>
    <w:p w:rsidR="009D6A5B" w:rsidRDefault="003A3DD9" w:rsidP="00281F7F">
      <w:r>
        <w:t xml:space="preserve">The continued development of renewable resources, and </w:t>
      </w:r>
      <w:r w:rsidR="00DC3790">
        <w:t>DERs, will</w:t>
      </w:r>
      <w:r>
        <w:t xml:space="preserve"> ultimately require </w:t>
      </w:r>
      <w:r w:rsidR="00872E4A">
        <w:t xml:space="preserve">a potentially significant </w:t>
      </w:r>
      <w:r>
        <w:t>transmission buil</w:t>
      </w:r>
      <w:r w:rsidR="00687EBE">
        <w:t>d</w:t>
      </w:r>
      <w:r>
        <w:t xml:space="preserve">out to successfully interconnect these resources in a reliable manner. </w:t>
      </w:r>
      <w:r w:rsidRPr="009D6A5B">
        <w:t>The ISO is</w:t>
      </w:r>
      <w:r>
        <w:t xml:space="preserve"> currently</w:t>
      </w:r>
      <w:r w:rsidRPr="009D6A5B">
        <w:t xml:space="preserve"> leading or supporting a number of Transmission Planning study effort</w:t>
      </w:r>
      <w:r>
        <w:t>s to</w:t>
      </w:r>
      <w:r w:rsidRPr="009D6A5B">
        <w:t xml:space="preserve"> examine the continued evolution of the power system</w:t>
      </w:r>
      <w:r>
        <w:t>.</w:t>
      </w:r>
    </w:p>
    <w:p w:rsidR="003B7D3C" w:rsidRDefault="003B7D3C" w:rsidP="00FA04B6">
      <w:pPr>
        <w:pStyle w:val="Heading4"/>
      </w:pPr>
      <w:r>
        <w:t xml:space="preserve">Interregional Planning </w:t>
      </w:r>
    </w:p>
    <w:p w:rsidR="003B7D3C" w:rsidRDefault="00872E4A" w:rsidP="003B7D3C">
      <w:r>
        <w:t>Certain p</w:t>
      </w:r>
      <w:r w:rsidR="003B7D3C">
        <w:t xml:space="preserve">lanning activities </w:t>
      </w:r>
      <w:r w:rsidR="003B7D3C" w:rsidRPr="001B747C">
        <w:t>occur under</w:t>
      </w:r>
      <w:r>
        <w:t xml:space="preserve"> the direction of</w:t>
      </w:r>
      <w:r w:rsidR="003B7D3C" w:rsidRPr="001B747C">
        <w:t xml:space="preserve"> the </w:t>
      </w:r>
      <w:hyperlink r:id="rId43" w:history="1">
        <w:r w:rsidR="003B7D3C" w:rsidRPr="00D476EE">
          <w:rPr>
            <w:rStyle w:val="Hyperlink"/>
          </w:rPr>
          <w:t>Northeast Power Coordinating Council</w:t>
        </w:r>
      </w:hyperlink>
      <w:r w:rsidR="003B7D3C" w:rsidRPr="006C6420">
        <w:t xml:space="preserve"> (NPCC),</w:t>
      </w:r>
      <w:r w:rsidR="003B7D3C">
        <w:t xml:space="preserve"> </w:t>
      </w:r>
      <w:hyperlink r:id="rId44" w:history="1">
        <w:r w:rsidR="003B7D3C" w:rsidRPr="00D476EE">
          <w:rPr>
            <w:rStyle w:val="Hyperlink"/>
          </w:rPr>
          <w:t>North American Electric Reliability Corporation</w:t>
        </w:r>
      </w:hyperlink>
      <w:r w:rsidR="003B7D3C">
        <w:t xml:space="preserve"> (NERC), </w:t>
      </w:r>
      <w:r w:rsidR="003B7D3C" w:rsidRPr="001B747C">
        <w:t xml:space="preserve">and the </w:t>
      </w:r>
      <w:hyperlink r:id="rId45" w:history="1">
        <w:r w:rsidR="003B7D3C" w:rsidRPr="00D476EE">
          <w:rPr>
            <w:rStyle w:val="Hyperlink"/>
          </w:rPr>
          <w:t>Eastern Interconnection Planning Collaborative</w:t>
        </w:r>
      </w:hyperlink>
      <w:r w:rsidR="003B7D3C" w:rsidRPr="001B747C">
        <w:t xml:space="preserve"> (EIPC), which identify key issues and coordinate planning studies over wide areas. </w:t>
      </w:r>
      <w:r w:rsidR="003B7D3C">
        <w:t>I</w:t>
      </w:r>
      <w:r w:rsidR="003B7D3C" w:rsidRPr="001B747C">
        <w:t>nterregional studies</w:t>
      </w:r>
      <w:r w:rsidR="003B7D3C">
        <w:t xml:space="preserve"> provide an opportunity to learn from other regions and coordinate </w:t>
      </w:r>
      <w:r w:rsidR="00AA7AB0" w:rsidRPr="00AA7AB0">
        <w:t xml:space="preserve">broader assessments of </w:t>
      </w:r>
      <w:r w:rsidR="00AA7AB0">
        <w:t>complex</w:t>
      </w:r>
      <w:r w:rsidR="003B7D3C">
        <w:t xml:space="preserve"> reliability issues</w:t>
      </w:r>
      <w:r w:rsidR="003130F0">
        <w:t>,</w:t>
      </w:r>
      <w:r w:rsidR="003B7D3C">
        <w:t xml:space="preserve"> such as </w:t>
      </w:r>
      <w:r w:rsidR="003B7D3C" w:rsidRPr="001B747C">
        <w:t xml:space="preserve">dependency on </w:t>
      </w:r>
      <w:r w:rsidR="00EE18F6">
        <w:t>natural gas</w:t>
      </w:r>
      <w:r w:rsidR="003B7D3C" w:rsidRPr="001B747C">
        <w:t>-fired generation</w:t>
      </w:r>
      <w:r w:rsidR="003B7D3C">
        <w:t xml:space="preserve"> and high penetrations of renewable interconnections</w:t>
      </w:r>
      <w:r w:rsidR="003B7D3C" w:rsidRPr="001B747C">
        <w:t>.</w:t>
      </w:r>
    </w:p>
    <w:p w:rsidR="003B7D3C" w:rsidRPr="001B747C" w:rsidRDefault="003B7D3C" w:rsidP="003B7D3C">
      <w:r w:rsidRPr="001B747C">
        <w:t xml:space="preserve">Through the </w:t>
      </w:r>
      <w:hyperlink r:id="rId46" w:history="1">
        <w:r w:rsidRPr="00D476EE">
          <w:rPr>
            <w:rStyle w:val="Hyperlink"/>
            <w:i/>
          </w:rPr>
          <w:t>Northeastern ISO/RTO Planning Protocol</w:t>
        </w:r>
      </w:hyperlink>
      <w:r w:rsidRPr="001B747C">
        <w:t xml:space="preserve">, ISO New England coordinates interregional studies, including interconnection queue studies, and satisfies interregional planning requirements under </w:t>
      </w:r>
      <w:r w:rsidR="00A86C5C" w:rsidRPr="00744016">
        <w:t xml:space="preserve">FERC </w:t>
      </w:r>
      <w:hyperlink r:id="rId47" w:history="1">
        <w:r w:rsidR="00A86C5C" w:rsidRPr="00D476EE">
          <w:rPr>
            <w:rStyle w:val="Hyperlink"/>
          </w:rPr>
          <w:t>Order 1000</w:t>
        </w:r>
      </w:hyperlink>
      <w:r w:rsidRPr="001B747C">
        <w:t>.</w:t>
      </w:r>
      <w:r>
        <w:t xml:space="preserve"> </w:t>
      </w:r>
      <w:r w:rsidRPr="001B747C">
        <w:t>ISO New England, the New York ISO, and PJM</w:t>
      </w:r>
      <w:r w:rsidR="00910DB7">
        <w:t xml:space="preserve"> Interconnection</w:t>
      </w:r>
      <w:r w:rsidR="00081B7D">
        <w:rPr>
          <w:rStyle w:val="FootnoteReference"/>
        </w:rPr>
        <w:footnoteReference w:id="14"/>
      </w:r>
      <w:r w:rsidRPr="001B747C">
        <w:t xml:space="preserve"> present </w:t>
      </w:r>
      <w:r>
        <w:t xml:space="preserve">their regional </w:t>
      </w:r>
      <w:r w:rsidRPr="001B747C">
        <w:t xml:space="preserve">system needs to the </w:t>
      </w:r>
      <w:hyperlink r:id="rId48" w:history="1">
        <w:r w:rsidRPr="00D476EE">
          <w:rPr>
            <w:rStyle w:val="Hyperlink"/>
          </w:rPr>
          <w:t>Interregional Planning Stakeholder Advisory Committee</w:t>
        </w:r>
      </w:hyperlink>
      <w:r>
        <w:t xml:space="preserve"> (IPSAC).</w:t>
      </w:r>
      <w:r w:rsidRPr="001B747C">
        <w:t xml:space="preserve"> </w:t>
      </w:r>
      <w:r>
        <w:t>N</w:t>
      </w:r>
      <w:r w:rsidRPr="001B747C">
        <w:t xml:space="preserve">one of the entities or their stakeholders </w:t>
      </w:r>
      <w:r w:rsidR="00872E4A">
        <w:t xml:space="preserve">have </w:t>
      </w:r>
      <w:r w:rsidRPr="001B747C">
        <w:t xml:space="preserve">identified </w:t>
      </w:r>
      <w:r w:rsidRPr="00831D87">
        <w:t>new interregional transmission facilities that may be more efficient</w:t>
      </w:r>
      <w:r w:rsidRPr="001B747C">
        <w:t xml:space="preserve"> or </w:t>
      </w:r>
      <w:r w:rsidRPr="00831D87">
        <w:t>cost-effective solutions</w:t>
      </w:r>
      <w:r w:rsidRPr="001B747C">
        <w:t xml:space="preserve"> to these regional needs. </w:t>
      </w:r>
      <w:r w:rsidR="00576A31">
        <w:t xml:space="preserve">Nonetheless, </w:t>
      </w:r>
      <w:r w:rsidR="00872E4A">
        <w:t xml:space="preserve">evaluation of </w:t>
      </w:r>
      <w:r w:rsidR="00576A31" w:rsidRPr="00576A31">
        <w:t xml:space="preserve">offshore wind development activity that is taking place in the region </w:t>
      </w:r>
      <w:r w:rsidR="00576A31">
        <w:t>continues with</w:t>
      </w:r>
      <w:r w:rsidR="00576A31" w:rsidRPr="00576A31">
        <w:t xml:space="preserve"> IPSAC</w:t>
      </w:r>
      <w:r w:rsidR="00576A31">
        <w:t xml:space="preserve"> members</w:t>
      </w:r>
      <w:r w:rsidR="00576A31" w:rsidRPr="00576A31">
        <w:t>.</w:t>
      </w:r>
    </w:p>
    <w:p w:rsidR="00776BA4" w:rsidRPr="001B747C" w:rsidRDefault="00776BA4" w:rsidP="006B38CE">
      <w:pPr>
        <w:pStyle w:val="Heading3"/>
      </w:pPr>
      <w:bookmarkStart w:id="44" w:name="_Toc8727173"/>
      <w:bookmarkStart w:id="45" w:name="_Toc10116685"/>
      <w:bookmarkStart w:id="46" w:name="_Toc81544491"/>
      <w:r w:rsidRPr="001B747C">
        <w:t>Transmission System Needs, Solutions, and Cost Considerations (</w:t>
      </w:r>
      <w:hyperlink w:anchor="_Transmission_System_Performance" w:history="1">
        <w:r w:rsidR="000D65F1" w:rsidRPr="0011141F">
          <w:rPr>
            <w:u w:val="single"/>
          </w:rPr>
          <w:t>Chapter</w:t>
        </w:r>
        <w:r w:rsidR="00412A2C" w:rsidRPr="0011141F">
          <w:rPr>
            <w:u w:val="single"/>
          </w:rPr>
          <w:t> </w:t>
        </w:r>
        <w:r w:rsidR="000D65F1" w:rsidRPr="0011141F">
          <w:rPr>
            <w:u w:val="single"/>
          </w:rPr>
          <w:t>5</w:t>
        </w:r>
      </w:hyperlink>
      <w:r w:rsidRPr="001B747C">
        <w:t>)</w:t>
      </w:r>
      <w:bookmarkEnd w:id="44"/>
      <w:bookmarkEnd w:id="45"/>
      <w:bookmarkEnd w:id="46"/>
    </w:p>
    <w:p w:rsidR="00776BA4" w:rsidRPr="001B747C" w:rsidRDefault="00D35791" w:rsidP="00776BA4">
      <w:r>
        <w:t>T</w:t>
      </w:r>
      <w:r w:rsidR="00776BA4" w:rsidRPr="001B747C">
        <w:t>ransmission expansion in New England has</w:t>
      </w:r>
      <w:r>
        <w:t xml:space="preserve"> helped to</w:t>
      </w:r>
      <w:r w:rsidR="00776BA4" w:rsidRPr="001B747C">
        <w:t xml:space="preserve"> maintain high level</w:t>
      </w:r>
      <w:r>
        <w:t>s</w:t>
      </w:r>
      <w:r w:rsidR="00776BA4" w:rsidRPr="001B747C">
        <w:t xml:space="preserve"> of reliability and resiliency</w:t>
      </w:r>
      <w:r>
        <w:t>,</w:t>
      </w:r>
      <w:r w:rsidR="00776BA4" w:rsidRPr="001B747C">
        <w:t xml:space="preserve"> the dispatch of more efficient generating units, and lower wholesale market costs. </w:t>
      </w:r>
      <w:r w:rsidR="009D0B1D">
        <w:t xml:space="preserve">Transmission investments since 2002 have reduced congestion costs by </w:t>
      </w:r>
      <w:r w:rsidR="005D3E3D">
        <w:t xml:space="preserve">almost </w:t>
      </w:r>
      <w:r w:rsidR="009D0B1D">
        <w:t>an order of magnitude</w:t>
      </w:r>
      <w:r w:rsidR="005D3E3D">
        <w:t xml:space="preserve"> since </w:t>
      </w:r>
      <w:r w:rsidR="00872E4A">
        <w:t>th</w:t>
      </w:r>
      <w:r w:rsidR="00456657">
        <w:t>e</w:t>
      </w:r>
      <w:r w:rsidR="00872E4A">
        <w:t xml:space="preserve">ir </w:t>
      </w:r>
      <w:r w:rsidR="005D3E3D">
        <w:t>high in 2005</w:t>
      </w:r>
      <w:r w:rsidR="009D0B1D">
        <w:t xml:space="preserve">. </w:t>
      </w:r>
      <w:r w:rsidR="00776BA4" w:rsidRPr="001B747C">
        <w:t xml:space="preserve">The </w:t>
      </w:r>
      <w:r>
        <w:t>modest</w:t>
      </w:r>
      <w:r w:rsidRPr="001B747C">
        <w:t xml:space="preserve"> </w:t>
      </w:r>
      <w:r w:rsidR="00776BA4" w:rsidRPr="001B747C">
        <w:t>growth of net peak demand and changes to the assumptions</w:t>
      </w:r>
      <w:r w:rsidR="002451F2">
        <w:rPr>
          <w:rStyle w:val="FootnoteReference"/>
        </w:rPr>
        <w:footnoteReference w:id="15"/>
      </w:r>
      <w:r w:rsidR="002451F2" w:rsidRPr="001B747C">
        <w:t xml:space="preserve"> </w:t>
      </w:r>
      <w:r w:rsidR="00776BA4" w:rsidRPr="001B747C">
        <w:t>used in needs assessments ha</w:t>
      </w:r>
      <w:r w:rsidR="00A844B2">
        <w:t>ve</w:t>
      </w:r>
      <w:r w:rsidR="00776BA4" w:rsidRPr="001B747C">
        <w:t xml:space="preserve"> reduced the need for major reliability-</w:t>
      </w:r>
      <w:r>
        <w:t>driven</w:t>
      </w:r>
      <w:r w:rsidRPr="001B747C">
        <w:t xml:space="preserve"> </w:t>
      </w:r>
      <w:r w:rsidR="00776BA4" w:rsidRPr="001B747C">
        <w:t>transmission projects over the planning horizon. The development of</w:t>
      </w:r>
      <w:r w:rsidR="00837B42">
        <w:t xml:space="preserve"> </w:t>
      </w:r>
      <w:r w:rsidR="009D073E">
        <w:t>FCM</w:t>
      </w:r>
      <w:r w:rsidR="00776BA4" w:rsidRPr="001B747C">
        <w:t xml:space="preserve"> resources in </w:t>
      </w:r>
      <w:r w:rsidR="0038424A">
        <w:t>beneficial</w:t>
      </w:r>
      <w:r w:rsidR="0038424A" w:rsidRPr="001B747C">
        <w:t xml:space="preserve"> </w:t>
      </w:r>
      <w:r w:rsidR="00776BA4" w:rsidRPr="001B747C">
        <w:t>zones also has deferred the need for major new</w:t>
      </w:r>
      <w:r w:rsidR="00097BF3">
        <w:t xml:space="preserve"> transmission</w:t>
      </w:r>
      <w:r w:rsidR="00776BA4" w:rsidRPr="001B747C">
        <w:t xml:space="preserve"> projects. Drivers of needed transmission improvements include the following:</w:t>
      </w:r>
    </w:p>
    <w:p w:rsidR="00776BA4" w:rsidRPr="001B747C" w:rsidRDefault="00776BA4" w:rsidP="00496814">
      <w:pPr>
        <w:numPr>
          <w:ilvl w:val="0"/>
          <w:numId w:val="6"/>
        </w:numPr>
        <w:spacing w:after="120"/>
        <w:rPr>
          <w:rFonts w:eastAsia="Times New Roman"/>
          <w:szCs w:val="24"/>
        </w:rPr>
      </w:pPr>
      <w:r w:rsidRPr="001B747C">
        <w:rPr>
          <w:rFonts w:eastAsia="Times New Roman"/>
          <w:szCs w:val="24"/>
        </w:rPr>
        <w:t>Resource retirements</w:t>
      </w:r>
    </w:p>
    <w:p w:rsidR="00776BA4" w:rsidRPr="001B747C" w:rsidRDefault="00145EFD" w:rsidP="00496814">
      <w:pPr>
        <w:numPr>
          <w:ilvl w:val="0"/>
          <w:numId w:val="6"/>
        </w:numPr>
        <w:spacing w:after="120"/>
        <w:rPr>
          <w:rFonts w:eastAsia="Times New Roman"/>
          <w:szCs w:val="24"/>
        </w:rPr>
      </w:pPr>
      <w:r>
        <w:rPr>
          <w:rFonts w:eastAsia="Times New Roman"/>
          <w:szCs w:val="24"/>
        </w:rPr>
        <w:t>M</w:t>
      </w:r>
      <w:r>
        <w:t xml:space="preserve">inimum load conditions </w:t>
      </w:r>
      <w:r w:rsidR="00776BA4" w:rsidRPr="001B747C">
        <w:rPr>
          <w:rFonts w:eastAsia="Times New Roman"/>
          <w:szCs w:val="24"/>
        </w:rPr>
        <w:t xml:space="preserve"> </w:t>
      </w:r>
    </w:p>
    <w:p w:rsidR="00776BA4" w:rsidRPr="001B747C" w:rsidRDefault="00776BA4" w:rsidP="00496814">
      <w:pPr>
        <w:numPr>
          <w:ilvl w:val="0"/>
          <w:numId w:val="6"/>
        </w:numPr>
        <w:spacing w:after="120"/>
        <w:rPr>
          <w:rFonts w:eastAsia="Times New Roman"/>
          <w:szCs w:val="24"/>
        </w:rPr>
      </w:pPr>
      <w:r>
        <w:rPr>
          <w:rFonts w:eastAsia="Times New Roman"/>
          <w:szCs w:val="24"/>
        </w:rPr>
        <w:t>I</w:t>
      </w:r>
      <w:r w:rsidRPr="001B747C">
        <w:rPr>
          <w:rFonts w:eastAsia="Times New Roman"/>
          <w:szCs w:val="24"/>
        </w:rPr>
        <w:t xml:space="preserve">ntegration of inverter-based technologies </w:t>
      </w:r>
    </w:p>
    <w:p w:rsidR="00776BA4" w:rsidRPr="001B747C" w:rsidRDefault="00776BA4" w:rsidP="00496814">
      <w:pPr>
        <w:numPr>
          <w:ilvl w:val="0"/>
          <w:numId w:val="6"/>
        </w:numPr>
        <w:spacing w:after="120"/>
        <w:rPr>
          <w:rFonts w:eastAsia="Times New Roman"/>
          <w:szCs w:val="24"/>
        </w:rPr>
      </w:pPr>
      <w:r>
        <w:rPr>
          <w:rFonts w:eastAsia="Times New Roman"/>
          <w:szCs w:val="24"/>
        </w:rPr>
        <w:t>N</w:t>
      </w:r>
      <w:r w:rsidRPr="001B747C">
        <w:rPr>
          <w:rFonts w:eastAsia="Times New Roman"/>
          <w:szCs w:val="24"/>
        </w:rPr>
        <w:t>eed to upgrade aging infrastructure</w:t>
      </w:r>
    </w:p>
    <w:p w:rsidR="00776BA4" w:rsidRPr="001B747C" w:rsidRDefault="00776BA4" w:rsidP="00496814">
      <w:pPr>
        <w:numPr>
          <w:ilvl w:val="0"/>
          <w:numId w:val="6"/>
        </w:numPr>
        <w:rPr>
          <w:rFonts w:eastAsia="Times New Roman"/>
          <w:szCs w:val="24"/>
        </w:rPr>
      </w:pPr>
      <w:r w:rsidRPr="001B747C">
        <w:rPr>
          <w:rFonts w:eastAsia="Times New Roman"/>
          <w:szCs w:val="24"/>
        </w:rPr>
        <w:t xml:space="preserve">Compliance with evolving </w:t>
      </w:r>
      <w:r w:rsidR="002A3B5C">
        <w:rPr>
          <w:rFonts w:eastAsia="Times New Roman"/>
          <w:szCs w:val="24"/>
        </w:rPr>
        <w:t>NERC and NPCC</w:t>
      </w:r>
      <w:r w:rsidRPr="001B747C">
        <w:rPr>
          <w:rFonts w:eastAsia="Times New Roman"/>
          <w:szCs w:val="24"/>
        </w:rPr>
        <w:t xml:space="preserve"> requirements</w:t>
      </w:r>
    </w:p>
    <w:p w:rsidR="00776BA4" w:rsidRPr="001B747C" w:rsidRDefault="00776BA4" w:rsidP="00FA04B6">
      <w:pPr>
        <w:pStyle w:val="Heading4"/>
      </w:pPr>
      <w:r w:rsidRPr="001B747C">
        <w:t>Transmission Planning Process, Criteria, and</w:t>
      </w:r>
      <w:r w:rsidR="00412A2C">
        <w:t> </w:t>
      </w:r>
      <w:r w:rsidRPr="001B747C">
        <w:t>Assumptions</w:t>
      </w:r>
    </w:p>
    <w:p w:rsidR="00776BA4" w:rsidRPr="001B747C" w:rsidRDefault="00776BA4" w:rsidP="00776BA4">
      <w:pPr>
        <w:spacing w:after="0"/>
        <w:contextualSpacing/>
      </w:pPr>
      <w:r w:rsidRPr="001B747C">
        <w:t xml:space="preserve">The ISO’s regulatory requirements continue to </w:t>
      </w:r>
      <w:r w:rsidR="00BB2CE1">
        <w:t>evolve</w:t>
      </w:r>
      <w:r w:rsidRPr="001B747C">
        <w:t xml:space="preserve">, along with the associated processes, national and regional criteria, and assumptions used in long-term reliability assessments. </w:t>
      </w:r>
    </w:p>
    <w:p w:rsidR="00776BA4" w:rsidRPr="001B747C" w:rsidRDefault="00776BA4" w:rsidP="00776BA4">
      <w:pPr>
        <w:spacing w:after="0"/>
        <w:contextualSpacing/>
      </w:pPr>
    </w:p>
    <w:p w:rsidR="00776BA4" w:rsidRPr="001B747C" w:rsidRDefault="00827F46" w:rsidP="00776BA4">
      <w:r w:rsidRPr="00744016">
        <w:t xml:space="preserve">FERC </w:t>
      </w:r>
      <w:hyperlink r:id="rId49" w:history="1">
        <w:r w:rsidRPr="00D476EE">
          <w:rPr>
            <w:rStyle w:val="Hyperlink"/>
          </w:rPr>
          <w:t>Order 1000</w:t>
        </w:r>
      </w:hyperlink>
      <w:r w:rsidR="00776BA4" w:rsidRPr="00A86C5C">
        <w:t xml:space="preserve"> r</w:t>
      </w:r>
      <w:r w:rsidR="00776BA4" w:rsidRPr="001B747C">
        <w:t>equires the ISO to solicit competitive proposals for reliability project</w:t>
      </w:r>
      <w:r w:rsidR="00776BA4" w:rsidRPr="00307E4B">
        <w:t xml:space="preserve">s not needed within three years </w:t>
      </w:r>
      <w:r w:rsidR="00BB2CE1">
        <w:t>from the date a</w:t>
      </w:r>
      <w:r w:rsidR="00776BA4" w:rsidRPr="00307E4B">
        <w:t xml:space="preserve"> system need has been identified</w:t>
      </w:r>
      <w:r w:rsidR="00BB2CE1">
        <w:t>,</w:t>
      </w:r>
      <w:r w:rsidR="00BB2CE1" w:rsidRPr="00307E4B">
        <w:t xml:space="preserve"> </w:t>
      </w:r>
      <w:r w:rsidR="00776BA4" w:rsidRPr="00307E4B">
        <w:t>for market-efficiency projects</w:t>
      </w:r>
      <w:r w:rsidR="00BB2CE1">
        <w:t>,</w:t>
      </w:r>
      <w:r w:rsidR="00BB2CE1" w:rsidRPr="00307E4B">
        <w:t xml:space="preserve"> </w:t>
      </w:r>
      <w:r w:rsidR="00776BA4" w:rsidRPr="00307E4B">
        <w:t>or if fed</w:t>
      </w:r>
      <w:r w:rsidR="00776BA4" w:rsidRPr="001B747C">
        <w:t xml:space="preserve">eral, state, </w:t>
      </w:r>
      <w:r w:rsidR="000C0499">
        <w:t>or</w:t>
      </w:r>
      <w:r w:rsidR="000C0499" w:rsidRPr="001B747C">
        <w:t xml:space="preserve"> </w:t>
      </w:r>
      <w:r w:rsidR="00776BA4" w:rsidRPr="001B747C">
        <w:t xml:space="preserve">local public policies drive transmission needs. </w:t>
      </w:r>
      <w:r w:rsidR="00E96794" w:rsidRPr="00CE3FC4">
        <w:t xml:space="preserve">The ISO issued its first </w:t>
      </w:r>
      <w:r w:rsidR="002A3B5C">
        <w:t>request-for-proposal (</w:t>
      </w:r>
      <w:r w:rsidR="00E96794" w:rsidRPr="00CE3FC4">
        <w:t>RFP</w:t>
      </w:r>
      <w:r w:rsidR="002A3B5C">
        <w:t>)</w:t>
      </w:r>
      <w:r w:rsidR="00E96794" w:rsidRPr="00CE3FC4">
        <w:t xml:space="preserve"> to solicit competitive </w:t>
      </w:r>
      <w:r w:rsidR="00A0333C">
        <w:t>proposals</w:t>
      </w:r>
      <w:r w:rsidR="00E96794" w:rsidRPr="00CE3FC4">
        <w:t xml:space="preserve"> from </w:t>
      </w:r>
      <w:hyperlink r:id="rId50" w:history="1">
        <w:r w:rsidR="00E96794" w:rsidRPr="00D476EE">
          <w:rPr>
            <w:rStyle w:val="Hyperlink"/>
          </w:rPr>
          <w:t>qualified transmission project sponsors</w:t>
        </w:r>
      </w:hyperlink>
      <w:r w:rsidR="00E96794" w:rsidRPr="00CE3FC4">
        <w:t xml:space="preserve"> to solve needs</w:t>
      </w:r>
      <w:r w:rsidR="00E96794">
        <w:t xml:space="preserve"> observed in the Boston area due to the upcoming retirement of the Mystic generating units</w:t>
      </w:r>
      <w:r w:rsidR="00E96794" w:rsidRPr="00CE3FC4">
        <w:t xml:space="preserve">. </w:t>
      </w:r>
      <w:r w:rsidR="00E96794" w:rsidRPr="00831D87">
        <w:t xml:space="preserve">From the </w:t>
      </w:r>
      <w:r w:rsidR="00E96794" w:rsidRPr="00FF45B8">
        <w:rPr>
          <w:i/>
        </w:rPr>
        <w:t>Boston 2028 RFP</w:t>
      </w:r>
      <w:r w:rsidR="00E96794" w:rsidRPr="00831D87">
        <w:t xml:space="preserve"> and subsequent </w:t>
      </w:r>
      <w:r w:rsidR="00E96794" w:rsidRPr="00FF45B8">
        <w:rPr>
          <w:i/>
        </w:rPr>
        <w:t xml:space="preserve">Boston 2028 </w:t>
      </w:r>
      <w:r w:rsidR="0028497B" w:rsidRPr="00FF45B8">
        <w:rPr>
          <w:i/>
        </w:rPr>
        <w:t>S</w:t>
      </w:r>
      <w:r w:rsidR="00E96794" w:rsidRPr="00FF45B8">
        <w:rPr>
          <w:i/>
        </w:rPr>
        <w:t xml:space="preserve">olutions </w:t>
      </w:r>
      <w:r w:rsidR="0028497B" w:rsidRPr="00FF45B8">
        <w:rPr>
          <w:i/>
        </w:rPr>
        <w:t>S</w:t>
      </w:r>
      <w:r w:rsidR="00E96794" w:rsidRPr="00FF45B8">
        <w:rPr>
          <w:i/>
        </w:rPr>
        <w:t>tudy</w:t>
      </w:r>
      <w:r w:rsidR="00E96794" w:rsidRPr="00831D87">
        <w:t xml:space="preserve"> – </w:t>
      </w:r>
      <w:r w:rsidR="00E96794" w:rsidRPr="00FF45B8">
        <w:rPr>
          <w:i/>
        </w:rPr>
        <w:t xml:space="preserve">Mystic </w:t>
      </w:r>
      <w:r w:rsidR="00A0333C" w:rsidRPr="00FF45B8">
        <w:rPr>
          <w:i/>
        </w:rPr>
        <w:t>R</w:t>
      </w:r>
      <w:r w:rsidR="00E96794" w:rsidRPr="00FF45B8">
        <w:rPr>
          <w:i/>
        </w:rPr>
        <w:t>etirement</w:t>
      </w:r>
      <w:r w:rsidR="00E96794" w:rsidRPr="00831D87">
        <w:t>, the preferred solution</w:t>
      </w:r>
      <w:r w:rsidR="00BB2CE1" w:rsidRPr="00831D87">
        <w:t>,</w:t>
      </w:r>
      <w:r w:rsidR="00E96794" w:rsidRPr="00831D87">
        <w:t xml:space="preserve"> the </w:t>
      </w:r>
      <w:r w:rsidRPr="00FF45B8">
        <w:rPr>
          <w:i/>
        </w:rPr>
        <w:t>Boston</w:t>
      </w:r>
      <w:r w:rsidR="00E96794" w:rsidRPr="00FF45B8">
        <w:rPr>
          <w:i/>
        </w:rPr>
        <w:t xml:space="preserve"> </w:t>
      </w:r>
      <w:r w:rsidR="0028497B" w:rsidRPr="00FF45B8">
        <w:rPr>
          <w:i/>
        </w:rPr>
        <w:t>A</w:t>
      </w:r>
      <w:r w:rsidR="00E96794" w:rsidRPr="00FF45B8">
        <w:rPr>
          <w:i/>
        </w:rPr>
        <w:t xml:space="preserve">rea </w:t>
      </w:r>
      <w:r w:rsidR="0028497B" w:rsidRPr="00FF45B8">
        <w:rPr>
          <w:i/>
        </w:rPr>
        <w:t>O</w:t>
      </w:r>
      <w:r w:rsidR="00E96794" w:rsidRPr="00FF45B8">
        <w:rPr>
          <w:i/>
        </w:rPr>
        <w:t xml:space="preserve">ptimized </w:t>
      </w:r>
      <w:r w:rsidR="0028497B" w:rsidRPr="00FF45B8">
        <w:rPr>
          <w:i/>
        </w:rPr>
        <w:t>S</w:t>
      </w:r>
      <w:r w:rsidR="00E96794" w:rsidRPr="00FF45B8">
        <w:rPr>
          <w:i/>
        </w:rPr>
        <w:t>olution</w:t>
      </w:r>
      <w:r w:rsidR="00E96794" w:rsidRPr="00831D87">
        <w:t>, was selected</w:t>
      </w:r>
      <w:r w:rsidR="00E96794" w:rsidRPr="00A119ED">
        <w:t>.</w:t>
      </w:r>
      <w:r w:rsidR="00483F80">
        <w:t xml:space="preserve"> </w:t>
      </w:r>
      <w:r w:rsidR="005D3E3D">
        <w:t>It was the lowest cost of all of the qualifying Phase One Proposals by $45 million</w:t>
      </w:r>
      <w:r w:rsidR="00A67DD1">
        <w:t xml:space="preserve">. </w:t>
      </w:r>
      <w:r w:rsidR="00483F80">
        <w:t>In late 2020, the ISO re-</w:t>
      </w:r>
      <w:r w:rsidR="000C0499">
        <w:t xml:space="preserve">examined </w:t>
      </w:r>
      <w:r w:rsidR="0028497B">
        <w:t xml:space="preserve">its </w:t>
      </w:r>
      <w:r w:rsidR="00483F80">
        <w:t xml:space="preserve">processes and shared </w:t>
      </w:r>
      <w:r w:rsidR="0028497B">
        <w:t xml:space="preserve">stakeholder-provided </w:t>
      </w:r>
      <w:hyperlink r:id="rId51" w:history="1">
        <w:r w:rsidR="00483F80" w:rsidRPr="00D476EE">
          <w:rPr>
            <w:rStyle w:val="Hyperlink"/>
          </w:rPr>
          <w:t>lessons</w:t>
        </w:r>
        <w:r w:rsidR="00842185" w:rsidRPr="00D476EE">
          <w:rPr>
            <w:rStyle w:val="Hyperlink"/>
          </w:rPr>
          <w:t xml:space="preserve"> </w:t>
        </w:r>
        <w:r w:rsidR="00483F80" w:rsidRPr="00D476EE">
          <w:rPr>
            <w:rStyle w:val="Hyperlink"/>
          </w:rPr>
          <w:t>learned</w:t>
        </w:r>
      </w:hyperlink>
      <w:r w:rsidR="00483F80">
        <w:t xml:space="preserve"> related to the </w:t>
      </w:r>
      <w:r w:rsidR="00483F80" w:rsidRPr="00B469E6">
        <w:t>competitive solution process</w:t>
      </w:r>
      <w:r w:rsidR="00483F80">
        <w:t xml:space="preserve"> for </w:t>
      </w:r>
      <w:hyperlink r:id="rId52" w:history="1">
        <w:r w:rsidR="0028497B" w:rsidRPr="00D476EE">
          <w:rPr>
            <w:rStyle w:val="Hyperlink"/>
          </w:rPr>
          <w:t>Order 1000</w:t>
        </w:r>
      </w:hyperlink>
      <w:r w:rsidR="0028497B">
        <w:t xml:space="preserve"> and the</w:t>
      </w:r>
      <w:r w:rsidR="0028497B" w:rsidRPr="00CE3FC4">
        <w:t xml:space="preserve"> Boston</w:t>
      </w:r>
      <w:r w:rsidR="00483F80" w:rsidRPr="00CE3FC4">
        <w:t xml:space="preserve"> 2028 RFP </w:t>
      </w:r>
      <w:r w:rsidR="00483F80">
        <w:t>with PAC.</w:t>
      </w:r>
    </w:p>
    <w:p w:rsidR="00776BA4" w:rsidRPr="001B747C" w:rsidRDefault="00776BA4" w:rsidP="008809B0">
      <w:r w:rsidRPr="001B747C">
        <w:t xml:space="preserve">The ISO </w:t>
      </w:r>
      <w:r w:rsidR="008F5B58">
        <w:t>has two planning guides outlining</w:t>
      </w:r>
      <w:r w:rsidRPr="001B747C">
        <w:t xml:space="preserve"> the </w:t>
      </w:r>
      <w:hyperlink r:id="rId53" w:history="1">
        <w:r w:rsidR="00E4020D" w:rsidRPr="00D476EE">
          <w:rPr>
            <w:rStyle w:val="Hyperlink"/>
          </w:rPr>
          <w:t>transmission planning processes and assumptions</w:t>
        </w:r>
      </w:hyperlink>
      <w:r w:rsidR="00E4020D">
        <w:t xml:space="preserve"> </w:t>
      </w:r>
      <w:r w:rsidRPr="001B747C">
        <w:t>reflect</w:t>
      </w:r>
      <w:r w:rsidR="00BB2CE1">
        <w:t>ing</w:t>
      </w:r>
      <w:r w:rsidRPr="001B747C">
        <w:t xml:space="preserve"> all requirements. The </w:t>
      </w:r>
      <w:r w:rsidRPr="001B747C">
        <w:rPr>
          <w:i/>
        </w:rPr>
        <w:t>Transmission Planning Process Guide</w:t>
      </w:r>
      <w:r w:rsidRPr="001B747C">
        <w:t xml:space="preserve"> describes the existing regional system planning process and how </w:t>
      </w:r>
      <w:r w:rsidR="00DC3790" w:rsidRPr="001B747C">
        <w:t>transmission</w:t>
      </w:r>
      <w:r w:rsidR="00DC3790">
        <w:t>-planning</w:t>
      </w:r>
      <w:r w:rsidRPr="001B747C">
        <w:t xml:space="preserve"> studies are performed, as </w:t>
      </w:r>
      <w:r w:rsidR="00E47391">
        <w:t>prescribed</w:t>
      </w:r>
      <w:r w:rsidR="00E47391" w:rsidRPr="001B747C">
        <w:t xml:space="preserve"> </w:t>
      </w:r>
      <w:r w:rsidRPr="001B747C">
        <w:t>in Attachment K of Section II of the</w:t>
      </w:r>
      <w:r w:rsidRPr="001D2E89">
        <w:rPr>
          <w:i/>
        </w:rPr>
        <w:t xml:space="preserve"> </w:t>
      </w:r>
      <w:hyperlink r:id="rId54" w:history="1">
        <w:r w:rsidR="008809B0" w:rsidRPr="006E332D">
          <w:rPr>
            <w:rStyle w:val="Hyperlink"/>
            <w:i/>
          </w:rPr>
          <w:t>ISO New England Transmission, Markets and Services Tariff</w:t>
        </w:r>
      </w:hyperlink>
      <w:r w:rsidRPr="001D2E89">
        <w:rPr>
          <w:i/>
        </w:rPr>
        <w:t xml:space="preserve"> </w:t>
      </w:r>
      <w:r w:rsidRPr="001B747C">
        <w:t>(the tariff)</w:t>
      </w:r>
      <w:r w:rsidR="00BB2CE1">
        <w:t>. This</w:t>
      </w:r>
      <w:r w:rsidRPr="001B747C">
        <w:t xml:space="preserve"> </w:t>
      </w:r>
      <w:r w:rsidR="00BB2CE1" w:rsidRPr="001B747C">
        <w:t>includ</w:t>
      </w:r>
      <w:r w:rsidR="00BB2CE1">
        <w:t>es</w:t>
      </w:r>
      <w:r w:rsidR="00BB2CE1" w:rsidRPr="001B747C">
        <w:t xml:space="preserve"> </w:t>
      </w:r>
      <w:r w:rsidR="00A86C5C">
        <w:t xml:space="preserve">compliance with </w:t>
      </w:r>
      <w:r w:rsidR="00A86C5C" w:rsidRPr="00744016">
        <w:t xml:space="preserve">FERC </w:t>
      </w:r>
      <w:hyperlink r:id="rId55" w:history="1">
        <w:r w:rsidR="00A86C5C" w:rsidRPr="006E332D">
          <w:rPr>
            <w:rStyle w:val="Hyperlink"/>
          </w:rPr>
          <w:t>Order 1000</w:t>
        </w:r>
      </w:hyperlink>
      <w:r w:rsidRPr="001B747C">
        <w:t xml:space="preserve"> requirements. The </w:t>
      </w:r>
      <w:r w:rsidRPr="001B747C">
        <w:rPr>
          <w:i/>
        </w:rPr>
        <w:t>Transmission Planning Technical Guide</w:t>
      </w:r>
      <w:r w:rsidRPr="001B747C">
        <w:t xml:space="preserve"> references the current standards and specifies the criteria and assumptions used in transmission</w:t>
      </w:r>
      <w:r w:rsidR="00533199">
        <w:t xml:space="preserve"> </w:t>
      </w:r>
      <w:r w:rsidRPr="001B747C">
        <w:t>planning studies and new methodologies regarding the study assumptions using probabilistic methods.</w:t>
      </w:r>
      <w:r w:rsidR="008F5B58">
        <w:t xml:space="preserve"> The ISO periodically updates both guides</w:t>
      </w:r>
      <w:r w:rsidR="00BB2CE1">
        <w:t>, with</w:t>
      </w:r>
      <w:r w:rsidR="008F5B58">
        <w:t xml:space="preserve"> discussions held at the </w:t>
      </w:r>
      <w:r w:rsidR="00837B42">
        <w:t>ISO Planning Advisory Committee</w:t>
      </w:r>
      <w:r w:rsidR="008F5B58">
        <w:t>.</w:t>
      </w:r>
      <w:r w:rsidR="00E96583">
        <w:t xml:space="preserve"> </w:t>
      </w:r>
      <w:r w:rsidR="00A67DD1">
        <w:t>With respect to</w:t>
      </w:r>
      <w:r w:rsidR="00E96583">
        <w:t xml:space="preserve"> extreme weather events, transmission owners and the ISO have begun to consider how major storms and increase</w:t>
      </w:r>
      <w:r w:rsidR="00E47391">
        <w:t>s</w:t>
      </w:r>
      <w:r w:rsidR="00E96583">
        <w:t xml:space="preserve"> in sea level are factored into assessments of transmission upgrades for regional cost allocation.</w:t>
      </w:r>
      <w:r w:rsidR="007A2833">
        <w:t xml:space="preserve">  Unfortunately, it is difficult to rely on history to predict how renewables will perform since the integration of renewables is a recent phenomenon. Similarly, extreme weather events are a rarity and history does not offer much insight</w:t>
      </w:r>
      <w:r w:rsidR="00A67DD1">
        <w:t>, although it is expected that these will become more frequent</w:t>
      </w:r>
      <w:r w:rsidR="007A2833">
        <w:t xml:space="preserve">.  </w:t>
      </w:r>
    </w:p>
    <w:p w:rsidR="00776BA4" w:rsidRPr="001B747C" w:rsidRDefault="00776BA4" w:rsidP="00776BA4">
      <w:pPr>
        <w:rPr>
          <w:rFonts w:eastAsia="Times New Roman"/>
          <w:szCs w:val="24"/>
        </w:rPr>
      </w:pPr>
      <w:r w:rsidRPr="001B747C">
        <w:t>In addition, the region</w:t>
      </w:r>
      <w:r w:rsidR="00BB2CE1">
        <w:t xml:space="preserve"> must</w:t>
      </w:r>
      <w:r w:rsidRPr="001B747C">
        <w:t xml:space="preserve"> meet</w:t>
      </w:r>
      <w:r w:rsidR="00BB2CE1">
        <w:t xml:space="preserve"> the criteria in</w:t>
      </w:r>
      <w:r w:rsidRPr="001B747C">
        <w:t xml:space="preserve"> the </w:t>
      </w:r>
      <w:hyperlink r:id="rId56" w:history="1">
        <w:r w:rsidR="00E4020D" w:rsidRPr="006E332D">
          <w:rPr>
            <w:rStyle w:val="Hyperlink"/>
          </w:rPr>
          <w:t>ISO’s Planning Procedure No. 3</w:t>
        </w:r>
      </w:hyperlink>
      <w:r w:rsidR="00E4020D">
        <w:t xml:space="preserve"> (</w:t>
      </w:r>
      <w:r w:rsidRPr="001B747C">
        <w:t xml:space="preserve">PP3), </w:t>
      </w:r>
      <w:r w:rsidRPr="001B747C">
        <w:rPr>
          <w:i/>
        </w:rPr>
        <w:t>Reliability Standards for the New England Area Pool Transmission Facilities</w:t>
      </w:r>
      <w:r w:rsidR="00626F3B">
        <w:rPr>
          <w:i/>
        </w:rPr>
        <w:t>,</w:t>
      </w:r>
      <w:r w:rsidRPr="001B747C">
        <w:rPr>
          <w:i/>
        </w:rPr>
        <w:t xml:space="preserve"> </w:t>
      </w:r>
      <w:r w:rsidR="00BB2CE1">
        <w:t>along with</w:t>
      </w:r>
      <w:r w:rsidR="00BB2CE1" w:rsidRPr="001B747C">
        <w:t xml:space="preserve"> </w:t>
      </w:r>
      <w:r w:rsidRPr="001B747C">
        <w:t xml:space="preserve">other requirements that ensure the reliability of the New England </w:t>
      </w:r>
      <w:r w:rsidR="00837B42">
        <w:t xml:space="preserve">pool transmission </w:t>
      </w:r>
      <w:r w:rsidR="00ED4E04">
        <w:t>facilities</w:t>
      </w:r>
      <w:r w:rsidRPr="001B747C">
        <w:t xml:space="preserve"> through coordination of system planning, design, and operation. </w:t>
      </w:r>
    </w:p>
    <w:p w:rsidR="00776BA4" w:rsidRPr="001B747C" w:rsidRDefault="00776BA4" w:rsidP="00FA04B6">
      <w:pPr>
        <w:pStyle w:val="Heading4"/>
      </w:pPr>
      <w:r w:rsidRPr="001B747C">
        <w:t>Transmission Upgrades</w:t>
      </w:r>
    </w:p>
    <w:p w:rsidR="00734A43" w:rsidRDefault="00776BA4" w:rsidP="00776BA4">
      <w:r w:rsidRPr="001B747C">
        <w:t xml:space="preserve">Reliability transmission upgrades have resulted in significant market-efficiency benefits by reducing congestion and out-of-merit operating costs. Thus, to date, the ISO has not identified the need for separate </w:t>
      </w:r>
      <w:hyperlink r:id="rId57" w:history="1">
        <w:r w:rsidR="00837B42" w:rsidRPr="006E332D">
          <w:rPr>
            <w:rStyle w:val="Hyperlink"/>
          </w:rPr>
          <w:t>market efficiency transmission upgrades</w:t>
        </w:r>
      </w:hyperlink>
      <w:r w:rsidRPr="001B747C">
        <w:t xml:space="preserve"> (METUs), </w:t>
      </w:r>
      <w:r w:rsidR="00BB2CE1">
        <w:t>which are</w:t>
      </w:r>
      <w:r w:rsidR="00BB2CE1" w:rsidRPr="001B747C">
        <w:t xml:space="preserve"> </w:t>
      </w:r>
      <w:r w:rsidRPr="001B747C">
        <w:t>designed to reduce total net production cost</w:t>
      </w:r>
      <w:r w:rsidR="00BB2CE1">
        <w:t>s</w:t>
      </w:r>
      <w:r w:rsidRPr="008B3A50">
        <w:t>. Many new elective transmission upgrades (ETUs)</w:t>
      </w:r>
      <w:r w:rsidRPr="001B747C">
        <w:t xml:space="preserve"> have been proposed, focus</w:t>
      </w:r>
      <w:r w:rsidR="00BB2CE1">
        <w:t>ed</w:t>
      </w:r>
      <w:r w:rsidRPr="001B747C">
        <w:t xml:space="preserve"> on delivering zero- or low-carbon resources to New England</w:t>
      </w:r>
      <w:r w:rsidR="0038424A">
        <w:t xml:space="preserve"> load</w:t>
      </w:r>
      <w:r w:rsidRPr="001B747C">
        <w:t xml:space="preserve">. As of June 1, </w:t>
      </w:r>
      <w:r w:rsidR="008D414E">
        <w:t>2021</w:t>
      </w:r>
      <w:r w:rsidRPr="001B747C">
        <w:t xml:space="preserve">, </w:t>
      </w:r>
      <w:r w:rsidR="00A03D4D">
        <w:t>six</w:t>
      </w:r>
      <w:r w:rsidRPr="001B747C">
        <w:t xml:space="preserve"> projects are under study as ETUs, and </w:t>
      </w:r>
      <w:r w:rsidR="00A03D4D">
        <w:t>two</w:t>
      </w:r>
      <w:r w:rsidR="00A03D4D" w:rsidRPr="001B747C">
        <w:t xml:space="preserve"> </w:t>
      </w:r>
      <w:r w:rsidRPr="001B747C">
        <w:t xml:space="preserve">have </w:t>
      </w:r>
      <w:r w:rsidR="00A03D4D">
        <w:t>completed their interconnection agreement</w:t>
      </w:r>
      <w:r w:rsidR="00906D3A">
        <w:t>s</w:t>
      </w:r>
      <w:r w:rsidRPr="001B747C">
        <w:t xml:space="preserve">. </w:t>
      </w:r>
      <w:r w:rsidR="00734A43">
        <w:t>RSP21</w:t>
      </w:r>
      <w:r w:rsidR="00734A43" w:rsidRPr="001B747C">
        <w:t xml:space="preserve"> does not identify the need for any public policy transmission upgrades</w:t>
      </w:r>
      <w:r w:rsidR="00734A43">
        <w:t>,</w:t>
      </w:r>
      <w:r w:rsidR="00734A43" w:rsidRPr="00335781">
        <w:t xml:space="preserve"> </w:t>
      </w:r>
      <w:r w:rsidR="00734A43">
        <w:t>consistent with the planning process and the requests of all six New England states</w:t>
      </w:r>
      <w:r w:rsidR="00734A43" w:rsidRPr="001B747C">
        <w:t xml:space="preserve">. </w:t>
      </w:r>
    </w:p>
    <w:p w:rsidR="00776BA4" w:rsidRPr="001B747C" w:rsidRDefault="00BB2CE1" w:rsidP="00776BA4">
      <w:r>
        <w:t>Addressing identified reliability needs</w:t>
      </w:r>
      <w:r w:rsidR="00074DF2" w:rsidRPr="00545D29">
        <w:t>,</w:t>
      </w:r>
      <w:r w:rsidR="00792110" w:rsidRPr="00545D29">
        <w:t xml:space="preserve"> along with the </w:t>
      </w:r>
      <w:r w:rsidR="00776BA4" w:rsidRPr="00545D29">
        <w:t xml:space="preserve">development of economic resources </w:t>
      </w:r>
      <w:r>
        <w:t>through</w:t>
      </w:r>
      <w:r w:rsidR="00776BA4" w:rsidRPr="00545D29">
        <w:t xml:space="preserve"> the ISO’s wholesale electricity markets</w:t>
      </w:r>
      <w:r w:rsidR="00D71CE1" w:rsidRPr="00545D29">
        <w:t>,</w:t>
      </w:r>
      <w:r w:rsidR="00776BA4" w:rsidRPr="00545D29">
        <w:t xml:space="preserve"> has h</w:t>
      </w:r>
      <w:r w:rsidR="00776BA4" w:rsidRPr="001B747C">
        <w:t>elped reduce congestion and Net Commitment</w:t>
      </w:r>
      <w:r w:rsidR="00456657">
        <w:t>-</w:t>
      </w:r>
      <w:r w:rsidR="00776BA4" w:rsidRPr="001B747C">
        <w:t>Period Compensation (NCPC).</w:t>
      </w:r>
      <w:r w:rsidR="00776BA4" w:rsidRPr="001B747C">
        <w:rPr>
          <w:rFonts w:eastAsia="Times New Roman"/>
          <w:vertAlign w:val="superscript"/>
        </w:rPr>
        <w:footnoteReference w:id="16"/>
      </w:r>
      <w:r w:rsidR="00776BA4" w:rsidRPr="001B747C">
        <w:t xml:space="preserve"> </w:t>
      </w:r>
      <w:r w:rsidR="00776BA4" w:rsidRPr="001B747C">
        <w:rPr>
          <w:rFonts w:eastAsia="Times New Roman"/>
          <w:szCs w:val="24"/>
        </w:rPr>
        <w:t xml:space="preserve">The </w:t>
      </w:r>
      <w:r w:rsidR="00792110">
        <w:rPr>
          <w:rFonts w:eastAsia="Times New Roman"/>
          <w:szCs w:val="24"/>
        </w:rPr>
        <w:t>2020</w:t>
      </w:r>
      <w:r w:rsidR="00792110" w:rsidRPr="001B747C">
        <w:rPr>
          <w:rFonts w:eastAsia="Times New Roman"/>
          <w:szCs w:val="24"/>
        </w:rPr>
        <w:t xml:space="preserve"> </w:t>
      </w:r>
      <w:r w:rsidR="00776BA4" w:rsidRPr="001B747C">
        <w:rPr>
          <w:rFonts w:eastAsia="Times New Roman"/>
          <w:szCs w:val="24"/>
        </w:rPr>
        <w:t xml:space="preserve">total for congestion </w:t>
      </w:r>
      <w:r w:rsidR="00776BA4">
        <w:rPr>
          <w:rFonts w:eastAsia="Times New Roman"/>
          <w:szCs w:val="24"/>
        </w:rPr>
        <w:t xml:space="preserve">resulting from transmission constraints </w:t>
      </w:r>
      <w:r w:rsidR="00776BA4" w:rsidRPr="001B747C">
        <w:rPr>
          <w:rFonts w:eastAsia="Times New Roman"/>
          <w:szCs w:val="24"/>
        </w:rPr>
        <w:t>was $</w:t>
      </w:r>
      <w:r w:rsidR="00792110">
        <w:rPr>
          <w:rFonts w:eastAsia="Times New Roman"/>
          <w:szCs w:val="24"/>
        </w:rPr>
        <w:t>29.1</w:t>
      </w:r>
      <w:r w:rsidR="00776BA4">
        <w:rPr>
          <w:rFonts w:eastAsia="Times New Roman"/>
          <w:szCs w:val="24"/>
        </w:rPr>
        <w:t> </w:t>
      </w:r>
      <w:r w:rsidR="00776BA4" w:rsidRPr="001B747C">
        <w:rPr>
          <w:rFonts w:eastAsia="Times New Roman"/>
          <w:szCs w:val="24"/>
        </w:rPr>
        <w:t>million, and the total for voltage and second-</w:t>
      </w:r>
      <w:r w:rsidR="00776BA4" w:rsidRPr="007650A3">
        <w:rPr>
          <w:rFonts w:eastAsia="Times New Roman"/>
          <w:szCs w:val="24"/>
        </w:rPr>
        <w:t>contingency NCPC was $</w:t>
      </w:r>
      <w:r w:rsidR="00792110">
        <w:rPr>
          <w:rFonts w:eastAsia="Times New Roman"/>
          <w:szCs w:val="24"/>
        </w:rPr>
        <w:t>4.6</w:t>
      </w:r>
      <w:r w:rsidR="00776BA4" w:rsidRPr="007650A3">
        <w:rPr>
          <w:rFonts w:eastAsia="Times New Roman"/>
          <w:szCs w:val="24"/>
        </w:rPr>
        <w:t> million,</w:t>
      </w:r>
      <w:r w:rsidR="00906D3A">
        <w:rPr>
          <w:rFonts w:eastAsia="Times New Roman"/>
          <w:szCs w:val="24"/>
        </w:rPr>
        <w:t xml:space="preserve"> a fraction</w:t>
      </w:r>
      <w:r w:rsidR="00776BA4" w:rsidRPr="007650A3">
        <w:rPr>
          <w:rFonts w:eastAsia="Times New Roman"/>
          <w:szCs w:val="24"/>
        </w:rPr>
        <w:t xml:space="preserve"> of the $</w:t>
      </w:r>
      <w:r w:rsidR="00792110">
        <w:rPr>
          <w:rFonts w:eastAsia="Times New Roman"/>
          <w:szCs w:val="24"/>
        </w:rPr>
        <w:t>5.7</w:t>
      </w:r>
      <w:r w:rsidR="00776BA4" w:rsidRPr="007650A3">
        <w:rPr>
          <w:rFonts w:eastAsia="Times New Roman"/>
          <w:szCs w:val="24"/>
        </w:rPr>
        <w:t xml:space="preserve"> billion total wholesale electricity markets in </w:t>
      </w:r>
      <w:r w:rsidR="00792110">
        <w:rPr>
          <w:rFonts w:eastAsia="Times New Roman"/>
          <w:szCs w:val="24"/>
        </w:rPr>
        <w:t>2</w:t>
      </w:r>
      <w:r w:rsidR="0098794F">
        <w:rPr>
          <w:rFonts w:eastAsia="Times New Roman"/>
          <w:szCs w:val="24"/>
        </w:rPr>
        <w:t>020</w:t>
      </w:r>
      <w:r w:rsidR="00776BA4" w:rsidRPr="007650A3">
        <w:rPr>
          <w:rFonts w:eastAsia="Times New Roman"/>
          <w:szCs w:val="24"/>
        </w:rPr>
        <w:t>.</w:t>
      </w:r>
      <w:r w:rsidR="00AB43AF">
        <w:rPr>
          <w:rStyle w:val="FootnoteReference"/>
          <w:rFonts w:eastAsia="Times New Roman"/>
          <w:szCs w:val="24"/>
        </w:rPr>
        <w:footnoteReference w:id="17"/>
      </w:r>
      <w:r w:rsidR="00776BA4" w:rsidRPr="001B747C">
        <w:rPr>
          <w:rFonts w:eastAsia="Times New Roman"/>
          <w:szCs w:val="24"/>
        </w:rPr>
        <w:t xml:space="preserve"> </w:t>
      </w:r>
      <w:r w:rsidR="0098794F">
        <w:rPr>
          <w:rFonts w:eastAsia="Times New Roman"/>
          <w:szCs w:val="24"/>
        </w:rPr>
        <w:t xml:space="preserve">Comparing 2020 to 2018, </w:t>
      </w:r>
      <w:r w:rsidR="0098794F" w:rsidRPr="007650A3">
        <w:rPr>
          <w:rFonts w:eastAsia="Times New Roman"/>
          <w:szCs w:val="24"/>
        </w:rPr>
        <w:t>wholesale electricity markets</w:t>
      </w:r>
      <w:r w:rsidR="00F75C7C">
        <w:rPr>
          <w:rFonts w:eastAsia="Times New Roman"/>
          <w:szCs w:val="24"/>
        </w:rPr>
        <w:t>’</w:t>
      </w:r>
      <w:r w:rsidR="0098794F">
        <w:rPr>
          <w:rFonts w:eastAsia="Times New Roman"/>
          <w:szCs w:val="24"/>
        </w:rPr>
        <w:t xml:space="preserve"> congestion was reduce</w:t>
      </w:r>
      <w:r w:rsidR="00F75C7C">
        <w:rPr>
          <w:rFonts w:eastAsia="Times New Roman"/>
          <w:szCs w:val="24"/>
        </w:rPr>
        <w:t>d</w:t>
      </w:r>
      <w:r w:rsidR="0098794F">
        <w:rPr>
          <w:rFonts w:eastAsia="Times New Roman"/>
          <w:szCs w:val="24"/>
        </w:rPr>
        <w:t xml:space="preserve"> more than 40</w:t>
      </w:r>
      <w:r w:rsidR="00456C39">
        <w:rPr>
          <w:rFonts w:eastAsia="Times New Roman"/>
          <w:szCs w:val="24"/>
        </w:rPr>
        <w:t>%</w:t>
      </w:r>
      <w:r w:rsidR="0098794F">
        <w:rPr>
          <w:rFonts w:eastAsia="Times New Roman"/>
          <w:szCs w:val="24"/>
        </w:rPr>
        <w:t xml:space="preserve">. </w:t>
      </w:r>
      <w:r w:rsidR="00792110">
        <w:rPr>
          <w:rFonts w:eastAsia="Times New Roman"/>
          <w:szCs w:val="24"/>
        </w:rPr>
        <w:t xml:space="preserve"> </w:t>
      </w:r>
    </w:p>
    <w:p w:rsidR="00776BA4" w:rsidRPr="001B747C" w:rsidRDefault="00776BA4" w:rsidP="00FA04B6">
      <w:pPr>
        <w:pStyle w:val="Heading4"/>
      </w:pPr>
      <w:r w:rsidRPr="001B747C">
        <w:t>Project Updates</w:t>
      </w:r>
    </w:p>
    <w:p w:rsidR="00734A43" w:rsidRPr="00B969ED" w:rsidRDefault="00A0333C" w:rsidP="00734A43">
      <w:r w:rsidRPr="001B747C">
        <w:t>From 2002 through June 20</w:t>
      </w:r>
      <w:r>
        <w:t>21</w:t>
      </w:r>
      <w:r w:rsidRPr="001B747C">
        <w:t xml:space="preserve">, </w:t>
      </w:r>
      <w:r>
        <w:t>834</w:t>
      </w:r>
      <w:r w:rsidRPr="001B747C">
        <w:t xml:space="preserve"> transmission project components have been placed in service across the region</w:t>
      </w:r>
      <w:r>
        <w:t>, and</w:t>
      </w:r>
      <w:r w:rsidRPr="001B747C">
        <w:t xml:space="preserve"> another </w:t>
      </w:r>
      <w:r>
        <w:t>47</w:t>
      </w:r>
      <w:r w:rsidRPr="001B747C">
        <w:t xml:space="preserve"> project components </w:t>
      </w:r>
      <w:r>
        <w:t>are</w:t>
      </w:r>
      <w:r w:rsidRPr="001B747C">
        <w:t xml:space="preserve"> planned, proposed, or under construction. </w:t>
      </w:r>
      <w:r w:rsidR="00EE6898">
        <w:t>As described in</w:t>
      </w:r>
      <w:r w:rsidR="00E74C22">
        <w:t xml:space="preserve"> </w:t>
      </w:r>
      <w:hyperlink w:anchor="_Reliability_Transmission_Upgrades" w:history="1">
        <w:r w:rsidR="00E74C22" w:rsidRPr="00E74C22">
          <w:rPr>
            <w:rStyle w:val="Hyperlink"/>
          </w:rPr>
          <w:t>Section 5.10.1.</w:t>
        </w:r>
      </w:hyperlink>
      <w:r w:rsidR="00EE6898">
        <w:t>, t</w:t>
      </w:r>
      <w:r w:rsidRPr="001B747C">
        <w:t>he estimated investment in reliability</w:t>
      </w:r>
      <w:r>
        <w:t xml:space="preserve"> projects</w:t>
      </w:r>
      <w:r w:rsidRPr="001B747C">
        <w:t xml:space="preserve"> </w:t>
      </w:r>
      <w:r w:rsidRPr="00D94678">
        <w:t>was $1</w:t>
      </w:r>
      <w:r>
        <w:t>1.7</w:t>
      </w:r>
      <w:r w:rsidRPr="00D94678">
        <w:t xml:space="preserve"> billion </w:t>
      </w:r>
      <w:r>
        <w:t>between</w:t>
      </w:r>
      <w:r w:rsidRPr="00D94678">
        <w:t xml:space="preserve"> 2002 </w:t>
      </w:r>
      <w:r>
        <w:t>and</w:t>
      </w:r>
      <w:r w:rsidRPr="00D94678">
        <w:t xml:space="preserve"> June 20</w:t>
      </w:r>
      <w:r>
        <w:t>21</w:t>
      </w:r>
      <w:r w:rsidRPr="00D94678">
        <w:t xml:space="preserve">, </w:t>
      </w:r>
      <w:r>
        <w:t>with</w:t>
      </w:r>
      <w:r w:rsidRPr="00D94678">
        <w:t xml:space="preserve"> another $1.</w:t>
      </w:r>
      <w:r>
        <w:t>1</w:t>
      </w:r>
      <w:r w:rsidRPr="00D94678">
        <w:t xml:space="preserve"> billion planned over the </w:t>
      </w:r>
      <w:r w:rsidR="00655053">
        <w:t xml:space="preserve">next </w:t>
      </w:r>
      <w:r>
        <w:t>10</w:t>
      </w:r>
      <w:r w:rsidR="00E90E23">
        <w:t xml:space="preserve"> </w:t>
      </w:r>
      <w:r>
        <w:t>year</w:t>
      </w:r>
      <w:r w:rsidR="00655053">
        <w:t xml:space="preserve">s. </w:t>
      </w:r>
      <w:r w:rsidR="00734A43" w:rsidRPr="00DB6489">
        <w:t xml:space="preserve">Since the publication of the </w:t>
      </w:r>
      <w:r w:rsidR="00734A43" w:rsidRPr="00DB6489">
        <w:rPr>
          <w:i/>
        </w:rPr>
        <w:t>2019 Regional System Plan</w:t>
      </w:r>
      <w:r w:rsidR="00734A43" w:rsidRPr="00DB6489">
        <w:t xml:space="preserve">, </w:t>
      </w:r>
      <w:r w:rsidRPr="00DB6489">
        <w:t>a number of projects have been developed to address post-contingency overloads and voltage concerns. Addi</w:t>
      </w:r>
      <w:r>
        <w:t>tionally, projects in Greater Boston</w:t>
      </w:r>
      <w:r w:rsidR="00906D3A">
        <w:t xml:space="preserve"> have</w:t>
      </w:r>
      <w:r>
        <w:t xml:space="preserve"> mitigated short circuit levels in the area.  T</w:t>
      </w:r>
      <w:r w:rsidR="00734A43" w:rsidRPr="00B969ED">
        <w:t>he following major projects have been completed or are near completion:</w:t>
      </w:r>
    </w:p>
    <w:p w:rsidR="00734A43" w:rsidRPr="00B969ED" w:rsidRDefault="00734A43" w:rsidP="00734A43">
      <w:pPr>
        <w:numPr>
          <w:ilvl w:val="0"/>
          <w:numId w:val="1"/>
        </w:numPr>
        <w:tabs>
          <w:tab w:val="left" w:pos="1944"/>
        </w:tabs>
        <w:spacing w:after="120"/>
        <w:rPr>
          <w:rFonts w:eastAsia="Times New Roman"/>
          <w:szCs w:val="24"/>
        </w:rPr>
      </w:pPr>
      <w:r w:rsidRPr="00B969ED">
        <w:rPr>
          <w:rFonts w:eastAsia="Times New Roman"/>
          <w:szCs w:val="24"/>
        </w:rPr>
        <w:t xml:space="preserve">New Hampshire/Vermont </w:t>
      </w:r>
      <w:r w:rsidRPr="009E2C9D">
        <w:rPr>
          <w:rFonts w:eastAsia="Times New Roman"/>
          <w:szCs w:val="24"/>
        </w:rPr>
        <w:t>2020 Upgrades, locate</w:t>
      </w:r>
      <w:r>
        <w:rPr>
          <w:rFonts w:eastAsia="Times New Roman"/>
          <w:szCs w:val="24"/>
        </w:rPr>
        <w:t>d in Vermont</w:t>
      </w:r>
      <w:r w:rsidR="007D7A5F">
        <w:rPr>
          <w:rFonts w:eastAsia="Times New Roman"/>
          <w:szCs w:val="24"/>
        </w:rPr>
        <w:t xml:space="preserve"> and New Hampshire</w:t>
      </w:r>
      <w:r w:rsidR="00456657">
        <w:rPr>
          <w:rFonts w:eastAsia="Times New Roman"/>
          <w:szCs w:val="24"/>
        </w:rPr>
        <w:t>:</w:t>
      </w:r>
      <w:r w:rsidR="00837B42" w:rsidRPr="00B969ED">
        <w:rPr>
          <w:rFonts w:eastAsia="Times New Roman"/>
          <w:szCs w:val="24"/>
        </w:rPr>
        <w:t xml:space="preserve"> </w:t>
      </w:r>
      <w:r w:rsidR="00BB2CE1">
        <w:rPr>
          <w:rFonts w:eastAsia="Times New Roman"/>
          <w:szCs w:val="24"/>
        </w:rPr>
        <w:t>I</w:t>
      </w:r>
      <w:r w:rsidR="00BB2CE1" w:rsidRPr="00B969ED">
        <w:rPr>
          <w:rFonts w:eastAsia="Times New Roman"/>
          <w:szCs w:val="24"/>
        </w:rPr>
        <w:t xml:space="preserve">ncluded </w:t>
      </w:r>
      <w:r w:rsidR="00BB2CE1">
        <w:rPr>
          <w:rFonts w:eastAsia="Times New Roman"/>
          <w:szCs w:val="24"/>
        </w:rPr>
        <w:t>are</w:t>
      </w:r>
      <w:r w:rsidRPr="00B969ED">
        <w:rPr>
          <w:rFonts w:eastAsia="Times New Roman"/>
          <w:szCs w:val="24"/>
        </w:rPr>
        <w:t xml:space="preserve"> a new 345/115 </w:t>
      </w:r>
      <w:r w:rsidR="00837B42">
        <w:rPr>
          <w:rFonts w:eastAsia="Times New Roman"/>
          <w:szCs w:val="24"/>
        </w:rPr>
        <w:t>kilovolt (</w:t>
      </w:r>
      <w:r w:rsidRPr="00B969ED">
        <w:rPr>
          <w:rFonts w:eastAsia="Times New Roman"/>
          <w:szCs w:val="24"/>
        </w:rPr>
        <w:t>kV</w:t>
      </w:r>
      <w:r w:rsidR="00837B42">
        <w:rPr>
          <w:rFonts w:eastAsia="Times New Roman"/>
          <w:szCs w:val="24"/>
        </w:rPr>
        <w:t>)</w:t>
      </w:r>
      <w:r w:rsidRPr="00B969ED">
        <w:rPr>
          <w:rFonts w:eastAsia="Times New Roman"/>
          <w:szCs w:val="24"/>
        </w:rPr>
        <w:t xml:space="preserve"> autotransformer, a new 230/115 kV autotransformer, several new 115 kV transmission lines, upgrades and rebuilds of several existing 115 kV lines, and several reactive device additions and substation upgrades. </w:t>
      </w:r>
      <w:r>
        <w:rPr>
          <w:rFonts w:eastAsia="Times New Roman"/>
          <w:szCs w:val="24"/>
        </w:rPr>
        <w:t>All upgrades were placed in service by May 2020.</w:t>
      </w:r>
      <w:r w:rsidRPr="00B969ED">
        <w:rPr>
          <w:rFonts w:eastAsia="Times New Roman"/>
          <w:szCs w:val="24"/>
        </w:rPr>
        <w:t xml:space="preserve"> </w:t>
      </w:r>
    </w:p>
    <w:p w:rsidR="00734A43" w:rsidRPr="009E2C9D" w:rsidRDefault="00734A43" w:rsidP="00734A43">
      <w:pPr>
        <w:numPr>
          <w:ilvl w:val="0"/>
          <w:numId w:val="1"/>
        </w:numPr>
        <w:spacing w:after="120"/>
        <w:rPr>
          <w:rFonts w:eastAsia="Times New Roman"/>
          <w:szCs w:val="24"/>
        </w:rPr>
      </w:pPr>
      <w:r w:rsidRPr="009E2C9D">
        <w:t>Greater Hartford Central Connecticut (GHCC) 2022 Upgrades</w:t>
      </w:r>
      <w:r w:rsidR="00837B42">
        <w:t>:</w:t>
      </w:r>
      <w:r w:rsidR="00837B42" w:rsidRPr="009E2C9D">
        <w:t xml:space="preserve"> </w:t>
      </w:r>
      <w:r w:rsidR="00BB2CE1">
        <w:t>I</w:t>
      </w:r>
      <w:r w:rsidR="00BB2CE1" w:rsidRPr="009E2C9D">
        <w:t xml:space="preserve">ncluded </w:t>
      </w:r>
      <w:r w:rsidR="00BB2CE1">
        <w:t>are</w:t>
      </w:r>
      <w:r w:rsidRPr="009E2C9D">
        <w:t xml:space="preserve"> two new autotransformers and 115 kV upgrades, includ</w:t>
      </w:r>
      <w:r w:rsidR="00BB2CE1">
        <w:t>es</w:t>
      </w:r>
      <w:r w:rsidRPr="009E2C9D">
        <w:t xml:space="preserve"> reconductoring lines, installing new lines, separating double-circuit towers (DCTs), rebuilding two stations, and adding reactive support to maintain voltage. </w:t>
      </w:r>
      <w:r>
        <w:t>All upgrades were placed in service by September 2020.</w:t>
      </w:r>
    </w:p>
    <w:p w:rsidR="00734A43" w:rsidRPr="00B969ED" w:rsidRDefault="00734A43" w:rsidP="00734A43">
      <w:pPr>
        <w:numPr>
          <w:ilvl w:val="0"/>
          <w:numId w:val="1"/>
        </w:numPr>
        <w:spacing w:after="120"/>
        <w:rPr>
          <w:rFonts w:eastAsia="Times New Roman"/>
          <w:szCs w:val="24"/>
        </w:rPr>
      </w:pPr>
      <w:r w:rsidRPr="009E2C9D">
        <w:t>Southwest Connecticut (SWCT) 2022 Upgrades</w:t>
      </w:r>
      <w:r w:rsidR="00837B42">
        <w:t>:</w:t>
      </w:r>
      <w:r w:rsidR="00837B42" w:rsidRPr="009E2C9D">
        <w:t xml:space="preserve"> </w:t>
      </w:r>
      <w:r w:rsidR="00BB2CE1">
        <w:t>I</w:t>
      </w:r>
      <w:r w:rsidR="00BB2CE1" w:rsidRPr="009E2C9D">
        <w:t xml:space="preserve">ncluded </w:t>
      </w:r>
      <w:r w:rsidR="00BB2CE1">
        <w:t>are</w:t>
      </w:r>
      <w:r w:rsidR="00BB2CE1" w:rsidRPr="009E2C9D">
        <w:t xml:space="preserve"> </w:t>
      </w:r>
      <w:r w:rsidRPr="009E2C9D">
        <w:t xml:space="preserve">115 kV upgrades, such as rebuilding and reconductoring lines, installing new lines, rebuilding two </w:t>
      </w:r>
      <w:r w:rsidR="0038424A">
        <w:t>sub</w:t>
      </w:r>
      <w:r w:rsidRPr="009E2C9D">
        <w:t>stations, and adding reactive support to maintain voltage.</w:t>
      </w:r>
      <w:r>
        <w:t xml:space="preserve"> All upgrades were placed in service by February 2021.</w:t>
      </w:r>
      <w:r w:rsidRPr="00B969ED">
        <w:t xml:space="preserve"> The SWCT 2025 update results showed that three transmission solutions identified in th</w:t>
      </w:r>
      <w:r w:rsidRPr="0061371C">
        <w:t>e 2022 upgrad</w:t>
      </w:r>
      <w:r w:rsidRPr="00851352">
        <w:t>es</w:t>
      </w:r>
      <w:r w:rsidRPr="00B969ED">
        <w:t xml:space="preserve"> were no longer required and were subsequently canceled.</w:t>
      </w:r>
      <w:r w:rsidRPr="00B969ED">
        <w:rPr>
          <w:vertAlign w:val="superscript"/>
        </w:rPr>
        <w:footnoteReference w:id="18"/>
      </w:r>
      <w:r w:rsidRPr="00B969ED">
        <w:t xml:space="preserve"> </w:t>
      </w:r>
    </w:p>
    <w:p w:rsidR="00734A43" w:rsidRPr="00585428" w:rsidRDefault="00734A43" w:rsidP="00734A43">
      <w:pPr>
        <w:numPr>
          <w:ilvl w:val="0"/>
          <w:numId w:val="1"/>
        </w:numPr>
        <w:rPr>
          <w:rFonts w:eastAsia="Times New Roman"/>
          <w:szCs w:val="24"/>
        </w:rPr>
      </w:pPr>
      <w:r w:rsidRPr="00B969ED">
        <w:rPr>
          <w:rFonts w:eastAsia="Times New Roman"/>
          <w:szCs w:val="24"/>
        </w:rPr>
        <w:t>Pittsfield and Greenfield</w:t>
      </w:r>
      <w:r w:rsidRPr="00B969ED">
        <w:t xml:space="preserve"> </w:t>
      </w:r>
      <w:r w:rsidRPr="00D1271D">
        <w:t>2022 Upgrades</w:t>
      </w:r>
      <w:r w:rsidR="00837B42">
        <w:t>:</w:t>
      </w:r>
      <w:r w:rsidRPr="00D1271D">
        <w:t xml:space="preserve"> </w:t>
      </w:r>
      <w:r w:rsidR="00BB2CE1">
        <w:t>I</w:t>
      </w:r>
      <w:r w:rsidR="00BB2CE1" w:rsidRPr="00D1271D">
        <w:t xml:space="preserve">ncluded </w:t>
      </w:r>
      <w:r w:rsidR="00BB2CE1">
        <w:t>are</w:t>
      </w:r>
      <w:r w:rsidR="00BB2CE1" w:rsidRPr="00D1271D">
        <w:t xml:space="preserve"> </w:t>
      </w:r>
      <w:r w:rsidRPr="00D1271D">
        <w:t>a new 345/115 kV autotransformer</w:t>
      </w:r>
      <w:r w:rsidR="00BB2CE1">
        <w:t>,</w:t>
      </w:r>
      <w:r w:rsidRPr="009E2C9D">
        <w:t xml:space="preserve"> addi</w:t>
      </w:r>
      <w:r w:rsidR="00BB2CE1">
        <w:t>tional</w:t>
      </w:r>
      <w:r w:rsidRPr="009E2C9D">
        <w:t xml:space="preserve"> reactive support to control v</w:t>
      </w:r>
      <w:r w:rsidRPr="00B969ED">
        <w:t>oltage on the 345 kV system</w:t>
      </w:r>
      <w:r w:rsidR="00BB2CE1">
        <w:t>,</w:t>
      </w:r>
      <w:r w:rsidRPr="00B969ED">
        <w:t xml:space="preserve"> a </w:t>
      </w:r>
      <w:r>
        <w:t xml:space="preserve">new </w:t>
      </w:r>
      <w:r w:rsidRPr="00B969ED">
        <w:t xml:space="preserve">115 kV </w:t>
      </w:r>
      <w:r w:rsidR="0038424A">
        <w:t>sub</w:t>
      </w:r>
      <w:r w:rsidRPr="00B969ED">
        <w:t>station, rebuilding a 115 kV station</w:t>
      </w:r>
      <w:r w:rsidR="00D5280E">
        <w:t>,</w:t>
      </w:r>
      <w:r w:rsidRPr="00B969ED">
        <w:t xml:space="preserve"> rebuilding and reconductoring 115 kV lines</w:t>
      </w:r>
      <w:r w:rsidR="00D5280E">
        <w:t>,</w:t>
      </w:r>
      <w:r w:rsidRPr="00B969ED">
        <w:t xml:space="preserve"> installing a new 115 kV line</w:t>
      </w:r>
      <w:r w:rsidR="00D5280E">
        <w:t>,</w:t>
      </w:r>
      <w:r w:rsidRPr="00B969ED">
        <w:t xml:space="preserve"> separating 115 kV </w:t>
      </w:r>
      <w:r w:rsidR="00D70409">
        <w:t>DCTs</w:t>
      </w:r>
      <w:r w:rsidR="00D5280E">
        <w:t>,</w:t>
      </w:r>
      <w:r w:rsidRPr="00B969ED">
        <w:t xml:space="preserve"> and addi</w:t>
      </w:r>
      <w:r w:rsidR="00D5280E">
        <w:t>tional</w:t>
      </w:r>
      <w:r w:rsidRPr="00B969ED">
        <w:t xml:space="preserve"> reactive support to maintain voltage on the 115 kV system. All </w:t>
      </w:r>
      <w:r>
        <w:t>upgrades were placed in service by June 2020.</w:t>
      </w:r>
      <w:r w:rsidRPr="00B969ED" w:rsidDel="00585428">
        <w:t xml:space="preserve"> </w:t>
      </w:r>
    </w:p>
    <w:p w:rsidR="00734A43" w:rsidRPr="00B969ED" w:rsidRDefault="00734A43" w:rsidP="00734A43">
      <w:pPr>
        <w:numPr>
          <w:ilvl w:val="0"/>
          <w:numId w:val="1"/>
        </w:numPr>
        <w:rPr>
          <w:rFonts w:eastAsia="Times New Roman"/>
          <w:szCs w:val="24"/>
        </w:rPr>
      </w:pPr>
      <w:r>
        <w:rPr>
          <w:rFonts w:eastAsia="Times New Roman"/>
          <w:szCs w:val="24"/>
        </w:rPr>
        <w:t>Greater Boston Upgrades</w:t>
      </w:r>
      <w:r w:rsidR="00837B42">
        <w:rPr>
          <w:rFonts w:eastAsia="Times New Roman"/>
          <w:szCs w:val="24"/>
        </w:rPr>
        <w:t xml:space="preserve">: </w:t>
      </w:r>
      <w:r w:rsidR="00D5280E">
        <w:rPr>
          <w:rFonts w:eastAsia="Times New Roman"/>
          <w:szCs w:val="24"/>
        </w:rPr>
        <w:t>I</w:t>
      </w:r>
      <w:r>
        <w:rPr>
          <w:rFonts w:eastAsia="Times New Roman"/>
          <w:szCs w:val="24"/>
        </w:rPr>
        <w:t xml:space="preserve">ncluded </w:t>
      </w:r>
      <w:r w:rsidR="00D5280E">
        <w:rPr>
          <w:rFonts w:eastAsia="Times New Roman"/>
          <w:szCs w:val="24"/>
        </w:rPr>
        <w:t xml:space="preserve">are </w:t>
      </w:r>
      <w:r>
        <w:rPr>
          <w:rFonts w:eastAsia="Times New Roman"/>
          <w:szCs w:val="24"/>
        </w:rPr>
        <w:t>345 kV upgrades, which include new lines</w:t>
      </w:r>
      <w:r w:rsidR="00D5280E">
        <w:rPr>
          <w:rFonts w:eastAsia="Times New Roman"/>
          <w:szCs w:val="24"/>
        </w:rPr>
        <w:t>,</w:t>
      </w:r>
      <w:r>
        <w:rPr>
          <w:rFonts w:eastAsia="Times New Roman"/>
          <w:szCs w:val="24"/>
        </w:rPr>
        <w:t xml:space="preserve"> an autotransformer</w:t>
      </w:r>
      <w:r w:rsidR="00D5280E">
        <w:rPr>
          <w:rFonts w:eastAsia="Times New Roman"/>
          <w:szCs w:val="24"/>
        </w:rPr>
        <w:t>,</w:t>
      </w:r>
      <w:r>
        <w:rPr>
          <w:rFonts w:eastAsia="Times New Roman"/>
          <w:szCs w:val="24"/>
        </w:rPr>
        <w:t xml:space="preserve"> </w:t>
      </w:r>
      <w:r w:rsidR="00D5280E">
        <w:rPr>
          <w:rFonts w:eastAsia="Times New Roman"/>
          <w:szCs w:val="24"/>
        </w:rPr>
        <w:t xml:space="preserve">additional </w:t>
      </w:r>
      <w:r>
        <w:rPr>
          <w:rFonts w:eastAsia="Times New Roman"/>
          <w:szCs w:val="24"/>
        </w:rPr>
        <w:t>reactive support</w:t>
      </w:r>
      <w:r w:rsidR="00D5280E">
        <w:rPr>
          <w:rFonts w:eastAsia="Times New Roman"/>
          <w:szCs w:val="24"/>
        </w:rPr>
        <w:t>,</w:t>
      </w:r>
      <w:r>
        <w:rPr>
          <w:rFonts w:eastAsia="Times New Roman"/>
          <w:szCs w:val="24"/>
        </w:rPr>
        <w:t xml:space="preserve"> 230 kV upgrades, which included installing an autotransformer</w:t>
      </w:r>
      <w:r w:rsidR="00D5280E">
        <w:rPr>
          <w:rFonts w:eastAsia="Times New Roman"/>
          <w:szCs w:val="24"/>
        </w:rPr>
        <w:t>,</w:t>
      </w:r>
      <w:r>
        <w:rPr>
          <w:rFonts w:eastAsia="Times New Roman"/>
          <w:szCs w:val="24"/>
        </w:rPr>
        <w:t xml:space="preserve"> 115 kV upgrades, which include a new </w:t>
      </w:r>
      <w:r w:rsidR="0038424A">
        <w:rPr>
          <w:rFonts w:eastAsia="Times New Roman"/>
          <w:szCs w:val="24"/>
        </w:rPr>
        <w:t>sub</w:t>
      </w:r>
      <w:r>
        <w:rPr>
          <w:rFonts w:eastAsia="Times New Roman"/>
          <w:szCs w:val="24"/>
        </w:rPr>
        <w:t xml:space="preserve">station, lines, and </w:t>
      </w:r>
      <w:r w:rsidR="00D5280E">
        <w:rPr>
          <w:rFonts w:eastAsia="Times New Roman"/>
          <w:szCs w:val="24"/>
        </w:rPr>
        <w:t xml:space="preserve">additional </w:t>
      </w:r>
      <w:r>
        <w:rPr>
          <w:rFonts w:eastAsia="Times New Roman"/>
          <w:szCs w:val="24"/>
        </w:rPr>
        <w:t>reactive support</w:t>
      </w:r>
      <w:r w:rsidR="00D5280E">
        <w:rPr>
          <w:rFonts w:eastAsia="Times New Roman"/>
          <w:szCs w:val="24"/>
        </w:rPr>
        <w:t>,</w:t>
      </w:r>
      <w:r>
        <w:rPr>
          <w:rFonts w:eastAsia="Times New Roman"/>
          <w:szCs w:val="24"/>
        </w:rPr>
        <w:t xml:space="preserve"> and several other upgrades within the Greater Boston </w:t>
      </w:r>
      <w:r w:rsidRPr="001939B1">
        <w:rPr>
          <w:rFonts w:eastAsia="Times New Roman"/>
        </w:rPr>
        <w:t xml:space="preserve">area. </w:t>
      </w:r>
      <w:r w:rsidRPr="00B45886">
        <w:rPr>
          <w:rFonts w:eastAsia="Times New Roman"/>
        </w:rPr>
        <w:t>The Greater Boston suite of projects also include</w:t>
      </w:r>
      <w:r w:rsidR="00D5280E">
        <w:rPr>
          <w:rFonts w:eastAsia="Times New Roman"/>
        </w:rPr>
        <w:t>s</w:t>
      </w:r>
      <w:r w:rsidRPr="00B45886">
        <w:rPr>
          <w:rFonts w:eastAsia="Times New Roman"/>
        </w:rPr>
        <w:t xml:space="preserve"> the addition of a +/- 200</w:t>
      </w:r>
      <w:r w:rsidR="001939B1" w:rsidRPr="00B45886">
        <w:rPr>
          <w:rFonts w:eastAsia="Times New Roman"/>
        </w:rPr>
        <w:t xml:space="preserve"> </w:t>
      </w:r>
      <w:r w:rsidR="001939B1" w:rsidRPr="00534D54">
        <w:rPr>
          <w:color w:val="333333"/>
        </w:rPr>
        <w:t>megavolt-ampere reactive</w:t>
      </w:r>
      <w:r w:rsidRPr="001939B1">
        <w:rPr>
          <w:rFonts w:eastAsia="Times New Roman"/>
        </w:rPr>
        <w:t xml:space="preserve"> </w:t>
      </w:r>
      <w:r w:rsidR="001939B1" w:rsidRPr="001939B1">
        <w:rPr>
          <w:rFonts w:eastAsia="Times New Roman"/>
        </w:rPr>
        <w:t>(</w:t>
      </w:r>
      <w:r w:rsidRPr="001939B1">
        <w:rPr>
          <w:rFonts w:eastAsia="Times New Roman"/>
        </w:rPr>
        <w:t>MVAR</w:t>
      </w:r>
      <w:r w:rsidR="001939B1" w:rsidRPr="00B45886">
        <w:rPr>
          <w:rFonts w:eastAsia="Times New Roman"/>
        </w:rPr>
        <w:t>)</w:t>
      </w:r>
      <w:r w:rsidRPr="00B45886">
        <w:rPr>
          <w:rFonts w:eastAsia="Times New Roman"/>
        </w:rPr>
        <w:t xml:space="preserve"> STAT</w:t>
      </w:r>
      <w:r w:rsidRPr="00F8635A">
        <w:rPr>
          <w:rFonts w:eastAsia="Times New Roman"/>
          <w:szCs w:val="24"/>
        </w:rPr>
        <w:t>COM in Maine.</w:t>
      </w:r>
      <w:r w:rsidRPr="00A27BEA">
        <w:rPr>
          <w:rFonts w:eastAsia="Times New Roman"/>
          <w:szCs w:val="24"/>
        </w:rPr>
        <w:t xml:space="preserve"> </w:t>
      </w:r>
      <w:r>
        <w:rPr>
          <w:rFonts w:eastAsia="Times New Roman"/>
          <w:szCs w:val="24"/>
        </w:rPr>
        <w:t>The majority of upgrades within the suite of the Greater Boston upgrades are in service</w:t>
      </w:r>
      <w:r w:rsidR="006A180C">
        <w:rPr>
          <w:rFonts w:eastAsia="Times New Roman"/>
          <w:szCs w:val="24"/>
        </w:rPr>
        <w:t>,</w:t>
      </w:r>
      <w:r>
        <w:rPr>
          <w:rFonts w:eastAsia="Times New Roman"/>
          <w:szCs w:val="24"/>
        </w:rPr>
        <w:t xml:space="preserve"> with the exception of the installation of a 345 kV cable from Woburn to Wakefield Junction and associated reactors, installation of a second 115 kV cable from Mystic to Woburn</w:t>
      </w:r>
      <w:r w:rsidR="006A180C">
        <w:rPr>
          <w:rFonts w:eastAsia="Times New Roman"/>
          <w:szCs w:val="24"/>
        </w:rPr>
        <w:t>,</w:t>
      </w:r>
      <w:r>
        <w:rPr>
          <w:rFonts w:eastAsia="Times New Roman"/>
          <w:szCs w:val="24"/>
        </w:rPr>
        <w:t xml:space="preserve"> and the installation of a new 115 kV line from Sudbury to Hudson. The anticipated in service dates are </w:t>
      </w:r>
      <w:r w:rsidR="00D5280E">
        <w:rPr>
          <w:rFonts w:eastAsia="Times New Roman"/>
          <w:szCs w:val="24"/>
        </w:rPr>
        <w:t xml:space="preserve">between </w:t>
      </w:r>
      <w:r>
        <w:rPr>
          <w:rFonts w:eastAsia="Times New Roman"/>
          <w:szCs w:val="24"/>
        </w:rPr>
        <w:t xml:space="preserve">May 2022 and December 2023.   </w:t>
      </w:r>
    </w:p>
    <w:p w:rsidR="00776BA4" w:rsidRDefault="00776BA4" w:rsidP="00E36CF5">
      <w:r w:rsidRPr="001B747C">
        <w:t xml:space="preserve">Because of the general age of the transmission system in New England, many assets across the system are reaching their end of life and are requiring replacement or refurbishment. </w:t>
      </w:r>
      <w:r w:rsidR="00113A15">
        <w:t xml:space="preserve">These </w:t>
      </w:r>
      <w:hyperlink r:id="rId58" w:history="1">
        <w:r w:rsidR="00113A15" w:rsidRPr="00940083">
          <w:rPr>
            <w:rStyle w:val="Hyperlink"/>
          </w:rPr>
          <w:t>asset-management or asset-condition projects</w:t>
        </w:r>
      </w:hyperlink>
      <w:r w:rsidR="00113A15" w:rsidRPr="00925A44">
        <w:t xml:space="preserve"> </w:t>
      </w:r>
      <w:r w:rsidR="00113A15">
        <w:t xml:space="preserve">take place </w:t>
      </w:r>
      <w:r w:rsidR="00113A15" w:rsidRPr="00925A44">
        <w:t>throughout the New England transmission system</w:t>
      </w:r>
      <w:r w:rsidR="00113A15">
        <w:t xml:space="preserve"> and </w:t>
      </w:r>
      <w:r w:rsidR="00BD28CC">
        <w:t>spending by transmission owners to address these concerns continues to increase.</w:t>
      </w:r>
      <w:r w:rsidR="00BD28CC" w:rsidDel="00BD28CC">
        <w:t xml:space="preserve"> </w:t>
      </w:r>
      <w:r w:rsidR="00113A15">
        <w:t>Since the New England Asset-Condition Update List was created in 2016, $1.9 billion in asset</w:t>
      </w:r>
      <w:r w:rsidR="00456657">
        <w:t>-</w:t>
      </w:r>
      <w:r w:rsidR="00113A15">
        <w:t>condition projects have been placed in service</w:t>
      </w:r>
      <w:r w:rsidR="00BD28CC" w:rsidRPr="00BD28CC">
        <w:t>, with $551 million of those being placed in service in 2020</w:t>
      </w:r>
      <w:r w:rsidR="00113A15" w:rsidRPr="00BD28CC">
        <w:t>.</w:t>
      </w:r>
      <w:r w:rsidR="0038424A">
        <w:t xml:space="preserve"> </w:t>
      </w:r>
      <w:r w:rsidR="00611F19">
        <w:t xml:space="preserve">See </w:t>
      </w:r>
      <w:r w:rsidR="00F85E49">
        <w:fldChar w:fldCharType="begin"/>
      </w:r>
      <w:r w:rsidR="00F85E49">
        <w:instrText xml:space="preserve"> REF _Ref79561317 \h </w:instrText>
      </w:r>
      <w:r w:rsidR="00F85E49">
        <w:fldChar w:fldCharType="separate"/>
      </w:r>
      <w:r w:rsidR="00F85E49">
        <w:t xml:space="preserve">Figure </w:t>
      </w:r>
      <w:r w:rsidR="00F85E49">
        <w:rPr>
          <w:noProof/>
        </w:rPr>
        <w:t>5</w:t>
      </w:r>
      <w:r w:rsidR="00F85E49">
        <w:noBreakHyphen/>
      </w:r>
      <w:r w:rsidR="00F85E49">
        <w:rPr>
          <w:noProof/>
        </w:rPr>
        <w:t>2</w:t>
      </w:r>
      <w:r w:rsidR="00F85E49">
        <w:fldChar w:fldCharType="end"/>
      </w:r>
      <w:r w:rsidR="00611F19">
        <w:t>.</w:t>
      </w:r>
    </w:p>
    <w:p w:rsidR="0025338F" w:rsidRPr="0025338F" w:rsidRDefault="0025338F" w:rsidP="0025338F">
      <w:pPr>
        <w:keepNext/>
        <w:keepLines/>
        <w:spacing w:after="120" w:line="240" w:lineRule="auto"/>
        <w:ind w:right="270"/>
        <w:rPr>
          <w:rFonts w:eastAsia="Calibri"/>
        </w:rPr>
      </w:pPr>
      <w:r>
        <w:rPr>
          <w:rFonts w:eastAsia="Calibri"/>
        </w:rPr>
        <w:t>Transmission</w:t>
      </w:r>
      <w:r w:rsidR="00DC3790">
        <w:rPr>
          <w:rFonts w:eastAsia="Calibri"/>
        </w:rPr>
        <w:t>-</w:t>
      </w:r>
      <w:r>
        <w:rPr>
          <w:rFonts w:eastAsia="Calibri"/>
        </w:rPr>
        <w:t xml:space="preserve">service upgrade costs affect residential rates.  </w:t>
      </w:r>
      <w:r w:rsidRPr="00FB48B1">
        <w:rPr>
          <w:rFonts w:eastAsia="Calibri"/>
        </w:rPr>
        <w:t xml:space="preserve">According to the </w:t>
      </w:r>
      <w:hyperlink r:id="rId59" w:history="1">
        <w:r w:rsidRPr="00157D35">
          <w:rPr>
            <w:rStyle w:val="Hyperlink"/>
            <w:i/>
          </w:rPr>
          <w:t>2020 Report of the Consumer Liaison Group</w:t>
        </w:r>
      </w:hyperlink>
      <w:r w:rsidRPr="00FB48B1">
        <w:rPr>
          <w:rFonts w:eastAsia="Calibri"/>
        </w:rPr>
        <w:t xml:space="preserve">, from 2019 to 2020, </w:t>
      </w:r>
      <w:r>
        <w:rPr>
          <w:rFonts w:eastAsia="Calibri"/>
        </w:rPr>
        <w:t xml:space="preserve">a </w:t>
      </w:r>
      <w:r w:rsidRPr="00FB48B1">
        <w:rPr>
          <w:rFonts w:eastAsia="Calibri"/>
        </w:rPr>
        <w:t>review of actual transmission rates for residential retail consumers in Connecticut, Maine, Massachusetts, New Hampshire, and Rhode Island in effect on January 1, 2021 shows that transmission represents 11.5% to 23.7% of total residential retail electricity rates.</w:t>
      </w:r>
      <w:r>
        <w:rPr>
          <w:rFonts w:eastAsia="Calibri"/>
        </w:rPr>
        <w:t xml:space="preserve"> </w:t>
      </w:r>
    </w:p>
    <w:p w:rsidR="00776BA4" w:rsidRPr="00B72636" w:rsidRDefault="00776BA4" w:rsidP="00F44CAB">
      <w:pPr>
        <w:pStyle w:val="Heading2"/>
      </w:pPr>
      <w:bookmarkStart w:id="47" w:name="_Toc81544492"/>
      <w:r w:rsidRPr="00B72636">
        <w:t>ISO Studies and Results</w:t>
      </w:r>
      <w:r w:rsidR="009D1DB6" w:rsidRPr="00B72636">
        <w:t xml:space="preserve"> (</w:t>
      </w:r>
      <w:hyperlink w:anchor="_Resource_Adequacy—Resources,_Capaci" w:history="1">
        <w:r w:rsidR="00E711B4" w:rsidRPr="00E711B4">
          <w:rPr>
            <w:rStyle w:val="Hyperlink"/>
          </w:rPr>
          <w:t>Chapter</w:t>
        </w:r>
        <w:r w:rsidR="002D3087" w:rsidRPr="00E711B4">
          <w:rPr>
            <w:rStyle w:val="Hyperlink"/>
          </w:rPr>
          <w:t xml:space="preserve"> </w:t>
        </w:r>
        <w:r w:rsidR="009D1DB6" w:rsidRPr="00E711B4">
          <w:rPr>
            <w:rStyle w:val="Hyperlink"/>
          </w:rPr>
          <w:t>4</w:t>
        </w:r>
      </w:hyperlink>
      <w:r w:rsidR="009D1DB6" w:rsidRPr="00B72636">
        <w:t xml:space="preserve"> and</w:t>
      </w:r>
      <w:r w:rsidR="00E711B4">
        <w:t xml:space="preserve"> </w:t>
      </w:r>
      <w:hyperlink w:anchor="_Transmission_System_Performance" w:history="1">
        <w:r w:rsidR="00E711B4" w:rsidRPr="00E711B4">
          <w:rPr>
            <w:rStyle w:val="Hyperlink"/>
          </w:rPr>
          <w:t>Chapter</w:t>
        </w:r>
        <w:r w:rsidR="00412A2C" w:rsidRPr="00E711B4">
          <w:rPr>
            <w:rStyle w:val="Hyperlink"/>
          </w:rPr>
          <w:t> </w:t>
        </w:r>
        <w:r w:rsidR="009D1DB6" w:rsidRPr="00E711B4">
          <w:rPr>
            <w:rStyle w:val="Hyperlink"/>
          </w:rPr>
          <w:t>5</w:t>
        </w:r>
      </w:hyperlink>
      <w:r w:rsidR="009D1DB6" w:rsidRPr="00B72636">
        <w:t>)</w:t>
      </w:r>
      <w:bookmarkEnd w:id="47"/>
    </w:p>
    <w:p w:rsidR="00C97C49" w:rsidRDefault="00D37EB1" w:rsidP="00925A44">
      <w:hyperlink r:id="rId60" w:history="1">
        <w:r w:rsidR="00776BA4" w:rsidRPr="001419DB">
          <w:rPr>
            <w:rStyle w:val="Hyperlink"/>
          </w:rPr>
          <w:t>Economic studies</w:t>
        </w:r>
      </w:hyperlink>
      <w:r w:rsidR="00776BA4" w:rsidRPr="001B747C">
        <w:t xml:space="preserve"> provide a common framework for stakeholder discussions on issues facing the New England region</w:t>
      </w:r>
      <w:r w:rsidR="00CE7782">
        <w:t>,</w:t>
      </w:r>
      <w:r w:rsidR="00776BA4" w:rsidRPr="001B747C">
        <w:t xml:space="preserve"> </w:t>
      </w:r>
      <w:r w:rsidR="00CE7782">
        <w:t>including</w:t>
      </w:r>
      <w:r w:rsidR="00CE7782" w:rsidRPr="001B747C">
        <w:t xml:space="preserve"> </w:t>
      </w:r>
      <w:r w:rsidR="00776BA4" w:rsidRPr="001B747C">
        <w:t>the need for physical infrastructure</w:t>
      </w:r>
      <w:r w:rsidR="00720190">
        <w:rPr>
          <w:rStyle w:val="FootnoteReference"/>
        </w:rPr>
        <w:footnoteReference w:id="19"/>
      </w:r>
      <w:r w:rsidR="00776BA4" w:rsidRPr="001B747C">
        <w:t xml:space="preserve"> and improvements to the wholesale electricity markets. For example, economic studies inform policy</w:t>
      </w:r>
      <w:r w:rsidR="005C5D9A">
        <w:t>-</w:t>
      </w:r>
      <w:r w:rsidR="00776BA4" w:rsidRPr="001B747C">
        <w:t>makers of the potential benefits</w:t>
      </w:r>
      <w:r w:rsidR="00CE7782">
        <w:t xml:space="preserve"> and costs</w:t>
      </w:r>
      <w:r w:rsidR="00776BA4" w:rsidRPr="001B747C">
        <w:t xml:space="preserve"> of transmission expansion to support the delivery of wind energy. The ISO participates in many studies and has conducted several that have shown how the large-scale development of renewables in the region affects system </w:t>
      </w:r>
      <w:r w:rsidR="00976DB9">
        <w:t>operations and</w:t>
      </w:r>
      <w:r w:rsidR="00976DB9" w:rsidRPr="001B747C">
        <w:t xml:space="preserve"> </w:t>
      </w:r>
      <w:r w:rsidR="00776BA4" w:rsidRPr="001B747C">
        <w:t xml:space="preserve">performance. </w:t>
      </w:r>
    </w:p>
    <w:p w:rsidR="00C97C49" w:rsidRDefault="00C97C49" w:rsidP="00FA04B6">
      <w:pPr>
        <w:pStyle w:val="Heading4"/>
      </w:pPr>
      <w:r>
        <w:t>2019 Economic Studies</w:t>
      </w:r>
    </w:p>
    <w:p w:rsidR="00CD5143" w:rsidRDefault="00C53C99" w:rsidP="00C97C49">
      <w:r>
        <w:t xml:space="preserve">There were three economic study requests </w:t>
      </w:r>
      <w:r w:rsidR="00D52CF6">
        <w:t>undertaken</w:t>
      </w:r>
      <w:r w:rsidR="006E0ABA">
        <w:t xml:space="preserve"> </w:t>
      </w:r>
      <w:r>
        <w:t xml:space="preserve">in 2019. </w:t>
      </w:r>
      <w:r w:rsidR="00CD5143">
        <w:t>Two of the three 2019 economic study requests considered the economic and transmission impacts of offshore wind integration</w:t>
      </w:r>
      <w:r>
        <w:t xml:space="preserve"> in southern New England</w:t>
      </w:r>
      <w:r w:rsidR="00CD5143">
        <w:t xml:space="preserve">. The third </w:t>
      </w:r>
      <w:r>
        <w:t>explored an increase in</w:t>
      </w:r>
      <w:r w:rsidRPr="003B2E40">
        <w:t xml:space="preserve"> </w:t>
      </w:r>
      <w:r>
        <w:t>o</w:t>
      </w:r>
      <w:r w:rsidRPr="003B2E40">
        <w:t xml:space="preserve">perating </w:t>
      </w:r>
      <w:r>
        <w:t>l</w:t>
      </w:r>
      <w:r w:rsidRPr="003B2E40">
        <w:t xml:space="preserve">imits of the Orrington-South </w:t>
      </w:r>
      <w:r>
        <w:t>i</w:t>
      </w:r>
      <w:r w:rsidRPr="003B2E40">
        <w:t>nterface</w:t>
      </w:r>
      <w:r>
        <w:t xml:space="preserve"> in Maine.</w:t>
      </w:r>
    </w:p>
    <w:p w:rsidR="00C97C49" w:rsidRDefault="00C97C49" w:rsidP="00C97C49">
      <w:r>
        <w:t xml:space="preserve">The </w:t>
      </w:r>
      <w:r w:rsidR="00BA6E6B">
        <w:t>New England States Committee on Electricity (</w:t>
      </w:r>
      <w:r w:rsidR="00CD5143">
        <w:t>NESCOE</w:t>
      </w:r>
      <w:r w:rsidR="00BA6E6B">
        <w:t>)</w:t>
      </w:r>
      <w:r w:rsidR="00CD5143">
        <w:t xml:space="preserve"> 2019 </w:t>
      </w:r>
      <w:r w:rsidR="00B453E7">
        <w:t>E</w:t>
      </w:r>
      <w:r w:rsidR="00CD5143">
        <w:t xml:space="preserve">conomic </w:t>
      </w:r>
      <w:r w:rsidR="00B453E7">
        <w:t>S</w:t>
      </w:r>
      <w:r>
        <w:t xml:space="preserve">tudy examined transmission system and wholesale market impacts </w:t>
      </w:r>
      <w:r w:rsidRPr="00CB0202">
        <w:t>associated with the increasing penetration of offshore wind resources. The study</w:t>
      </w:r>
      <w:r>
        <w:t xml:space="preserve"> included offshore wind projects under development at the time of the NESCOE request, including Vineyard Wind (800 </w:t>
      </w:r>
      <w:r w:rsidR="00837B42">
        <w:t>m</w:t>
      </w:r>
      <w:r w:rsidR="00BA6E6B">
        <w:t>egawatts [</w:t>
      </w:r>
      <w:r w:rsidRPr="0077467D">
        <w:t>MW</w:t>
      </w:r>
      <w:r w:rsidR="00BA6E6B">
        <w:t>]</w:t>
      </w:r>
      <w:r>
        <w:t>) and Revolution Wind (200 MW), and considered an additional 7,000 MW of offshore wind strategically placed in southern New England.</w:t>
      </w:r>
      <w:r w:rsidRPr="00576B9F">
        <w:t xml:space="preserve"> </w:t>
      </w:r>
      <w:r>
        <w:t xml:space="preserve">This study also provided alternatives for </w:t>
      </w:r>
      <w:r w:rsidRPr="009235B9">
        <w:t>transmission system expansion</w:t>
      </w:r>
      <w:r>
        <w:t xml:space="preserve"> </w:t>
      </w:r>
      <w:r w:rsidRPr="009235B9">
        <w:t>for specific offsho</w:t>
      </w:r>
      <w:r>
        <w:t xml:space="preserve">re wind interconnection points, </w:t>
      </w:r>
      <w:r w:rsidRPr="009235B9">
        <w:t xml:space="preserve">but </w:t>
      </w:r>
      <w:r>
        <w:t xml:space="preserve">it </w:t>
      </w:r>
      <w:r w:rsidRPr="009235B9">
        <w:t>do</w:t>
      </w:r>
      <w:r>
        <w:t>es</w:t>
      </w:r>
      <w:r w:rsidRPr="009235B9">
        <w:t xml:space="preserve"> not include detailed plans </w:t>
      </w:r>
      <w:r w:rsidR="00D52CF6">
        <w:t xml:space="preserve">or costs </w:t>
      </w:r>
      <w:r w:rsidRPr="009235B9">
        <w:t>associated with any of the scenarios</w:t>
      </w:r>
      <w:r>
        <w:t xml:space="preserve"> examined</w:t>
      </w:r>
      <w:r w:rsidRPr="00C74B0B">
        <w:t>.</w:t>
      </w:r>
    </w:p>
    <w:p w:rsidR="00C97C49" w:rsidRDefault="00C97C49">
      <w:r w:rsidRPr="00053241">
        <w:t xml:space="preserve">Results </w:t>
      </w:r>
      <w:r>
        <w:t>of the production</w:t>
      </w:r>
      <w:r w:rsidR="00456C39">
        <w:t>-</w:t>
      </w:r>
      <w:r>
        <w:t xml:space="preserve">cost analyses </w:t>
      </w:r>
      <w:r w:rsidRPr="00053241">
        <w:t>indicate that</w:t>
      </w:r>
      <w:r w:rsidRPr="007039B2">
        <w:t>, for judiciously chosen interconnection points and configurations, high levels of offshore wind in southern New England do not cause significant transmission-interface congestio</w:t>
      </w:r>
      <w:r w:rsidRPr="00EC74FC">
        <w:t>n.</w:t>
      </w:r>
      <w:r w:rsidR="00554F3C">
        <w:rPr>
          <w:rStyle w:val="FootnoteReference"/>
        </w:rPr>
        <w:footnoteReference w:id="20"/>
      </w:r>
      <w:r w:rsidRPr="00EC74FC">
        <w:t xml:space="preserve"> </w:t>
      </w:r>
      <w:r w:rsidRPr="002910BA">
        <w:t xml:space="preserve">When 6,000 MW or less of offshore wind </w:t>
      </w:r>
      <w:r w:rsidR="00D4150E">
        <w:t>are</w:t>
      </w:r>
      <w:r>
        <w:t xml:space="preserve"> added to southern New England, less than 2% of renewable energy is spilled. T</w:t>
      </w:r>
      <w:r w:rsidRPr="002910BA">
        <w:t xml:space="preserve">he curtailment of offshore wind resources attributed to oversupply (i.e., spillage) occurs when loads are low, not from transmission congestion. </w:t>
      </w:r>
      <w:r w:rsidRPr="00053241">
        <w:t>O</w:t>
      </w:r>
      <w:r w:rsidRPr="00D24022">
        <w:t xml:space="preserve">ffshore wind depresses </w:t>
      </w:r>
      <w:r>
        <w:t xml:space="preserve">the </w:t>
      </w:r>
      <w:r w:rsidRPr="00576B9F">
        <w:t xml:space="preserve">use of </w:t>
      </w:r>
      <w:r>
        <w:t xml:space="preserve">traditional generating resources </w:t>
      </w:r>
      <w:r w:rsidRPr="00576B9F">
        <w:t>and imports</w:t>
      </w:r>
      <w:r w:rsidRPr="00D24022">
        <w:t xml:space="preserve">, and emissions decrease for the New England </w:t>
      </w:r>
      <w:r w:rsidR="00D52CF6">
        <w:t>balancing authority</w:t>
      </w:r>
      <w:r w:rsidR="00D52CF6" w:rsidRPr="00D24022">
        <w:t xml:space="preserve"> </w:t>
      </w:r>
      <w:r w:rsidRPr="00D24022">
        <w:t xml:space="preserve">area. </w:t>
      </w:r>
    </w:p>
    <w:p w:rsidR="006840DB" w:rsidRDefault="006840DB">
      <w:r>
        <w:t xml:space="preserve">Another important finding of this study was that, based on the expected transmission topology for the 2030 study year, approximately 5,800 MW of new offshore wind has the potential to be interconnected in southern New England without needing major additional 345 </w:t>
      </w:r>
      <w:r w:rsidR="0070196E">
        <w:t>k</w:t>
      </w:r>
      <w:r w:rsidR="00BA6E6B">
        <w:t>ilovolt (</w:t>
      </w:r>
      <w:r>
        <w:t>kV</w:t>
      </w:r>
      <w:r w:rsidR="00BA6E6B">
        <w:t>)</w:t>
      </w:r>
      <w:r>
        <w:t xml:space="preserve"> reinforcements. Adding additional offshore wind (above the base scenario of 5,800 MW) would require significant transmission reinforcements that may be difficult to site and expensive to build. However, the study also explore</w:t>
      </w:r>
      <w:r w:rsidRPr="00F82BC4">
        <w:t>d options to interconnect offshore wind to the Mystic and K Street substations in Boston</w:t>
      </w:r>
      <w:r>
        <w:t>. The ISO determined that the use of</w:t>
      </w:r>
      <w:r w:rsidR="00BA6E6B">
        <w:t xml:space="preserve"> </w:t>
      </w:r>
      <w:r w:rsidR="0070196E">
        <w:t>h</w:t>
      </w:r>
      <w:r w:rsidR="00BA6E6B">
        <w:t>igh</w:t>
      </w:r>
      <w:r w:rsidR="0070196E">
        <w:t>-v</w:t>
      </w:r>
      <w:r w:rsidR="00BA6E6B">
        <w:t xml:space="preserve">oltage </w:t>
      </w:r>
      <w:r w:rsidR="0070196E">
        <w:t>d</w:t>
      </w:r>
      <w:r w:rsidR="009D073E">
        <w:t>i</w:t>
      </w:r>
      <w:r w:rsidR="00BA6E6B">
        <w:t xml:space="preserve">rect </w:t>
      </w:r>
      <w:r w:rsidR="0070196E">
        <w:t>c</w:t>
      </w:r>
      <w:r w:rsidR="00BA6E6B">
        <w:t>urrent</w:t>
      </w:r>
      <w:r>
        <w:t xml:space="preserve"> </w:t>
      </w:r>
      <w:r w:rsidR="00BA6E6B">
        <w:t>(</w:t>
      </w:r>
      <w:r>
        <w:t>HVDC</w:t>
      </w:r>
      <w:r w:rsidR="00BA6E6B">
        <w:t>)</w:t>
      </w:r>
      <w:r>
        <w:t xml:space="preserve"> connections into Boston could avoid significant onshore transmission upgrades, and an additional 2,2</w:t>
      </w:r>
      <w:r w:rsidRPr="00566F24">
        <w:t>00 MW could be interconnected to key areas in the region.</w:t>
      </w:r>
    </w:p>
    <w:p w:rsidR="00C97C49" w:rsidRDefault="00C97C49" w:rsidP="00C97C49">
      <w:r w:rsidRPr="0070196E">
        <w:t>The</w:t>
      </w:r>
      <w:r w:rsidRPr="00FF45B8">
        <w:rPr>
          <w:i/>
        </w:rPr>
        <w:t xml:space="preserve"> </w:t>
      </w:r>
      <w:r w:rsidRPr="001419DB">
        <w:t>2019 Anbaric Economic Study</w:t>
      </w:r>
      <w:r w:rsidRPr="00FF45B8">
        <w:rPr>
          <w:i/>
        </w:rPr>
        <w:t xml:space="preserve"> </w:t>
      </w:r>
      <w:r w:rsidRPr="00566F24">
        <w:t>request</w:t>
      </w:r>
      <w:r>
        <w:t xml:space="preserve"> was for</w:t>
      </w:r>
      <w:r w:rsidRPr="00566F24">
        <w:t xml:space="preserve"> the ISO to study the impacts on energy</w:t>
      </w:r>
      <w:r w:rsidR="00456C39">
        <w:t>-</w:t>
      </w:r>
      <w:r w:rsidRPr="00566F24">
        <w:t>market prices</w:t>
      </w:r>
      <w:r>
        <w:t xml:space="preserve"> (i.e., production</w:t>
      </w:r>
      <w:r w:rsidR="00456C39">
        <w:t>-</w:t>
      </w:r>
      <w:r>
        <w:t xml:space="preserve">cost analysis), </w:t>
      </w:r>
      <w:r w:rsidRPr="00566F24">
        <w:t>air emissions</w:t>
      </w:r>
      <w:r>
        <w:t xml:space="preserve">, and </w:t>
      </w:r>
      <w:r w:rsidRPr="00CC32DA">
        <w:t>regional fuel security</w:t>
      </w:r>
      <w:r w:rsidRPr="00566F24">
        <w:t xml:space="preserve"> when the system experiences</w:t>
      </w:r>
      <w:r w:rsidRPr="00D61DF6">
        <w:t xml:space="preserve"> </w:t>
      </w:r>
      <w:r w:rsidRPr="00C91645">
        <w:t xml:space="preserve">large penetrations of offshore wind resources. </w:t>
      </w:r>
      <w:r w:rsidRPr="007644EB">
        <w:t>The study included offshore wind projects under development and under contract at the time of the Anbaric request</w:t>
      </w:r>
      <w:r w:rsidR="00CE7782">
        <w:t>.</w:t>
      </w:r>
      <w:r w:rsidRPr="007644EB">
        <w:t xml:space="preserve"> </w:t>
      </w:r>
      <w:r w:rsidR="00CE7782">
        <w:t xml:space="preserve">It </w:t>
      </w:r>
      <w:r w:rsidR="00CE7782" w:rsidRPr="007644EB">
        <w:t>consider</w:t>
      </w:r>
      <w:r w:rsidR="00CE7782">
        <w:t>ed</w:t>
      </w:r>
      <w:r w:rsidR="00CE7782" w:rsidRPr="007644EB">
        <w:t xml:space="preserve"> </w:t>
      </w:r>
      <w:r w:rsidRPr="007644EB">
        <w:t xml:space="preserve">cases with 8,000 </w:t>
      </w:r>
      <w:r w:rsidRPr="0077467D">
        <w:t>MW</w:t>
      </w:r>
      <w:r w:rsidRPr="00C91645">
        <w:t>, 10,000 MW, and 12,000</w:t>
      </w:r>
      <w:r w:rsidR="00456C39">
        <w:t> </w:t>
      </w:r>
      <w:r w:rsidRPr="00C91645">
        <w:t xml:space="preserve">MW of offshore wind strategically placed </w:t>
      </w:r>
      <w:r w:rsidRPr="007644EB">
        <w:t>in southern New England</w:t>
      </w:r>
      <w:r w:rsidR="00C91645" w:rsidRPr="00534D54">
        <w:t>,</w:t>
      </w:r>
      <w:r w:rsidRPr="00C91645">
        <w:t xml:space="preserve"> as well as interconnected from an offshore collection substation directly to the Mystic substation in Boston. </w:t>
      </w:r>
    </w:p>
    <w:p w:rsidR="00C97C49" w:rsidRDefault="00C97C49" w:rsidP="00C97C49">
      <w:r w:rsidRPr="001419DB">
        <w:t xml:space="preserve">The 2019 Anbaric Economic Study </w:t>
      </w:r>
      <w:r w:rsidR="003130F0">
        <w:t xml:space="preserve">was </w:t>
      </w:r>
      <w:r w:rsidR="00CE7782" w:rsidRPr="001419DB">
        <w:t>built on</w:t>
      </w:r>
      <w:r w:rsidRPr="001419DB">
        <w:t xml:space="preserve"> the </w:t>
      </w:r>
      <w:r w:rsidR="0070196E" w:rsidRPr="001419DB">
        <w:t>New England States Committee on Electricity</w:t>
      </w:r>
      <w:r w:rsidRPr="001419DB">
        <w:t xml:space="preserve"> 2019 Economic Study and base</w:t>
      </w:r>
      <w:r w:rsidR="00456C39" w:rsidRPr="001419DB">
        <w:t>-</w:t>
      </w:r>
      <w:r w:rsidRPr="001419DB">
        <w:t>case assumptions but added nearly 4,500</w:t>
      </w:r>
      <w:r w:rsidR="007644EB" w:rsidRPr="001419DB">
        <w:t> </w:t>
      </w:r>
      <w:r w:rsidRPr="001419DB">
        <w:t>MW of generator retirements and 2,000 MW of</w:t>
      </w:r>
      <w:r w:rsidRPr="00DD60C7">
        <w:t xml:space="preserve"> </w:t>
      </w:r>
      <w:r w:rsidR="004C117C">
        <w:t>four</w:t>
      </w:r>
      <w:r w:rsidRPr="004C117C">
        <w:t>-hour</w:t>
      </w:r>
      <w:r w:rsidRPr="00DD60C7">
        <w:t xml:space="preserve"> battery storage (8,000</w:t>
      </w:r>
      <w:r w:rsidR="0070196E">
        <w:t xml:space="preserve"> megawatt hours</w:t>
      </w:r>
      <w:r w:rsidR="008C7619">
        <w:t> </w:t>
      </w:r>
      <w:r w:rsidR="0070196E">
        <w:t>(</w:t>
      </w:r>
      <w:r w:rsidRPr="0077467D">
        <w:t>MWh</w:t>
      </w:r>
      <w:r w:rsidR="0070196E">
        <w:t>)</w:t>
      </w:r>
      <w:r w:rsidRPr="00DD60C7">
        <w:t xml:space="preserve">). </w:t>
      </w:r>
      <w:r w:rsidR="0098794F" w:rsidRPr="00D4150E">
        <w:t xml:space="preserve">Results </w:t>
      </w:r>
      <w:r w:rsidR="00CE7782">
        <w:t>showed</w:t>
      </w:r>
      <w:r w:rsidR="00CE7782" w:rsidRPr="00D4150E">
        <w:t xml:space="preserve"> </w:t>
      </w:r>
      <w:r w:rsidR="0098794F" w:rsidRPr="00D4150E">
        <w:t>that</w:t>
      </w:r>
      <w:r w:rsidR="00B453E7">
        <w:t xml:space="preserve"> </w:t>
      </w:r>
      <w:r w:rsidR="0098794F">
        <w:t>a</w:t>
      </w:r>
      <w:r w:rsidRPr="00ED4323">
        <w:t>s more offshore wind is interconnected</w:t>
      </w:r>
      <w:r>
        <w:t xml:space="preserve"> into </w:t>
      </w:r>
      <w:r w:rsidR="00C379DA">
        <w:t>S</w:t>
      </w:r>
      <w:r>
        <w:t>outheastern Massachusetts</w:t>
      </w:r>
      <w:r w:rsidR="00DF662D">
        <w:t xml:space="preserve"> (SEMA)</w:t>
      </w:r>
      <w:r w:rsidRPr="00ED4323">
        <w:t xml:space="preserve">, the amount of spillage increases </w:t>
      </w:r>
      <w:r w:rsidRPr="00461B5D">
        <w:t xml:space="preserve">due to </w:t>
      </w:r>
      <w:r w:rsidRPr="00A03398">
        <w:t xml:space="preserve">oversupply (i.e., supply exceeding </w:t>
      </w:r>
      <w:r w:rsidR="00DF76FE" w:rsidRPr="00A03398">
        <w:t xml:space="preserve">system demand) ignoring the current transmission system’s lack of adequate capabilities to move all that power out of the area. </w:t>
      </w:r>
      <w:r w:rsidRPr="00A03398">
        <w:t xml:space="preserve"> The retirement of large baseload must-run (e.g., </w:t>
      </w:r>
      <w:r w:rsidRPr="00ED4323">
        <w:t xml:space="preserve">nuclear) generation </w:t>
      </w:r>
      <w:r w:rsidR="00367EEB">
        <w:t>c</w:t>
      </w:r>
      <w:r w:rsidRPr="00ED4323">
        <w:t xml:space="preserve">ould lower spillage associated with </w:t>
      </w:r>
      <w:r w:rsidR="00367EEB">
        <w:t xml:space="preserve">such </w:t>
      </w:r>
      <w:r w:rsidRPr="00ED4323">
        <w:t>over</w:t>
      </w:r>
      <w:r>
        <w:t>supply</w:t>
      </w:r>
      <w:r w:rsidRPr="00CC0F68">
        <w:t xml:space="preserve">. </w:t>
      </w:r>
      <w:r w:rsidRPr="0035083F">
        <w:t>A</w:t>
      </w:r>
      <w:r w:rsidRPr="00E45FAD">
        <w:t xml:space="preserve">s </w:t>
      </w:r>
      <w:r w:rsidRPr="00352DC9">
        <w:t xml:space="preserve">observed in the </w:t>
      </w:r>
      <w:r w:rsidRPr="004C117C">
        <w:t>10000</w:t>
      </w:r>
      <w:r w:rsidRPr="00352DC9">
        <w:t xml:space="preserve">_Sen </w:t>
      </w:r>
      <w:r w:rsidRPr="004B6D43">
        <w:t>s</w:t>
      </w:r>
      <w:r w:rsidRPr="00931114">
        <w:t>cena</w:t>
      </w:r>
      <w:r w:rsidRPr="00E45FAD">
        <w:t>rio</w:t>
      </w:r>
      <w:r w:rsidR="00D52CF6">
        <w:t xml:space="preserve"> (10,000 MW case)</w:t>
      </w:r>
      <w:r w:rsidRPr="00E45FAD">
        <w:t xml:space="preserve">, </w:t>
      </w:r>
      <w:r>
        <w:t xml:space="preserve">the </w:t>
      </w:r>
      <w:r w:rsidRPr="00E45FAD">
        <w:t xml:space="preserve">increased electrification </w:t>
      </w:r>
      <w:r w:rsidR="008A4537">
        <w:t>of heating and transportation sectors</w:t>
      </w:r>
      <w:r w:rsidR="008A4537" w:rsidRPr="00E45FAD">
        <w:t xml:space="preserve"> </w:t>
      </w:r>
      <w:r w:rsidRPr="00E45FAD">
        <w:t>and installation of more storage in areas with a large amount of offshore wind development (e.g.</w:t>
      </w:r>
      <w:r w:rsidR="007644EB">
        <w:t>,</w:t>
      </w:r>
      <w:r w:rsidRPr="00E45FAD">
        <w:t xml:space="preserve"> SEMA, </w:t>
      </w:r>
      <w:r w:rsidR="0070196E">
        <w:t>Rhode Island (RI)</w:t>
      </w:r>
      <w:r w:rsidRPr="00E45FAD">
        <w:t>, and Boston) wou</w:t>
      </w:r>
      <w:r w:rsidRPr="00ED4323">
        <w:t xml:space="preserve">ld reduce congestion of the SEMA/RI export interface </w:t>
      </w:r>
      <w:r w:rsidRPr="00604D72">
        <w:t>compared with installing storage resources elsewhere.</w:t>
      </w:r>
    </w:p>
    <w:p w:rsidR="00C97C49" w:rsidRDefault="00C97C49" w:rsidP="001C22EF">
      <w:r w:rsidRPr="006E4D8D">
        <w:t xml:space="preserve">RENEW’s </w:t>
      </w:r>
      <w:r w:rsidR="000D4A97" w:rsidRPr="006E4D8D">
        <w:t>Northeast</w:t>
      </w:r>
      <w:r w:rsidR="000D4A97" w:rsidRPr="00B71CDE">
        <w:rPr>
          <w:b/>
        </w:rPr>
        <w:t xml:space="preserve"> </w:t>
      </w:r>
      <w:r w:rsidR="00307058">
        <w:t>E</w:t>
      </w:r>
      <w:r>
        <w:t xml:space="preserve">conomic </w:t>
      </w:r>
      <w:r w:rsidR="00307058">
        <w:t>S</w:t>
      </w:r>
      <w:r>
        <w:t>tudy request focused on the i</w:t>
      </w:r>
      <w:r w:rsidRPr="003B2E40">
        <w:t xml:space="preserve">mpacts of </w:t>
      </w:r>
      <w:r>
        <w:t>i</w:t>
      </w:r>
      <w:r w:rsidRPr="003B2E40">
        <w:t>ncreas</w:t>
      </w:r>
      <w:r>
        <w:t>ing the</w:t>
      </w:r>
      <w:r w:rsidRPr="003B2E40">
        <w:t xml:space="preserve"> </w:t>
      </w:r>
      <w:r>
        <w:t>o</w:t>
      </w:r>
      <w:r w:rsidRPr="003B2E40">
        <w:t xml:space="preserve">perating </w:t>
      </w:r>
      <w:r>
        <w:t>l</w:t>
      </w:r>
      <w:r w:rsidRPr="003B2E40">
        <w:t xml:space="preserve">imits of the Orrington-South </w:t>
      </w:r>
      <w:r>
        <w:t>i</w:t>
      </w:r>
      <w:r w:rsidRPr="003B2E40">
        <w:t>nterface</w:t>
      </w:r>
      <w:r>
        <w:t xml:space="preserve"> in Maine. The ISO’s planning level operating limit is 1,325 </w:t>
      </w:r>
      <w:r w:rsidR="00C22C83">
        <w:t>MW</w:t>
      </w:r>
      <w:r w:rsidR="00B71CDE">
        <w:t>. T</w:t>
      </w:r>
      <w:r>
        <w:t xml:space="preserve">he real-time hourly operating limit </w:t>
      </w:r>
      <w:r w:rsidR="00B71CDE" w:rsidRPr="00DB3A74">
        <w:rPr>
          <w:rFonts w:eastAsia="Times New Roman"/>
          <w:szCs w:val="24"/>
        </w:rPr>
        <w:t>varies with the status of generation and transmission facilities being in or out of service</w:t>
      </w:r>
      <w:r w:rsidR="00B71CDE">
        <w:rPr>
          <w:rFonts w:eastAsia="Times New Roman"/>
          <w:szCs w:val="24"/>
        </w:rPr>
        <w:t>, and</w:t>
      </w:r>
      <w:r w:rsidR="00B71CDE">
        <w:t xml:space="preserve"> </w:t>
      </w:r>
      <w:r>
        <w:t xml:space="preserve">cannot exceed this planning limit. </w:t>
      </w:r>
      <w:r w:rsidR="000759FF">
        <w:t xml:space="preserve">The </w:t>
      </w:r>
      <w:r>
        <w:t>study examined this interface’s monthly operating l</w:t>
      </w:r>
      <w:r w:rsidRPr="00AD15AE">
        <w:t xml:space="preserve">imits </w:t>
      </w:r>
      <w:r>
        <w:t xml:space="preserve">under </w:t>
      </w:r>
      <w:r w:rsidR="00B71CDE">
        <w:t xml:space="preserve">two </w:t>
      </w:r>
      <w:r>
        <w:t>different scenarios</w:t>
      </w:r>
      <w:r w:rsidR="00B71CDE">
        <w:t xml:space="preserve"> </w:t>
      </w:r>
      <w:r w:rsidR="00B71CDE">
        <w:rPr>
          <w:rFonts w:eastAsia="Calibri"/>
        </w:rPr>
        <w:t>compared to the status quo</w:t>
      </w:r>
      <w:r w:rsidR="000759FF">
        <w:t>,</w:t>
      </w:r>
      <w:r>
        <w:t xml:space="preserve"> with various transmission buildout</w:t>
      </w:r>
      <w:r w:rsidR="000759FF">
        <w:t>s</w:t>
      </w:r>
      <w:r>
        <w:t xml:space="preserve"> that increased these operating limits. </w:t>
      </w:r>
    </w:p>
    <w:p w:rsidR="00C97C49" w:rsidRDefault="00C97C49" w:rsidP="00C97C49">
      <w:r w:rsidRPr="004318BF">
        <w:t xml:space="preserve">As expected, congestion of the Orrington-South interface decreased with the transmission buildout, specifically when adding the Cooper Mills </w:t>
      </w:r>
      <w:r w:rsidR="00DF662D">
        <w:t>S</w:t>
      </w:r>
      <w:r w:rsidRPr="004318BF">
        <w:t xml:space="preserve">tatic </w:t>
      </w:r>
      <w:r w:rsidR="00DF662D">
        <w:t>S</w:t>
      </w:r>
      <w:r w:rsidRPr="004318BF">
        <w:t xml:space="preserve">ynchronous </w:t>
      </w:r>
      <w:r w:rsidR="00DF662D">
        <w:t>C</w:t>
      </w:r>
      <w:r w:rsidRPr="004318BF">
        <w:t>ompensator (STATCOM) and a new 345 </w:t>
      </w:r>
      <w:r w:rsidR="00C22C83">
        <w:t>kV</w:t>
      </w:r>
      <w:r w:rsidRPr="004318BF">
        <w:t xml:space="preserve"> transmission path from the Orrington substation to the Maine Yankee station. </w:t>
      </w:r>
      <w:r w:rsidRPr="00CC6422">
        <w:t>Production</w:t>
      </w:r>
      <w:r w:rsidR="00456C39">
        <w:t>-</w:t>
      </w:r>
      <w:r w:rsidRPr="00CC6422">
        <w:t xml:space="preserve">cost savings were shown to be </w:t>
      </w:r>
      <w:r w:rsidR="00057AEF">
        <w:t>in the range of</w:t>
      </w:r>
      <w:r w:rsidRPr="00CC6422">
        <w:t xml:space="preserve"> $4 and $8 million per year in the constrained case and $5 and $9 million </w:t>
      </w:r>
      <w:r w:rsidR="00B71CDE">
        <w:t xml:space="preserve">in cases where constraints south of Orrington were relaxed. </w:t>
      </w:r>
      <w:r w:rsidRPr="00647EB4">
        <w:br/>
      </w:r>
      <w:r w:rsidRPr="00647EB4">
        <w:br/>
      </w:r>
      <w:r>
        <w:t>As part of its request, RENEW asked the ISO to identify as a possible</w:t>
      </w:r>
      <w:r w:rsidR="002D3087">
        <w:t xml:space="preserve"> </w:t>
      </w:r>
      <w:r w:rsidR="00DF662D">
        <w:t>Market Efficiency Transmission Upgrade (</w:t>
      </w:r>
      <w:r w:rsidR="002D3087">
        <w:t>METU</w:t>
      </w:r>
      <w:r w:rsidR="00DF662D">
        <w:t>)</w:t>
      </w:r>
      <w:r>
        <w:t xml:space="preserve"> any upgrade from the scenarios that showed expected production cost savings exceeding the expected cost of that upgrade.</w:t>
      </w:r>
      <w:r w:rsidR="000759FF">
        <w:rPr>
          <w:rStyle w:val="FootnoteReference"/>
        </w:rPr>
        <w:footnoteReference w:id="21"/>
      </w:r>
      <w:r w:rsidRPr="005F66CD">
        <w:t xml:space="preserve"> </w:t>
      </w:r>
      <w:r>
        <w:t>Results showed that the reduction in production costs estimated in this study is not large enough to merit investigation of a METU.</w:t>
      </w:r>
    </w:p>
    <w:p w:rsidR="00C53C99" w:rsidRDefault="00C53C99" w:rsidP="00FA04B6">
      <w:pPr>
        <w:pStyle w:val="Heading4"/>
      </w:pPr>
      <w:r>
        <w:t>2020 Economic Study</w:t>
      </w:r>
    </w:p>
    <w:p w:rsidR="000B2882" w:rsidRDefault="005379C1" w:rsidP="000B2882">
      <w:r w:rsidRPr="00307058">
        <w:t>The</w:t>
      </w:r>
      <w:r w:rsidR="00D83407" w:rsidRPr="00307058">
        <w:t xml:space="preserve"> </w:t>
      </w:r>
      <w:r w:rsidR="006B3194">
        <w:t xml:space="preserve">2020 </w:t>
      </w:r>
      <w:r w:rsidR="004145F4" w:rsidRPr="00D4150E">
        <w:t>National Grid</w:t>
      </w:r>
      <w:r w:rsidR="00D83407" w:rsidRPr="00D4150E">
        <w:t xml:space="preserve"> </w:t>
      </w:r>
      <w:r w:rsidR="00F75C7C" w:rsidRPr="00D4150E">
        <w:t>E</w:t>
      </w:r>
      <w:r w:rsidR="00D83407" w:rsidRPr="00B453E7">
        <w:t xml:space="preserve">conomic </w:t>
      </w:r>
      <w:r w:rsidR="00F75C7C" w:rsidRPr="00B453E7">
        <w:t>S</w:t>
      </w:r>
      <w:r w:rsidR="00D83407" w:rsidRPr="00307058">
        <w:t>tudy</w:t>
      </w:r>
      <w:r w:rsidR="00D83407" w:rsidRPr="00D4150E">
        <w:t xml:space="preserve"> </w:t>
      </w:r>
      <w:r w:rsidR="004145F4" w:rsidRPr="00D4150E">
        <w:t xml:space="preserve">considered </w:t>
      </w:r>
      <w:r w:rsidR="000759FF">
        <w:t>how to</w:t>
      </w:r>
      <w:r w:rsidR="004145F4" w:rsidRPr="00D4150E">
        <w:t xml:space="preserve"> best use the </w:t>
      </w:r>
      <w:r w:rsidR="004145F4" w:rsidRPr="00F4316B">
        <w:t>clean energy resources</w:t>
      </w:r>
      <w:r w:rsidR="000759FF">
        <w:t xml:space="preserve"> being installed</w:t>
      </w:r>
      <w:r w:rsidR="004145F4" w:rsidRPr="00F4316B">
        <w:t xml:space="preserve"> to meet state emissions goals, leveraging transmission and/or storage as needed</w:t>
      </w:r>
      <w:r w:rsidR="004145F4">
        <w:t xml:space="preserve">. The study year was 2035 and utilized many of the assumptions from the 2019 </w:t>
      </w:r>
      <w:r w:rsidR="006B3194">
        <w:t>New England States Committee on Electricity (</w:t>
      </w:r>
      <w:r w:rsidR="004145F4">
        <w:t>NESCOE</w:t>
      </w:r>
      <w:r w:rsidR="006B3194">
        <w:t>)</w:t>
      </w:r>
      <w:r w:rsidR="004145F4">
        <w:t xml:space="preserve"> </w:t>
      </w:r>
      <w:r w:rsidR="00F75C7C">
        <w:t>E</w:t>
      </w:r>
      <w:r w:rsidR="004145F4">
        <w:t xml:space="preserve">conomic </w:t>
      </w:r>
      <w:r w:rsidR="00F75C7C">
        <w:t>S</w:t>
      </w:r>
      <w:r w:rsidR="004145F4">
        <w:t xml:space="preserve">tudy. </w:t>
      </w:r>
      <w:r w:rsidR="00554D47">
        <w:t xml:space="preserve">The study examined </w:t>
      </w:r>
      <w:r w:rsidR="004145F4">
        <w:t xml:space="preserve">times of </w:t>
      </w:r>
      <w:r w:rsidR="00FC163D">
        <w:t>New England renewable resource oversupply</w:t>
      </w:r>
      <w:r w:rsidR="00554D47">
        <w:t>. To avoid spillage, the</w:t>
      </w:r>
      <w:r w:rsidR="004145F4">
        <w:t xml:space="preserve"> b</w:t>
      </w:r>
      <w:r w:rsidR="004145F4" w:rsidRPr="004145F4">
        <w:t xml:space="preserve">i-directional model reversed flows </w:t>
      </w:r>
      <w:r>
        <w:t xml:space="preserve">from New England </w:t>
      </w:r>
      <w:r w:rsidR="004145F4" w:rsidRPr="004145F4">
        <w:t xml:space="preserve">into </w:t>
      </w:r>
      <w:r>
        <w:t>Hydro Quebec (HQ)</w:t>
      </w:r>
      <w:r w:rsidR="004145F4" w:rsidRPr="004145F4">
        <w:t xml:space="preserve"> on existing ties</w:t>
      </w:r>
      <w:r w:rsidR="00554D47">
        <w:t xml:space="preserve">. </w:t>
      </w:r>
      <w:r w:rsidR="00FC163D">
        <w:t xml:space="preserve">When the New England region was in need of energy, HQ would return the energy previously banked to meet demand. </w:t>
      </w:r>
      <w:r w:rsidR="00554D47">
        <w:t xml:space="preserve">This was the first economic study to use the </w:t>
      </w:r>
      <w:r w:rsidR="004145F4">
        <w:t>“energy-banking”</w:t>
      </w:r>
      <w:r w:rsidR="00554D47">
        <w:t xml:space="preserve"> concept</w:t>
      </w:r>
      <w:r w:rsidR="00FC163D">
        <w:t xml:space="preserve"> and bi-directional tie lines</w:t>
      </w:r>
      <w:r w:rsidR="004145F4">
        <w:t xml:space="preserve">. </w:t>
      </w:r>
      <w:r w:rsidRPr="00053241">
        <w:t xml:space="preserve">Results </w:t>
      </w:r>
      <w:r>
        <w:t>of the production</w:t>
      </w:r>
      <w:r w:rsidR="00456C39">
        <w:t>-</w:t>
      </w:r>
      <w:r>
        <w:t>cost analyses s</w:t>
      </w:r>
      <w:r w:rsidR="004145F4" w:rsidRPr="004145F4">
        <w:t xml:space="preserve">howed the ability to </w:t>
      </w:r>
      <w:r w:rsidR="00FC163D">
        <w:t xml:space="preserve">efficiently and economically </w:t>
      </w:r>
      <w:r w:rsidR="004145F4" w:rsidRPr="004145F4">
        <w:t>export surplus New England renewable energy</w:t>
      </w:r>
      <w:r w:rsidR="006070A9">
        <w:t>,</w:t>
      </w:r>
      <w:r>
        <w:t xml:space="preserve"> </w:t>
      </w:r>
      <w:r w:rsidR="00FC163D">
        <w:t xml:space="preserve">thereby increasing </w:t>
      </w:r>
      <w:r w:rsidR="000759FF">
        <w:t xml:space="preserve">its </w:t>
      </w:r>
      <w:r w:rsidR="00FC163D">
        <w:t xml:space="preserve">utilization. </w:t>
      </w:r>
      <w:r>
        <w:t xml:space="preserve">The study also revealed </w:t>
      </w:r>
      <w:r w:rsidR="00456C39">
        <w:t xml:space="preserve">that </w:t>
      </w:r>
      <w:r>
        <w:t>s</w:t>
      </w:r>
      <w:r w:rsidRPr="005379C1">
        <w:t xml:space="preserve">ignificant amounts of fossil generation capacity </w:t>
      </w:r>
      <w:r>
        <w:t xml:space="preserve">were </w:t>
      </w:r>
      <w:r w:rsidR="00FC163D">
        <w:t xml:space="preserve">still </w:t>
      </w:r>
      <w:r>
        <w:t>needed</w:t>
      </w:r>
      <w:r w:rsidRPr="005379C1">
        <w:t xml:space="preserve"> to serve loads</w:t>
      </w:r>
      <w:r w:rsidR="000759FF">
        <w:t>,</w:t>
      </w:r>
      <w:r>
        <w:t xml:space="preserve"> and</w:t>
      </w:r>
      <w:r w:rsidR="000759FF">
        <w:t xml:space="preserve"> that</w:t>
      </w:r>
      <w:r>
        <w:t xml:space="preserve"> a s</w:t>
      </w:r>
      <w:r w:rsidRPr="005379C1">
        <w:t>ignificant amount of “uplift”</w:t>
      </w:r>
      <w:r w:rsidR="000759FF">
        <w:t xml:space="preserve"> was required</w:t>
      </w:r>
      <w:r w:rsidRPr="005379C1">
        <w:t xml:space="preserve"> due to low and negative</w:t>
      </w:r>
      <w:r>
        <w:t xml:space="preserve"> </w:t>
      </w:r>
      <w:r w:rsidR="00542162">
        <w:t>L</w:t>
      </w:r>
      <w:r>
        <w:t xml:space="preserve">ocational </w:t>
      </w:r>
      <w:r w:rsidR="00542162">
        <w:t>M</w:t>
      </w:r>
      <w:r>
        <w:t xml:space="preserve">arginal </w:t>
      </w:r>
      <w:r w:rsidR="00542162">
        <w:t>P</w:t>
      </w:r>
      <w:r>
        <w:t>rices</w:t>
      </w:r>
      <w:r w:rsidRPr="005379C1">
        <w:t xml:space="preserve"> </w:t>
      </w:r>
      <w:r w:rsidRPr="00307058">
        <w:t>(LMPs).</w:t>
      </w:r>
      <w:r w:rsidR="00FC163D" w:rsidRPr="00D4150E">
        <w:t xml:space="preserve"> The bi-directional</w:t>
      </w:r>
      <w:r w:rsidR="00307058" w:rsidRPr="00B453E7">
        <w:t xml:space="preserve"> model</w:t>
      </w:r>
      <w:r w:rsidR="00FC163D" w:rsidRPr="00307058">
        <w:t xml:space="preserve"> </w:t>
      </w:r>
      <w:r w:rsidR="00FE0001">
        <w:t>will be further studied</w:t>
      </w:r>
      <w:r w:rsidR="00FC163D" w:rsidRPr="00307058">
        <w:t xml:space="preserve"> in the 2021 </w:t>
      </w:r>
      <w:r w:rsidR="006070A9" w:rsidRPr="00307058">
        <w:t>E</w:t>
      </w:r>
      <w:r w:rsidR="00FC163D" w:rsidRPr="00D4150E">
        <w:t xml:space="preserve">conomic </w:t>
      </w:r>
      <w:r w:rsidR="006070A9" w:rsidRPr="00D4150E">
        <w:t>S</w:t>
      </w:r>
      <w:r w:rsidR="00FC163D" w:rsidRPr="00B453E7">
        <w:t>tudy.</w:t>
      </w:r>
    </w:p>
    <w:p w:rsidR="00C53C99" w:rsidRDefault="00614CFB" w:rsidP="00FA04B6">
      <w:pPr>
        <w:pStyle w:val="Heading4"/>
      </w:pPr>
      <w:r>
        <w:t>2021 Economic Study (</w:t>
      </w:r>
      <w:r w:rsidR="00C53C99">
        <w:t>F</w:t>
      </w:r>
      <w:r>
        <w:t>uture Grid Reliability</w:t>
      </w:r>
      <w:r w:rsidR="00412A2C">
        <w:t> </w:t>
      </w:r>
      <w:r>
        <w:t>Study)</w:t>
      </w:r>
    </w:p>
    <w:p w:rsidR="00722C4D" w:rsidRPr="00281F7F" w:rsidRDefault="00722C4D" w:rsidP="00722C4D">
      <w:r w:rsidRPr="00281F7F">
        <w:t>The ISO</w:t>
      </w:r>
      <w:r w:rsidR="003300DE">
        <w:t>, the New England states</w:t>
      </w:r>
      <w:r w:rsidR="00D11CF3">
        <w:t>,</w:t>
      </w:r>
      <w:r w:rsidRPr="00281F7F">
        <w:t xml:space="preserve"> and regional stakeholders have been exploring potential reliability and market issues that may arise in the coming years as the electric industry experiences significant change</w:t>
      </w:r>
      <w:r w:rsidR="005F6912">
        <w:t>,</w:t>
      </w:r>
      <w:r w:rsidRPr="00281F7F">
        <w:t xml:space="preserve"> driven by state energy and environmental policies to incentivize economy-wide decarbonization. </w:t>
      </w:r>
    </w:p>
    <w:p w:rsidR="00722C4D" w:rsidRDefault="00722C4D" w:rsidP="00722C4D">
      <w:r>
        <w:t xml:space="preserve">The </w:t>
      </w:r>
      <w:hyperlink r:id="rId61" w:history="1">
        <w:r w:rsidR="00583B22">
          <w:rPr>
            <w:rStyle w:val="Hyperlink"/>
          </w:rPr>
          <w:t>Future Grid Reliability Study</w:t>
        </w:r>
      </w:hyperlink>
      <w:r w:rsidR="003963C4">
        <w:rPr>
          <w:rStyle w:val="Hyperlink"/>
        </w:rPr>
        <w:t xml:space="preserve"> (FGRS)</w:t>
      </w:r>
      <w:r>
        <w:t xml:space="preserve"> commenced in mid-2020 and will continue into early 2022. </w:t>
      </w:r>
      <w:r w:rsidRPr="004C117C">
        <w:t>The study will examine the implications of a substantially</w:t>
      </w:r>
      <w:r w:rsidR="005F6912" w:rsidRPr="004C117C">
        <w:t>-</w:t>
      </w:r>
      <w:r w:rsidRPr="004C117C">
        <w:t xml:space="preserve">changed grid, </w:t>
      </w:r>
      <w:r w:rsidR="006E104C" w:rsidRPr="004C117C">
        <w:t xml:space="preserve">study year 2040, </w:t>
      </w:r>
      <w:r w:rsidRPr="004C117C">
        <w:t>where the majority of the resource mix is clean intermittent</w:t>
      </w:r>
      <w:r w:rsidR="0004771C" w:rsidRPr="004C117C">
        <w:t xml:space="preserve"> and battery</w:t>
      </w:r>
      <w:r w:rsidR="003963C4">
        <w:t xml:space="preserve"> </w:t>
      </w:r>
      <w:r w:rsidR="0004771C" w:rsidRPr="004C117C">
        <w:t>storage</w:t>
      </w:r>
      <w:r w:rsidRPr="004C117C">
        <w:t xml:space="preserve"> resources</w:t>
      </w:r>
      <w:r>
        <w:t>. Specifically, the goal for this study is to encompass both engineering and economic analyses based on scenarios that include</w:t>
      </w:r>
      <w:r w:rsidR="000759FF">
        <w:t xml:space="preserve"> changes in</w:t>
      </w:r>
      <w:r>
        <w:t xml:space="preserve"> loads, resources,</w:t>
      </w:r>
      <w:r w:rsidR="000759FF">
        <w:t xml:space="preserve"> and</w:t>
      </w:r>
      <w:r>
        <w:t xml:space="preserve"> infrastructure, and </w:t>
      </w:r>
      <w:r w:rsidR="001C64AD">
        <w:t>to model each scenario</w:t>
      </w:r>
      <w:r w:rsidR="00447FA5">
        <w:t>’</w:t>
      </w:r>
      <w:r w:rsidR="001C64AD">
        <w:t>s production</w:t>
      </w:r>
      <w:r w:rsidR="001C64AD" w:rsidDel="001C64AD">
        <w:t xml:space="preserve"> </w:t>
      </w:r>
      <w:r>
        <w:t>costs.</w:t>
      </w:r>
    </w:p>
    <w:p w:rsidR="00722C4D" w:rsidRDefault="00722C4D" w:rsidP="00722C4D">
      <w:r>
        <w:t>Using stakeholder and state assumptions about the future resource mix, this assessment of the region’s power system will provide information on what</w:t>
      </w:r>
      <w:r w:rsidR="000759FF">
        <w:t xml:space="preserve"> </w:t>
      </w:r>
      <w:r>
        <w:t xml:space="preserve">the regional system will need to </w:t>
      </w:r>
      <w:r w:rsidR="001C64AD">
        <w:t>maintain</w:t>
      </w:r>
      <w:r>
        <w:t xml:space="preserve"> reliably. A second phase of the study will assess </w:t>
      </w:r>
      <w:r w:rsidRPr="00721FD6">
        <w:t>if</w:t>
      </w:r>
      <w:r>
        <w:t xml:space="preserve"> the current market structure will be sufficient to attract and retain the resources needed to keep the grid reliable under the range of future scenarios. </w:t>
      </w:r>
    </w:p>
    <w:p w:rsidR="00722C4D" w:rsidRDefault="00614CFB" w:rsidP="00722C4D">
      <w:r>
        <w:t>Phase 1</w:t>
      </w:r>
      <w:r w:rsidR="00722C4D">
        <w:t xml:space="preserve"> of the FGRS</w:t>
      </w:r>
      <w:r w:rsidR="00921D1D">
        <w:t xml:space="preserve"> is </w:t>
      </w:r>
      <w:r w:rsidR="000759FF">
        <w:t>a</w:t>
      </w:r>
      <w:r w:rsidR="00A26D1B">
        <w:t>n</w:t>
      </w:r>
      <w:r w:rsidR="000759FF">
        <w:t xml:space="preserve"> </w:t>
      </w:r>
      <w:r w:rsidR="00921D1D">
        <w:t>economic study</w:t>
      </w:r>
      <w:r w:rsidR="000759FF">
        <w:t xml:space="preserve"> based on</w:t>
      </w:r>
      <w:r w:rsidR="00921D1D">
        <w:t xml:space="preserve"> production cost simulations</w:t>
      </w:r>
      <w:r w:rsidR="000759FF">
        <w:t>,</w:t>
      </w:r>
      <w:r>
        <w:t xml:space="preserve"> </w:t>
      </w:r>
      <w:r w:rsidR="000759FF">
        <w:t xml:space="preserve">with </w:t>
      </w:r>
      <w:r>
        <w:t xml:space="preserve">an evaluation of </w:t>
      </w:r>
      <w:r w:rsidR="000759FF">
        <w:t xml:space="preserve">whether </w:t>
      </w:r>
      <w:r>
        <w:t>the future grid</w:t>
      </w:r>
      <w:r w:rsidRPr="00614CFB">
        <w:t xml:space="preserve"> will </w:t>
      </w:r>
      <w:r w:rsidR="001C64AD">
        <w:t>have</w:t>
      </w:r>
      <w:r w:rsidRPr="00614CFB">
        <w:t xml:space="preserve"> the necessary amounts of regulation, reserves, ramping</w:t>
      </w:r>
      <w:r w:rsidR="00D11CF3">
        <w:t>,</w:t>
      </w:r>
      <w:r w:rsidRPr="00614CFB">
        <w:t xml:space="preserve"> and load following</w:t>
      </w:r>
      <w:r w:rsidR="008A4537">
        <w:t xml:space="preserve"> capability</w:t>
      </w:r>
      <w:r w:rsidRPr="00614CFB">
        <w:t>.</w:t>
      </w:r>
      <w:r w:rsidR="00921D1D">
        <w:t xml:space="preserve"> At the request of NEPOOL</w:t>
      </w:r>
      <w:r w:rsidR="003300DE">
        <w:t xml:space="preserve"> and </w:t>
      </w:r>
      <w:r w:rsidR="002A0F6E">
        <w:t xml:space="preserve">supported by </w:t>
      </w:r>
      <w:r w:rsidR="003300DE">
        <w:t>the states</w:t>
      </w:r>
      <w:r w:rsidR="00921D1D">
        <w:t xml:space="preserve">, the ISO </w:t>
      </w:r>
      <w:r w:rsidR="00D11CF3">
        <w:t>will</w:t>
      </w:r>
      <w:r w:rsidR="00921D1D">
        <w:t xml:space="preserve"> perform the analyses as the 2021 </w:t>
      </w:r>
      <w:r w:rsidR="00EB3A27">
        <w:t>E</w:t>
      </w:r>
      <w:r w:rsidR="00921D1D">
        <w:t xml:space="preserve">conomic </w:t>
      </w:r>
      <w:r w:rsidR="00EB3A27">
        <w:t>S</w:t>
      </w:r>
      <w:r w:rsidR="00921D1D">
        <w:t xml:space="preserve">tudy. </w:t>
      </w:r>
      <w:r w:rsidR="001C64AD">
        <w:t>The scope, timing, and whether outside consultants will be needed to complete</w:t>
      </w:r>
      <w:r w:rsidR="00921D1D">
        <w:t xml:space="preserve"> </w:t>
      </w:r>
      <w:r w:rsidR="00583B22">
        <w:t>P</w:t>
      </w:r>
      <w:r w:rsidR="00921D1D">
        <w:t>hase</w:t>
      </w:r>
      <w:r w:rsidR="00447FA5">
        <w:t> </w:t>
      </w:r>
      <w:r w:rsidR="00921D1D">
        <w:t>2</w:t>
      </w:r>
      <w:r w:rsidR="00A459B5">
        <w:t xml:space="preserve"> of the FGRS </w:t>
      </w:r>
      <w:r w:rsidR="00C54BA7">
        <w:t>study</w:t>
      </w:r>
      <w:r w:rsidR="008A4537">
        <w:t xml:space="preserve"> </w:t>
      </w:r>
      <w:r w:rsidR="00DC3790">
        <w:t>(</w:t>
      </w:r>
      <w:r w:rsidR="008A4537">
        <w:t xml:space="preserve">which </w:t>
      </w:r>
      <w:r w:rsidR="00A459B5">
        <w:t>includes revenue sufficiency and system security analyses</w:t>
      </w:r>
      <w:r w:rsidR="00DC3790">
        <w:t>)</w:t>
      </w:r>
      <w:r w:rsidR="00921D1D">
        <w:t xml:space="preserve"> </w:t>
      </w:r>
      <w:r w:rsidR="001C64AD">
        <w:t>are all</w:t>
      </w:r>
      <w:r w:rsidR="00A459B5">
        <w:t xml:space="preserve"> </w:t>
      </w:r>
      <w:r w:rsidR="00921D1D">
        <w:t>uncertain</w:t>
      </w:r>
      <w:r w:rsidR="00DC3790">
        <w:t xml:space="preserve">, </w:t>
      </w:r>
      <w:r w:rsidR="00921D1D">
        <w:t>and will be decided later in 2021 by the</w:t>
      </w:r>
      <w:r w:rsidR="00D11CF3">
        <w:t xml:space="preserve"> NEPOOL</w:t>
      </w:r>
      <w:r w:rsidR="00921D1D">
        <w:t xml:space="preserve"> Markets and Reliability Committee</w:t>
      </w:r>
      <w:r w:rsidR="00D11CF3">
        <w:t>s</w:t>
      </w:r>
      <w:r w:rsidR="00921D1D">
        <w:t>.</w:t>
      </w:r>
      <w:r w:rsidR="00A459B5">
        <w:rPr>
          <w:rStyle w:val="FootnoteReference"/>
        </w:rPr>
        <w:footnoteReference w:id="22"/>
      </w:r>
      <w:r>
        <w:t xml:space="preserve"> The </w:t>
      </w:r>
      <w:r w:rsidR="00583B22">
        <w:t>P</w:t>
      </w:r>
      <w:r w:rsidR="00921D1D">
        <w:t>hase</w:t>
      </w:r>
      <w:r w:rsidR="00447FA5">
        <w:t> </w:t>
      </w:r>
      <w:r w:rsidR="00921D1D">
        <w:t>1 study work will also include a resource</w:t>
      </w:r>
      <w:r w:rsidR="00D41116">
        <w:t>-</w:t>
      </w:r>
      <w:r w:rsidR="00921D1D">
        <w:t>adequacy screen and probabilistic resource</w:t>
      </w:r>
      <w:r w:rsidR="00583B22">
        <w:t>-</w:t>
      </w:r>
      <w:r w:rsidR="00921D1D">
        <w:t>availability a</w:t>
      </w:r>
      <w:r w:rsidR="00921D1D" w:rsidRPr="00921D1D">
        <w:t>nalysis</w:t>
      </w:r>
      <w:r w:rsidR="00921D1D">
        <w:t>. The resource</w:t>
      </w:r>
      <w:r w:rsidR="00D41116">
        <w:t>-</w:t>
      </w:r>
      <w:r w:rsidR="00921D1D">
        <w:t>adequacy screen will d</w:t>
      </w:r>
      <w:r w:rsidR="00921D1D" w:rsidRPr="00921D1D">
        <w:t xml:space="preserve">etermine </w:t>
      </w:r>
      <w:r w:rsidR="00806751">
        <w:t>Installed Capacity Requirement (</w:t>
      </w:r>
      <w:r w:rsidR="00921D1D" w:rsidRPr="006C6CC4">
        <w:t>ICR</w:t>
      </w:r>
      <w:r w:rsidR="00806751">
        <w:t>)</w:t>
      </w:r>
      <w:r w:rsidR="00921D1D" w:rsidRPr="00921D1D">
        <w:t xml:space="preserve"> for each future scenario to ensure that</w:t>
      </w:r>
      <w:r w:rsidR="006C1BF3">
        <w:t xml:space="preserve"> the</w:t>
      </w:r>
      <w:r w:rsidR="00921D1D" w:rsidRPr="00921D1D">
        <w:t xml:space="preserve"> loss</w:t>
      </w:r>
      <w:r w:rsidR="00D41116">
        <w:t>-</w:t>
      </w:r>
      <w:r w:rsidR="00921D1D" w:rsidRPr="00921D1D">
        <w:t>of</w:t>
      </w:r>
      <w:r w:rsidR="00D41116">
        <w:t>-</w:t>
      </w:r>
      <w:r w:rsidR="00921D1D" w:rsidRPr="00921D1D">
        <w:t xml:space="preserve">load expectation (LOLE) is met for expected system loads. </w:t>
      </w:r>
      <w:r w:rsidR="00921D1D">
        <w:t>The probabilistic resource availability a</w:t>
      </w:r>
      <w:r w:rsidR="00921D1D" w:rsidRPr="00921D1D">
        <w:t>nalysis</w:t>
      </w:r>
      <w:r w:rsidR="00921D1D">
        <w:t xml:space="preserve"> </w:t>
      </w:r>
      <w:r>
        <w:t>will consider</w:t>
      </w:r>
      <w:r w:rsidRPr="00614CFB">
        <w:t xml:space="preserve"> system reliability</w:t>
      </w:r>
      <w:r w:rsidR="00D41116">
        <w:t>,</w:t>
      </w:r>
      <w:r w:rsidRPr="00614CFB">
        <w:t xml:space="preserve"> taking into consideration the uncertainties associated with the output of renewable resources due to weather </w:t>
      </w:r>
      <w:r w:rsidR="00EC00DA">
        <w:t>variability</w:t>
      </w:r>
      <w:r w:rsidRPr="00614CFB">
        <w:t xml:space="preserve">, interactions between different types of </w:t>
      </w:r>
      <w:r w:rsidR="00806751">
        <w:t>Variable Energy Resources (</w:t>
      </w:r>
      <w:r w:rsidRPr="006C6CC4">
        <w:t>VERs</w:t>
      </w:r>
      <w:r w:rsidR="00806751">
        <w:t>)</w:t>
      </w:r>
      <w:r w:rsidRPr="00614CFB">
        <w:t>, and the correlation with loads</w:t>
      </w:r>
      <w:r w:rsidR="006C1BF3">
        <w:t>, both</w:t>
      </w:r>
      <w:r w:rsidRPr="00614CFB">
        <w:t xml:space="preserve"> during the summer and winter peak periods as well as </w:t>
      </w:r>
      <w:r w:rsidR="006C1BF3">
        <w:t>during non-</w:t>
      </w:r>
      <w:r w:rsidRPr="00614CFB">
        <w:t>peak periods.</w:t>
      </w:r>
    </w:p>
    <w:p w:rsidR="00614CFB" w:rsidRDefault="00614CFB" w:rsidP="00FA04B6">
      <w:pPr>
        <w:pStyle w:val="Heading4"/>
      </w:pPr>
      <w:r w:rsidRPr="004C117C">
        <w:t>Transmission Planning Studies</w:t>
      </w:r>
    </w:p>
    <w:p w:rsidR="00614CFB" w:rsidRDefault="00614CFB" w:rsidP="00722C4D">
      <w:r>
        <w:t xml:space="preserve">Two additional </w:t>
      </w:r>
      <w:r w:rsidR="00DC3790">
        <w:t>transmission-planning</w:t>
      </w:r>
      <w:r>
        <w:t xml:space="preserve"> efforts </w:t>
      </w:r>
      <w:r w:rsidR="00B6207F">
        <w:t xml:space="preserve">are </w:t>
      </w:r>
      <w:r w:rsidR="006070A9">
        <w:t>ongoing</w:t>
      </w:r>
      <w:r>
        <w:t xml:space="preserve"> in 2021 to </w:t>
      </w:r>
      <w:r w:rsidR="00D11CF3">
        <w:t xml:space="preserve">evaluate </w:t>
      </w:r>
      <w:r w:rsidR="00B6207F">
        <w:t xml:space="preserve">the </w:t>
      </w:r>
      <w:r>
        <w:t>evolution of the power system:</w:t>
      </w:r>
      <w:r w:rsidR="00583B22">
        <w:t xml:space="preserve"> </w:t>
      </w:r>
      <w:r>
        <w:t>the Transmission Planning for the Clean Energy Transition</w:t>
      </w:r>
      <w:r w:rsidR="006C6CC4">
        <w:t xml:space="preserve"> (</w:t>
      </w:r>
      <w:r w:rsidR="00C92981">
        <w:t>TP</w:t>
      </w:r>
      <w:r w:rsidR="006C6CC4">
        <w:t>CET)</w:t>
      </w:r>
      <w:r>
        <w:t xml:space="preserve"> </w:t>
      </w:r>
      <w:r w:rsidR="00C54BA7">
        <w:t xml:space="preserve">Pilot </w:t>
      </w:r>
      <w:r w:rsidR="005B796F">
        <w:t>Study</w:t>
      </w:r>
      <w:r w:rsidR="00C54BA7">
        <w:rPr>
          <w:rStyle w:val="FootnoteReference"/>
        </w:rPr>
        <w:footnoteReference w:id="23"/>
      </w:r>
      <w:r>
        <w:t xml:space="preserve">, and the New </w:t>
      </w:r>
      <w:r w:rsidRPr="00447FA5">
        <w:t>England states’ 2050</w:t>
      </w:r>
      <w:r w:rsidR="00D41116" w:rsidRPr="00447FA5">
        <w:t xml:space="preserve"> Transmission</w:t>
      </w:r>
      <w:r w:rsidRPr="00447FA5">
        <w:t xml:space="preserve"> </w:t>
      </w:r>
      <w:r w:rsidR="00D41116" w:rsidRPr="00447FA5">
        <w:t>S</w:t>
      </w:r>
      <w:r w:rsidRPr="00447FA5">
        <w:t xml:space="preserve">tudy. </w:t>
      </w:r>
      <w:r w:rsidR="00997878" w:rsidRPr="00447FA5">
        <w:t xml:space="preserve">These efforts will serve multiple purposes. </w:t>
      </w:r>
      <w:r w:rsidR="00396476" w:rsidRPr="00447FA5">
        <w:t>The TPCET Pilot Study has helped to develop updated study assumptions for the ISO’s transmission planning studies. The 2050 Transmission Study will outline a high-level direction of transmission expansion that will help to inform the selection of solutions for nearer-term needs. Finally, this study will provide information, including costs, for transmission upgrades needed for various hypothetical future clean-energy scenarios.</w:t>
      </w:r>
      <w:r w:rsidR="00396476" w:rsidRPr="00447FA5" w:rsidDel="00997878">
        <w:t xml:space="preserve"> </w:t>
      </w:r>
      <w:r w:rsidR="00396476" w:rsidRPr="00447FA5">
        <w:t xml:space="preserve">The results of the TPCET Pilot Study were presented to the PAC in </w:t>
      </w:r>
      <w:hyperlink r:id="rId62" w:history="1">
        <w:r w:rsidR="00396476" w:rsidRPr="00447FA5">
          <w:rPr>
            <w:rStyle w:val="Hyperlink"/>
          </w:rPr>
          <w:t>June</w:t>
        </w:r>
      </w:hyperlink>
      <w:r w:rsidR="00396476" w:rsidRPr="00447FA5">
        <w:t>,</w:t>
      </w:r>
      <w:hyperlink r:id="rId63" w:history="1">
        <w:r w:rsidR="00396476" w:rsidRPr="00447FA5">
          <w:rPr>
            <w:rStyle w:val="Hyperlink"/>
          </w:rPr>
          <w:t xml:space="preserve"> July</w:t>
        </w:r>
      </w:hyperlink>
      <w:r w:rsidR="00396476" w:rsidRPr="00447FA5">
        <w:t xml:space="preserve">, and </w:t>
      </w:r>
      <w:hyperlink r:id="rId64" w:history="1">
        <w:r w:rsidR="00396476" w:rsidRPr="00447FA5">
          <w:rPr>
            <w:rStyle w:val="Hyperlink"/>
          </w:rPr>
          <w:t>August</w:t>
        </w:r>
      </w:hyperlink>
      <w:r w:rsidR="00396476" w:rsidRPr="00447FA5">
        <w:t xml:space="preserve"> 2021, and updates to the Transmission Planning Technical Guide and a final report on the pilot study are expected to be released later in 2021. The 2050 Transmission Study is currently in the scoping stage.</w:t>
      </w:r>
      <w:r w:rsidR="00C92981">
        <w:t xml:space="preserve"> The TPCET </w:t>
      </w:r>
      <w:r w:rsidR="00D6186F">
        <w:t>P</w:t>
      </w:r>
      <w:r w:rsidR="00C92981">
        <w:t xml:space="preserve">ilot </w:t>
      </w:r>
      <w:r w:rsidR="00D6186F">
        <w:t>S</w:t>
      </w:r>
      <w:r w:rsidR="00C92981">
        <w:t>tudy is currently underway, and results of the study are expected to be presented to stakeholders in the second and third quarters of 2021</w:t>
      </w:r>
      <w:r w:rsidR="006070A9">
        <w:t>.</w:t>
      </w:r>
      <w:r w:rsidR="00E07FC4">
        <w:t xml:space="preserve">  The 2050 Transmission Study is currently in the scoping stage.</w:t>
      </w:r>
    </w:p>
    <w:p w:rsidR="00614CFB" w:rsidRDefault="006E104C" w:rsidP="006E104C">
      <w:r w:rsidRPr="00307058">
        <w:t xml:space="preserve">The </w:t>
      </w:r>
      <w:r w:rsidR="006070A9" w:rsidRPr="00307058">
        <w:t>TP</w:t>
      </w:r>
      <w:r w:rsidR="006C6CC4" w:rsidRPr="00307058">
        <w:t>CET</w:t>
      </w:r>
      <w:r w:rsidRPr="00307058">
        <w:t xml:space="preserve"> </w:t>
      </w:r>
      <w:r w:rsidR="00A86C5C">
        <w:t xml:space="preserve">Pilot </w:t>
      </w:r>
      <w:r w:rsidR="00D41116" w:rsidRPr="00307058">
        <w:t>S</w:t>
      </w:r>
      <w:r w:rsidRPr="00307058">
        <w:t>tudy</w:t>
      </w:r>
      <w:r w:rsidR="00601622" w:rsidRPr="00307058">
        <w:t xml:space="preserve"> was</w:t>
      </w:r>
      <w:r w:rsidRPr="00307058">
        <w:t xml:space="preserve"> initiated by the ISO. The study </w:t>
      </w:r>
      <w:r w:rsidR="001C64AD">
        <w:t xml:space="preserve"> will be used</w:t>
      </w:r>
      <w:r w:rsidR="00396476" w:rsidRPr="00307058">
        <w:t xml:space="preserve"> </w:t>
      </w:r>
      <w:r w:rsidRPr="00307058">
        <w:t>to update the assumptions the ISO uses in its</w:t>
      </w:r>
      <w:r>
        <w:t xml:space="preserve"> </w:t>
      </w:r>
      <w:r w:rsidRPr="00D53304">
        <w:t>transmission</w:t>
      </w:r>
      <w:r w:rsidR="00533199">
        <w:t xml:space="preserve"> </w:t>
      </w:r>
      <w:r>
        <w:t>planning studies to reflect</w:t>
      </w:r>
      <w:r w:rsidRPr="00D53304">
        <w:t xml:space="preserve"> system operating variations and extremes that are expected </w:t>
      </w:r>
      <w:r>
        <w:t xml:space="preserve">in the </w:t>
      </w:r>
      <w:r w:rsidR="00C60C11">
        <w:t>10</w:t>
      </w:r>
      <w:r>
        <w:t>-year</w:t>
      </w:r>
      <w:r w:rsidR="00B6207F">
        <w:t xml:space="preserve"> (2030</w:t>
      </w:r>
      <w:r>
        <w:t>) timeframe</w:t>
      </w:r>
      <w:r w:rsidR="006C6CC4">
        <w:t>,</w:t>
      </w:r>
      <w:r>
        <w:t xml:space="preserve"> resulting from </w:t>
      </w:r>
      <w:r w:rsidRPr="00D53304">
        <w:t xml:space="preserve">the anticipated </w:t>
      </w:r>
      <w:r>
        <w:t xml:space="preserve">widespread </w:t>
      </w:r>
      <w:r w:rsidRPr="00D53304">
        <w:t xml:space="preserve">installation of grid-scale </w:t>
      </w:r>
      <w:r>
        <w:t>renewable</w:t>
      </w:r>
      <w:r w:rsidRPr="00D53304">
        <w:t xml:space="preserve"> energy resources, </w:t>
      </w:r>
      <w:r w:rsidR="00BA3E78">
        <w:t>Distributed Energy Resources (</w:t>
      </w:r>
      <w:r w:rsidR="006C6CC4">
        <w:t>DERs</w:t>
      </w:r>
      <w:r w:rsidR="00BA3E78">
        <w:t>)</w:t>
      </w:r>
      <w:r w:rsidRPr="00D53304">
        <w:t xml:space="preserve">, </w:t>
      </w:r>
      <w:r w:rsidR="0004771C">
        <w:t>battery storage</w:t>
      </w:r>
      <w:r w:rsidRPr="00D53304">
        <w:t xml:space="preserve">, </w:t>
      </w:r>
      <w:r>
        <w:t xml:space="preserve">and </w:t>
      </w:r>
      <w:r w:rsidRPr="00D53304">
        <w:t xml:space="preserve">other system changes. </w:t>
      </w:r>
      <w:r>
        <w:t xml:space="preserve">Updating study assumptions will help </w:t>
      </w:r>
      <w:r w:rsidRPr="00900C1B">
        <w:t>ensure that future</w:t>
      </w:r>
      <w:r>
        <w:t xml:space="preserve"> transmission</w:t>
      </w:r>
      <w:r w:rsidRPr="00900C1B">
        <w:t xml:space="preserve"> reliability needs are </w:t>
      </w:r>
      <w:r>
        <w:t xml:space="preserve">more </w:t>
      </w:r>
      <w:r w:rsidR="003A2212">
        <w:t>comprehensively</w:t>
      </w:r>
      <w:r w:rsidRPr="00900C1B">
        <w:t xml:space="preserve"> identified </w:t>
      </w:r>
      <w:r>
        <w:rPr>
          <w:iCs/>
        </w:rPr>
        <w:t xml:space="preserve">as the grid evolves over the next </w:t>
      </w:r>
      <w:r w:rsidR="00317879">
        <w:rPr>
          <w:iCs/>
        </w:rPr>
        <w:t>10</w:t>
      </w:r>
      <w:r>
        <w:rPr>
          <w:iCs/>
        </w:rPr>
        <w:t xml:space="preserve"> years</w:t>
      </w:r>
      <w:r w:rsidR="00D41116">
        <w:rPr>
          <w:iCs/>
        </w:rPr>
        <w:t>,</w:t>
      </w:r>
      <w:r w:rsidRPr="00900C1B">
        <w:t xml:space="preserve"> and that any proposed transmission upgrades</w:t>
      </w:r>
      <w:r>
        <w:t xml:space="preserve"> over that horizon</w:t>
      </w:r>
      <w:r w:rsidRPr="00900C1B">
        <w:t xml:space="preserve"> fully address those reliability needs.</w:t>
      </w:r>
    </w:p>
    <w:p w:rsidR="00C97C49" w:rsidRDefault="006070A9" w:rsidP="00C97C49">
      <w:r>
        <w:t xml:space="preserve">The New England states’ 2050 Transmission Study, </w:t>
      </w:r>
      <w:r w:rsidR="003C3307">
        <w:t>a product of</w:t>
      </w:r>
      <w:r>
        <w:t xml:space="preserve"> the New England states’ </w:t>
      </w:r>
      <w:hyperlink r:id="rId65" w:history="1">
        <w:r w:rsidRPr="00157D35">
          <w:rPr>
            <w:rStyle w:val="Hyperlink"/>
            <w:i/>
          </w:rPr>
          <w:t>Vision Statement</w:t>
        </w:r>
      </w:hyperlink>
      <w:r>
        <w:t xml:space="preserve">, </w:t>
      </w:r>
      <w:r w:rsidR="00753CE5" w:rsidRPr="00447FA5">
        <w:t xml:space="preserve">seeks analysis of transmission scenarios through </w:t>
      </w:r>
      <w:r w:rsidRPr="00447FA5">
        <w:t>t</w:t>
      </w:r>
      <w:r>
        <w:t>he year</w:t>
      </w:r>
      <w:r w:rsidRPr="00D53304">
        <w:t xml:space="preserve"> 2050</w:t>
      </w:r>
      <w:r>
        <w:t xml:space="preserve"> to address the states’ energy-policy goals. </w:t>
      </w:r>
      <w:r w:rsidRPr="00FB1E32">
        <w:t>The study intends to inform state policy</w:t>
      </w:r>
      <w:r w:rsidR="005C5D9A">
        <w:t>-</w:t>
      </w:r>
      <w:r w:rsidRPr="00FB1E32">
        <w:t xml:space="preserve">makers of the amount and type of transmission infrastructure needed </w:t>
      </w:r>
      <w:r w:rsidRPr="00F77F1B">
        <w:t>to ensure reliability</w:t>
      </w:r>
      <w:r w:rsidRPr="00D4150E">
        <w:t xml:space="preserve"> </w:t>
      </w:r>
      <w:r w:rsidR="00307058" w:rsidRPr="00B453E7">
        <w:t xml:space="preserve">of a </w:t>
      </w:r>
      <w:r w:rsidRPr="00F77F1B">
        <w:t>system that is dominated by clean</w:t>
      </w:r>
      <w:r w:rsidR="00A83786">
        <w:t xml:space="preserve"> </w:t>
      </w:r>
      <w:r w:rsidRPr="00F77F1B">
        <w:t>energy resources a</w:t>
      </w:r>
      <w:r w:rsidRPr="00D4150E">
        <w:t>nd increased load growth due to electrification</w:t>
      </w:r>
      <w:r w:rsidR="00E07FC4">
        <w:t>,</w:t>
      </w:r>
      <w:r w:rsidR="00D52CF6">
        <w:t xml:space="preserve"> and to provide high</w:t>
      </w:r>
      <w:r w:rsidR="00721FD6">
        <w:t>-</w:t>
      </w:r>
      <w:r w:rsidR="00D52CF6">
        <w:t>level costs of developing such infrastructure</w:t>
      </w:r>
      <w:r w:rsidRPr="00D4150E">
        <w:t>.</w:t>
      </w:r>
      <w:r w:rsidR="006E104C">
        <w:t xml:space="preserve"> </w:t>
      </w:r>
      <w:r w:rsidR="003C3307">
        <w:t xml:space="preserve">The ISO anticipates developing </w:t>
      </w:r>
      <w:r w:rsidR="006C6CC4" w:rsidRPr="00534D54">
        <w:t>T</w:t>
      </w:r>
      <w:r w:rsidR="006E104C" w:rsidRPr="006C6CC4">
        <w:t>ariff</w:t>
      </w:r>
      <w:r w:rsidR="006E104C">
        <w:t xml:space="preserve"> changes that would allow the ISO to routinely perform </w:t>
      </w:r>
      <w:r w:rsidR="00C92981">
        <w:t>similar</w:t>
      </w:r>
      <w:r w:rsidR="006E104C">
        <w:t xml:space="preserve"> transmission</w:t>
      </w:r>
      <w:r w:rsidR="00533199">
        <w:t xml:space="preserve"> </w:t>
      </w:r>
      <w:r w:rsidR="000B2882">
        <w:t>planning studies</w:t>
      </w:r>
      <w:r w:rsidR="00C92981">
        <w:t xml:space="preserve"> </w:t>
      </w:r>
      <w:r w:rsidR="006E104C">
        <w:t>focused on public</w:t>
      </w:r>
      <w:r w:rsidR="003D4885">
        <w:t xml:space="preserve"> </w:t>
      </w:r>
      <w:r w:rsidR="006E104C">
        <w:t>policy goals.</w:t>
      </w:r>
    </w:p>
    <w:p w:rsidR="003B7D3C" w:rsidRDefault="003B7D3C" w:rsidP="00B00A2B">
      <w:pPr>
        <w:pStyle w:val="Heading2"/>
      </w:pPr>
      <w:bookmarkStart w:id="48" w:name="_Toc81544493"/>
      <w:r>
        <w:t>Environmental Considerations (</w:t>
      </w:r>
      <w:hyperlink w:anchor="_Environmental_Regulations_and" w:history="1">
        <w:r w:rsidRPr="00B00A2B">
          <w:rPr>
            <w:color w:val="1795D2"/>
            <w:u w:val="single"/>
          </w:rPr>
          <w:t>Chapter</w:t>
        </w:r>
        <w:r w:rsidR="00412A2C" w:rsidRPr="00B00A2B">
          <w:rPr>
            <w:color w:val="1795D2"/>
            <w:u w:val="single"/>
          </w:rPr>
          <w:t> </w:t>
        </w:r>
        <w:r w:rsidRPr="00B00A2B">
          <w:rPr>
            <w:color w:val="1795D2"/>
            <w:u w:val="single"/>
          </w:rPr>
          <w:t>6</w:t>
        </w:r>
      </w:hyperlink>
      <w:r>
        <w:t>)</w:t>
      </w:r>
      <w:bookmarkEnd w:id="48"/>
    </w:p>
    <w:p w:rsidR="003B7D3C" w:rsidRDefault="00721FD6" w:rsidP="003B7D3C">
      <w:r>
        <w:t>N</w:t>
      </w:r>
      <w:r w:rsidR="003C3307">
        <w:t>egative</w:t>
      </w:r>
      <w:r w:rsidR="003B7D3C">
        <w:t xml:space="preserve"> environmental </w:t>
      </w:r>
      <w:r w:rsidR="003C3307">
        <w:t xml:space="preserve">effects </w:t>
      </w:r>
      <w:r w:rsidR="003B7D3C">
        <w:t xml:space="preserve">from the operation of the New England power system have declined significantly </w:t>
      </w:r>
      <w:r w:rsidR="003B7D3C" w:rsidRPr="001B747C">
        <w:t>over the past 20 years</w:t>
      </w:r>
      <w:r w:rsidR="003B7D3C">
        <w:t xml:space="preserve"> due to a combination of increasingly stringent regulatory limits on air pollution, water use and wastewater discharges, and a shift in the generation mix to lower emitting and more efficient resources. A reinvigorated federal focus on carbon emissions and cumulative environmental impacts on generator host communities may </w:t>
      </w:r>
      <w:r w:rsidR="003C3307">
        <w:t xml:space="preserve">further </w:t>
      </w:r>
      <w:r w:rsidR="003B7D3C">
        <w:t>shift environmental compliance obligations.</w:t>
      </w:r>
    </w:p>
    <w:p w:rsidR="003B7D3C" w:rsidRPr="001B747C" w:rsidRDefault="003B7D3C" w:rsidP="003B7D3C">
      <w:r w:rsidRPr="001B747C">
        <w:t>The New England states have</w:t>
      </w:r>
      <w:r>
        <w:t xml:space="preserve"> ambitious</w:t>
      </w:r>
      <w:r w:rsidRPr="001B747C">
        <w:t xml:space="preserve"> targets for developing renewable</w:t>
      </w:r>
      <w:r w:rsidR="00583B22">
        <w:t>-</w:t>
      </w:r>
      <w:r w:rsidRPr="001B747C">
        <w:t>energy supplies and reducing carbon emissions</w:t>
      </w:r>
      <w:r>
        <w:t xml:space="preserve"> over the 10-year planning horizon</w:t>
      </w:r>
      <w:r w:rsidRPr="001B747C">
        <w:t>. To further help meet the region’s environmental targets, the southern New England states have individually and collectively contracted for</w:t>
      </w:r>
      <w:r>
        <w:t xml:space="preserve"> </w:t>
      </w:r>
      <w:r w:rsidRPr="001B747C">
        <w:t>offshore wind</w:t>
      </w:r>
      <w:r>
        <w:t xml:space="preserve"> </w:t>
      </w:r>
      <w:r w:rsidRPr="001B747C">
        <w:t xml:space="preserve">resources </w:t>
      </w:r>
      <w:r>
        <w:t xml:space="preserve">and </w:t>
      </w:r>
      <w:r w:rsidRPr="001B747C">
        <w:t xml:space="preserve">a new tie to </w:t>
      </w:r>
      <w:r w:rsidR="00C231BB">
        <w:t>Hydro Quebec (</w:t>
      </w:r>
      <w:r w:rsidR="00583B22">
        <w:t>HQ</w:t>
      </w:r>
      <w:r w:rsidR="00C231BB">
        <w:t>)</w:t>
      </w:r>
      <w:r w:rsidRPr="001B747C">
        <w:t xml:space="preserve"> intended to deliver </w:t>
      </w:r>
      <w:r w:rsidR="004C3E12" w:rsidRPr="001B747C">
        <w:t>hydropower</w:t>
      </w:r>
      <w:r w:rsidRPr="001B747C">
        <w:t xml:space="preserve">. The long-term growth of demand resources, </w:t>
      </w:r>
      <w:r>
        <w:t xml:space="preserve">battery storage </w:t>
      </w:r>
      <w:r w:rsidRPr="001B747C">
        <w:t xml:space="preserve">and </w:t>
      </w:r>
      <w:r w:rsidR="00DD70D0">
        <w:t xml:space="preserve">increased </w:t>
      </w:r>
      <w:r w:rsidRPr="001B747C">
        <w:t xml:space="preserve">electrification is also anticipated as a means of lowering carbon emissions to meet state targets. </w:t>
      </w:r>
      <w:r w:rsidRPr="00E07D0F">
        <w:t>The integration of various types and amounts of renewable resources may require operational modifications or retrofits at existing generators to provide flexible operation, resulting in additional environmental</w:t>
      </w:r>
      <w:r w:rsidR="00583B22">
        <w:t>-</w:t>
      </w:r>
      <w:r w:rsidRPr="00E07D0F">
        <w:t xml:space="preserve">compliance costs. </w:t>
      </w:r>
    </w:p>
    <w:p w:rsidR="003B7D3C" w:rsidRDefault="003B7D3C" w:rsidP="003B7D3C">
      <w:r w:rsidRPr="001B747C">
        <w:t xml:space="preserve">Regional generator air emissions </w:t>
      </w:r>
      <w:r w:rsidRPr="009A4374">
        <w:t>are near historic</w:t>
      </w:r>
      <w:r w:rsidR="003C3307">
        <w:t>al</w:t>
      </w:r>
      <w:r w:rsidRPr="009A4374">
        <w:t xml:space="preserve"> lows</w:t>
      </w:r>
      <w:r>
        <w:t xml:space="preserve"> and emissions are projected to remain near current </w:t>
      </w:r>
      <w:r w:rsidR="003C3307">
        <w:t>levels over</w:t>
      </w:r>
      <w:r>
        <w:t xml:space="preserve"> the near-term planning horizon.</w:t>
      </w:r>
      <w:r>
        <w:rPr>
          <w:rStyle w:val="FootnoteReference"/>
        </w:rPr>
        <w:footnoteReference w:id="24"/>
      </w:r>
      <w:r>
        <w:t xml:space="preserve"> </w:t>
      </w:r>
      <w:r w:rsidR="00484C8A" w:rsidRPr="00DB3A74">
        <w:rPr>
          <w:rFonts w:eastAsia="Calibri"/>
        </w:rPr>
        <w:t>From 2010 through 2019, total system emissions decreased</w:t>
      </w:r>
      <w:r w:rsidR="00DC3790">
        <w:rPr>
          <w:rFonts w:eastAsia="Calibri"/>
        </w:rPr>
        <w:t xml:space="preserve"> – </w:t>
      </w:r>
      <w:r w:rsidR="00484C8A" w:rsidRPr="00DB3A74">
        <w:rPr>
          <w:rFonts w:eastAsia="Calibri"/>
        </w:rPr>
        <w:t>NO</w:t>
      </w:r>
      <w:r w:rsidR="00484C8A" w:rsidRPr="00DB3A74">
        <w:rPr>
          <w:rFonts w:eastAsia="Calibri"/>
          <w:vertAlign w:val="subscript"/>
        </w:rPr>
        <w:t>X</w:t>
      </w:r>
      <w:r w:rsidR="00484C8A" w:rsidRPr="00DB3A74">
        <w:rPr>
          <w:rFonts w:eastAsia="Calibri"/>
        </w:rPr>
        <w:t xml:space="preserve"> by 55%, SO</w:t>
      </w:r>
      <w:r w:rsidR="00484C8A" w:rsidRPr="00DB3A74">
        <w:rPr>
          <w:rFonts w:eastAsia="Calibri"/>
          <w:vertAlign w:val="subscript"/>
        </w:rPr>
        <w:t>2</w:t>
      </w:r>
      <w:r w:rsidR="00484C8A" w:rsidRPr="00DB3A74">
        <w:rPr>
          <w:rFonts w:eastAsia="Calibri"/>
        </w:rPr>
        <w:t xml:space="preserve"> by 97%, and CO</w:t>
      </w:r>
      <w:r w:rsidR="00484C8A" w:rsidRPr="00DB3A74">
        <w:rPr>
          <w:rFonts w:eastAsia="Calibri"/>
          <w:vertAlign w:val="subscript"/>
        </w:rPr>
        <w:t xml:space="preserve">2 </w:t>
      </w:r>
      <w:r w:rsidR="00484C8A" w:rsidRPr="00DB3A74">
        <w:rPr>
          <w:rFonts w:eastAsia="Calibri"/>
        </w:rPr>
        <w:t xml:space="preserve">by 41%. </w:t>
      </w:r>
      <w:r>
        <w:t>Shifts in energy consumption, most likely due to the COVID-19 pandemic, have resulted in lower monthly net</w:t>
      </w:r>
      <w:r w:rsidR="00583B22">
        <w:t xml:space="preserve"> </w:t>
      </w:r>
      <w:r>
        <w:t>energy demand in 2020, but net system emissions increased compared</w:t>
      </w:r>
      <w:r w:rsidR="003C3307">
        <w:t xml:space="preserve"> with</w:t>
      </w:r>
      <w:r>
        <w:t xml:space="preserve"> 2019. </w:t>
      </w:r>
      <w:r w:rsidR="00954BB3">
        <w:rPr>
          <w:rStyle w:val="FootnoteReference"/>
        </w:rPr>
        <w:footnoteReference w:id="25"/>
      </w:r>
      <w:r>
        <w:t xml:space="preserve">The </w:t>
      </w:r>
      <w:hyperlink r:id="rId66" w:history="1">
        <w:r w:rsidRPr="002D3087">
          <w:rPr>
            <w:rStyle w:val="Hyperlink"/>
          </w:rPr>
          <w:t>U.S. Energy Information Administration</w:t>
        </w:r>
      </w:hyperlink>
      <w:r w:rsidDel="005E0889">
        <w:t xml:space="preserve"> </w:t>
      </w:r>
      <w:r>
        <w:t xml:space="preserve">(EIA) </w:t>
      </w:r>
      <w:r w:rsidRPr="008C3FAE">
        <w:t>and other short-term projections</w:t>
      </w:r>
      <w:r>
        <w:t xml:space="preserve"> suggest annual emissions will increase through 2022 due to reduced nuclear generation and increased </w:t>
      </w:r>
      <w:r w:rsidR="00EE18F6">
        <w:t>natural gas</w:t>
      </w:r>
      <w:r>
        <w:t xml:space="preserve"> generation, despite increased renewable output. Seasonal winter and summer air-pollution spikes are expected to occur due to increased reliance on higher-emitting oil- and coal-fired generators for peaking service.</w:t>
      </w:r>
      <w:r w:rsidRPr="001922A3">
        <w:t xml:space="preserve"> </w:t>
      </w:r>
      <w:r>
        <w:t xml:space="preserve">Spikes in power system air pollution and water use from increased </w:t>
      </w:r>
      <w:r w:rsidRPr="001B747C">
        <w:t>coal</w:t>
      </w:r>
      <w:r>
        <w:t>,</w:t>
      </w:r>
      <w:r w:rsidRPr="001B747C">
        <w:t xml:space="preserve"> oil</w:t>
      </w:r>
      <w:r>
        <w:t>, refuse</w:t>
      </w:r>
      <w:r w:rsidR="003F4E19">
        <w:t>,</w:t>
      </w:r>
      <w:r>
        <w:t xml:space="preserve"> and wood combustion</w:t>
      </w:r>
      <w:r w:rsidRPr="001B747C">
        <w:t xml:space="preserve"> </w:t>
      </w:r>
      <w:r>
        <w:t>are more likely due to recent nuclear retirements, outages</w:t>
      </w:r>
      <w:r w:rsidR="003F4E19">
        <w:t>,</w:t>
      </w:r>
      <w:r>
        <w:t xml:space="preserve"> and </w:t>
      </w:r>
      <w:r w:rsidRPr="001B747C">
        <w:t>when</w:t>
      </w:r>
      <w:r>
        <w:t>ever</w:t>
      </w:r>
      <w:r w:rsidRPr="001B747C">
        <w:t xml:space="preserve"> natural gas </w:t>
      </w:r>
      <w:r>
        <w:t>and imports are curtailed</w:t>
      </w:r>
      <w:r w:rsidRPr="001B747C">
        <w:t>.</w:t>
      </w:r>
      <w:r>
        <w:t xml:space="preserve"> Power system water use and wastewater discharges overall have declined, but will also spike whenever </w:t>
      </w:r>
      <w:r w:rsidRPr="001B747C">
        <w:t>coal</w:t>
      </w:r>
      <w:r>
        <w:t>,</w:t>
      </w:r>
      <w:r w:rsidRPr="001B747C">
        <w:t xml:space="preserve"> oil</w:t>
      </w:r>
      <w:r>
        <w:t>, refuse and wood combustion</w:t>
      </w:r>
      <w:r w:rsidRPr="001B747C">
        <w:t xml:space="preserve"> </w:t>
      </w:r>
      <w:r>
        <w:t xml:space="preserve">generators are utilized for peaking service.  </w:t>
      </w:r>
    </w:p>
    <w:p w:rsidR="00776BA4" w:rsidRPr="00242F20" w:rsidRDefault="00776BA4" w:rsidP="00BD2424">
      <w:pPr>
        <w:pStyle w:val="Heading2"/>
      </w:pPr>
      <w:bookmarkStart w:id="49" w:name="_Toc8727178"/>
      <w:bookmarkStart w:id="50" w:name="_Toc10116690"/>
      <w:bookmarkStart w:id="51" w:name="_Toc81544494"/>
      <w:r w:rsidRPr="00242F20">
        <w:t>Multistate and State Initiatives that Affect System Planning</w:t>
      </w:r>
      <w:bookmarkEnd w:id="49"/>
      <w:bookmarkEnd w:id="50"/>
      <w:r w:rsidR="003B7D3C">
        <w:t xml:space="preserve"> (</w:t>
      </w:r>
      <w:hyperlink w:anchor="_State_and_Federal" w:history="1">
        <w:r w:rsidR="003B7D3C" w:rsidRPr="006B4216">
          <w:rPr>
            <w:rStyle w:val="Hyperlink"/>
          </w:rPr>
          <w:t>Chapter</w:t>
        </w:r>
        <w:r w:rsidR="00412A2C" w:rsidRPr="006B4216">
          <w:rPr>
            <w:rStyle w:val="Hyperlink"/>
          </w:rPr>
          <w:t> </w:t>
        </w:r>
        <w:r w:rsidR="003B7D3C" w:rsidRPr="006B4216">
          <w:rPr>
            <w:rStyle w:val="Hyperlink"/>
          </w:rPr>
          <w:t>7</w:t>
        </w:r>
      </w:hyperlink>
      <w:r w:rsidR="003B7D3C">
        <w:t>)</w:t>
      </w:r>
      <w:bookmarkEnd w:id="51"/>
    </w:p>
    <w:p w:rsidR="004F49F6" w:rsidRDefault="00776BA4" w:rsidP="00242F20">
      <w:r w:rsidRPr="008C7619">
        <w:t>The ISO continuously works with a wide variety of policy</w:t>
      </w:r>
      <w:r w:rsidR="005C5D9A">
        <w:t>-</w:t>
      </w:r>
      <w:r w:rsidRPr="008C7619">
        <w:t xml:space="preserve">makers and other regional and interregional stakeholders on initiatives that influence electric power system planning. These groups include the </w:t>
      </w:r>
      <w:hyperlink r:id="rId67" w:history="1">
        <w:r w:rsidR="000B2882" w:rsidRPr="008C7619">
          <w:rPr>
            <w:rStyle w:val="Hyperlink"/>
          </w:rPr>
          <w:t>New England Conference of Public Utilities Commissioners</w:t>
        </w:r>
      </w:hyperlink>
      <w:r w:rsidRPr="008C7619">
        <w:t xml:space="preserve"> (NECPUC), the </w:t>
      </w:r>
      <w:hyperlink r:id="rId68" w:history="1">
        <w:r w:rsidRPr="008C7619">
          <w:rPr>
            <w:rStyle w:val="Hyperlink"/>
          </w:rPr>
          <w:t>New England States Committee on Electricity</w:t>
        </w:r>
      </w:hyperlink>
      <w:r w:rsidRPr="008C7619">
        <w:t xml:space="preserve"> (NESCOE), the </w:t>
      </w:r>
      <w:hyperlink r:id="rId69" w:history="1">
        <w:r w:rsidRPr="008C7619">
          <w:rPr>
            <w:rStyle w:val="Hyperlink"/>
          </w:rPr>
          <w:t>Coalition of Northeastern Governors</w:t>
        </w:r>
      </w:hyperlink>
      <w:r w:rsidRPr="008C7619">
        <w:t xml:space="preserve">, the </w:t>
      </w:r>
      <w:hyperlink r:id="rId70" w:history="1">
        <w:r w:rsidRPr="008C7619">
          <w:rPr>
            <w:rStyle w:val="Hyperlink"/>
          </w:rPr>
          <w:t>Consumer Liaison Group</w:t>
        </w:r>
      </w:hyperlink>
      <w:r w:rsidRPr="008C7619">
        <w:t xml:space="preserve"> (CLG), and others. Each New England state has a unique set of energy policy objectives and goals and continues to implement laws, policies, and initiatives that affect regional system planning in New</w:t>
      </w:r>
      <w:r w:rsidR="00CD2E0E" w:rsidRPr="008C7619">
        <w:t xml:space="preserve"> England. </w:t>
      </w:r>
      <w:bookmarkStart w:id="52" w:name="_Toc8727179"/>
      <w:bookmarkStart w:id="53" w:name="_Toc10116691"/>
      <w:r w:rsidR="005F57B6">
        <w:t xml:space="preserve">Federal government activity is also being closely monitored to determine potential impacts to the New England planning processes. In early 2021, President Biden revealed a plan to reenergize America’s power infrastructure by promoting investment in the aging transmission system and buildout of renewable resources </w:t>
      </w:r>
      <w:r w:rsidR="00D52CF6">
        <w:t>with the goal</w:t>
      </w:r>
      <w:r w:rsidR="005F57B6">
        <w:t xml:space="preserve"> that by 2035 electricity </w:t>
      </w:r>
      <w:r w:rsidR="00D60CD3">
        <w:t xml:space="preserve">production </w:t>
      </w:r>
      <w:r w:rsidR="005F57B6">
        <w:t xml:space="preserve">will be </w:t>
      </w:r>
      <w:r w:rsidR="00456C39">
        <w:t>100%</w:t>
      </w:r>
      <w:r w:rsidR="005F57B6">
        <w:t xml:space="preserve"> carbon-free.</w:t>
      </w:r>
    </w:p>
    <w:p w:rsidR="0054637E" w:rsidRDefault="00F376F4" w:rsidP="00242F20">
      <w:r>
        <w:t>On</w:t>
      </w:r>
      <w:r w:rsidR="004F49F6">
        <w:t xml:space="preserve"> October 16, 2020, NESCOE released a vision statement on behalf of the </w:t>
      </w:r>
      <w:r w:rsidR="004F49F6" w:rsidRPr="00A22EB7">
        <w:t xml:space="preserve">six New England </w:t>
      </w:r>
      <w:r w:rsidR="004F49F6">
        <w:t>states focused on three key areas:</w:t>
      </w:r>
      <w:r w:rsidR="00470DA2">
        <w:t xml:space="preserve"> </w:t>
      </w:r>
      <w:r w:rsidR="004F49F6">
        <w:t xml:space="preserve"> wholesale market design, transmission planning, and ISO governance. The states have posted the </w:t>
      </w:r>
      <w:hyperlink r:id="rId71" w:history="1">
        <w:r w:rsidR="00D52CF6" w:rsidRPr="00157D35">
          <w:rPr>
            <w:rStyle w:val="Hyperlink"/>
            <w:i/>
          </w:rPr>
          <w:t>Vision Statement</w:t>
        </w:r>
      </w:hyperlink>
      <w:r w:rsidR="004F49F6">
        <w:t xml:space="preserve"> along with information about a series of forums they have hosted since its release.</w:t>
      </w:r>
      <w:r w:rsidR="00D804E5">
        <w:t xml:space="preserve"> </w:t>
      </w:r>
      <w:r w:rsidR="008B07FE">
        <w:t xml:space="preserve">The ISO has participated in the forums to share information and discuss ongoing work. </w:t>
      </w:r>
    </w:p>
    <w:p w:rsidR="000B2882" w:rsidRPr="008C7619" w:rsidRDefault="00D804E5" w:rsidP="00242F20">
      <w:r>
        <w:t xml:space="preserve">The “electrification of everything” has </w:t>
      </w:r>
      <w:r w:rsidR="006840DB">
        <w:t xml:space="preserve">the potential </w:t>
      </w:r>
      <w:r w:rsidR="00766B6A">
        <w:t>to</w:t>
      </w:r>
      <w:r w:rsidR="006840DB">
        <w:t xml:space="preserve"> </w:t>
      </w:r>
      <w:r>
        <w:rPr>
          <w:rFonts w:eastAsia="Times New Roman"/>
          <w:color w:val="000000"/>
          <w:szCs w:val="24"/>
        </w:rPr>
        <w:t xml:space="preserve">significantly </w:t>
      </w:r>
      <w:r w:rsidR="00766B6A">
        <w:rPr>
          <w:rFonts w:eastAsia="Times New Roman"/>
          <w:color w:val="000000"/>
          <w:szCs w:val="24"/>
        </w:rPr>
        <w:t>change</w:t>
      </w:r>
      <w:r w:rsidR="00766B6A" w:rsidRPr="007C4400">
        <w:rPr>
          <w:rFonts w:eastAsia="Times New Roman"/>
          <w:color w:val="000000"/>
          <w:szCs w:val="24"/>
        </w:rPr>
        <w:t xml:space="preserve"> </w:t>
      </w:r>
      <w:r w:rsidRPr="007C4400">
        <w:rPr>
          <w:rFonts w:eastAsia="Times New Roman"/>
          <w:color w:val="000000"/>
          <w:szCs w:val="24"/>
        </w:rPr>
        <w:t>the region’s load characteristic</w:t>
      </w:r>
      <w:r w:rsidR="006840DB">
        <w:rPr>
          <w:rFonts w:eastAsia="Times New Roman"/>
          <w:color w:val="000000"/>
          <w:szCs w:val="24"/>
        </w:rPr>
        <w:t>s</w:t>
      </w:r>
      <w:r>
        <w:rPr>
          <w:rFonts w:eastAsia="Times New Roman"/>
          <w:color w:val="000000"/>
          <w:szCs w:val="24"/>
        </w:rPr>
        <w:t xml:space="preserve">. State policies have </w:t>
      </w:r>
      <w:r w:rsidR="00B052A8">
        <w:t xml:space="preserve">led to load forecast </w:t>
      </w:r>
      <w:r w:rsidR="00722E52">
        <w:t>enhancements that</w:t>
      </w:r>
      <w:r w:rsidR="00B052A8">
        <w:t xml:space="preserve"> directly address </w:t>
      </w:r>
      <w:r>
        <w:rPr>
          <w:rFonts w:eastAsia="Times New Roman"/>
          <w:color w:val="000000"/>
          <w:szCs w:val="24"/>
        </w:rPr>
        <w:t xml:space="preserve">heating </w:t>
      </w:r>
      <w:r w:rsidR="00470DA2">
        <w:rPr>
          <w:rFonts w:eastAsia="Times New Roman"/>
          <w:color w:val="000000"/>
          <w:szCs w:val="24"/>
        </w:rPr>
        <w:t>and</w:t>
      </w:r>
      <w:r>
        <w:rPr>
          <w:rFonts w:eastAsia="Times New Roman"/>
          <w:color w:val="000000"/>
          <w:szCs w:val="24"/>
        </w:rPr>
        <w:t xml:space="preserve"> transportation </w:t>
      </w:r>
      <w:r w:rsidR="00063B02">
        <w:rPr>
          <w:rFonts w:eastAsia="Times New Roman"/>
          <w:color w:val="000000"/>
          <w:szCs w:val="24"/>
        </w:rPr>
        <w:t>electrification.</w:t>
      </w:r>
      <w:r>
        <w:rPr>
          <w:rFonts w:eastAsia="Times New Roman"/>
          <w:color w:val="000000"/>
          <w:szCs w:val="24"/>
        </w:rPr>
        <w:t xml:space="preserve"> </w:t>
      </w:r>
      <w:r w:rsidR="00063B02">
        <w:rPr>
          <w:rFonts w:eastAsia="Times New Roman"/>
          <w:color w:val="000000"/>
          <w:szCs w:val="24"/>
        </w:rPr>
        <w:t>New England markets</w:t>
      </w:r>
      <w:r w:rsidR="008B07FE">
        <w:rPr>
          <w:rFonts w:eastAsia="Times New Roman"/>
          <w:color w:val="000000"/>
          <w:szCs w:val="24"/>
        </w:rPr>
        <w:t>, planning</w:t>
      </w:r>
      <w:r w:rsidR="00BA2525">
        <w:rPr>
          <w:rFonts w:eastAsia="Times New Roman"/>
          <w:color w:val="000000"/>
          <w:szCs w:val="24"/>
        </w:rPr>
        <w:t>,</w:t>
      </w:r>
      <w:r w:rsidR="008B07FE">
        <w:rPr>
          <w:rFonts w:eastAsia="Times New Roman"/>
          <w:color w:val="000000"/>
          <w:szCs w:val="24"/>
        </w:rPr>
        <w:t xml:space="preserve"> and operations have incorporated many state policies over the past two decades and the ISO will continue to work with the states on further changes, such as the elimination of the </w:t>
      </w:r>
      <w:r w:rsidR="00554EC2">
        <w:rPr>
          <w:rFonts w:eastAsia="Times New Roman"/>
          <w:color w:val="000000"/>
          <w:szCs w:val="24"/>
        </w:rPr>
        <w:t>Minimum Offer Price Rule (</w:t>
      </w:r>
      <w:r w:rsidR="008B07FE">
        <w:rPr>
          <w:rFonts w:eastAsia="Times New Roman"/>
          <w:color w:val="000000"/>
          <w:szCs w:val="24"/>
        </w:rPr>
        <w:t>MOPR</w:t>
      </w:r>
      <w:r w:rsidR="00554EC2">
        <w:rPr>
          <w:rFonts w:eastAsia="Times New Roman"/>
          <w:color w:val="000000"/>
          <w:szCs w:val="24"/>
        </w:rPr>
        <w:t>)</w:t>
      </w:r>
      <w:r w:rsidR="008B07FE">
        <w:rPr>
          <w:rFonts w:eastAsia="Times New Roman"/>
          <w:color w:val="000000"/>
          <w:szCs w:val="24"/>
        </w:rPr>
        <w:t>.</w:t>
      </w:r>
      <w:r w:rsidR="00063B02">
        <w:rPr>
          <w:rFonts w:eastAsia="Times New Roman"/>
          <w:color w:val="000000"/>
          <w:szCs w:val="24"/>
        </w:rPr>
        <w:t xml:space="preserve"> </w:t>
      </w:r>
      <w:r w:rsidR="008B07FE">
        <w:rPr>
          <w:rFonts w:eastAsia="Times New Roman"/>
          <w:color w:val="000000"/>
          <w:szCs w:val="24"/>
        </w:rPr>
        <w:t>In addition, a</w:t>
      </w:r>
      <w:r w:rsidR="00063B02">
        <w:t>s mentioned, t</w:t>
      </w:r>
      <w:r w:rsidR="00B36561">
        <w:t xml:space="preserve">he </w:t>
      </w:r>
      <w:r w:rsidR="00554EC2">
        <w:t>Future Grid Reliability Study (</w:t>
      </w:r>
      <w:r>
        <w:t>FGRS</w:t>
      </w:r>
      <w:r w:rsidR="00554EC2">
        <w:t>)</w:t>
      </w:r>
      <w:r>
        <w:t xml:space="preserve">, </w:t>
      </w:r>
      <w:r w:rsidR="00554EC2">
        <w:t xml:space="preserve">Transmission Planning for the </w:t>
      </w:r>
      <w:r w:rsidR="00B36561">
        <w:t>TPCET</w:t>
      </w:r>
      <w:r w:rsidR="00A86C5C">
        <w:t xml:space="preserve"> Pilot</w:t>
      </w:r>
      <w:r w:rsidR="00B36561">
        <w:t xml:space="preserve"> </w:t>
      </w:r>
      <w:r w:rsidR="00A86C5C">
        <w:t>S</w:t>
      </w:r>
      <w:r w:rsidR="00B36561">
        <w:t>tudy</w:t>
      </w:r>
      <w:r w:rsidR="00BA2525">
        <w:t>,</w:t>
      </w:r>
      <w:r w:rsidR="00B36561">
        <w:t xml:space="preserve"> and the New England states’ 2050 Transmission Study</w:t>
      </w:r>
      <w:r w:rsidR="00063B02">
        <w:t xml:space="preserve"> </w:t>
      </w:r>
      <w:r w:rsidR="00B36561">
        <w:t>support the New England states</w:t>
      </w:r>
      <w:r w:rsidR="00BA2525">
        <w:t>’</w:t>
      </w:r>
      <w:r w:rsidR="00B36561">
        <w:t xml:space="preserve"> </w:t>
      </w:r>
      <w:r w:rsidR="0046018B">
        <w:t>V</w:t>
      </w:r>
      <w:r w:rsidR="00B36561">
        <w:t xml:space="preserve">ision </w:t>
      </w:r>
      <w:r w:rsidR="0046018B">
        <w:t>S</w:t>
      </w:r>
      <w:r w:rsidR="00B36561">
        <w:t>tatement</w:t>
      </w:r>
      <w:r w:rsidR="00063B02">
        <w:t xml:space="preserve"> to assess the reliability of the New England system </w:t>
      </w:r>
      <w:r w:rsidR="00D52CF6">
        <w:t xml:space="preserve">well </w:t>
      </w:r>
      <w:r w:rsidR="00063B02">
        <w:t xml:space="preserve">beyond the normal </w:t>
      </w:r>
      <w:r w:rsidR="00470DA2">
        <w:t>10</w:t>
      </w:r>
      <w:r w:rsidR="00063B02">
        <w:t>-year planning horizon</w:t>
      </w:r>
      <w:r w:rsidR="00B36561">
        <w:t xml:space="preserve">.  </w:t>
      </w:r>
    </w:p>
    <w:p w:rsidR="00776BA4" w:rsidRPr="00242F20" w:rsidRDefault="00776BA4" w:rsidP="00BD2424">
      <w:pPr>
        <w:pStyle w:val="Heading2"/>
      </w:pPr>
      <w:bookmarkStart w:id="54" w:name="_Toc81544495"/>
      <w:r w:rsidRPr="00242F20">
        <w:t>Key Findings and Conclusions</w:t>
      </w:r>
      <w:bookmarkEnd w:id="52"/>
      <w:bookmarkEnd w:id="53"/>
      <w:bookmarkEnd w:id="54"/>
      <w:r w:rsidRPr="00242F20">
        <w:t xml:space="preserve"> </w:t>
      </w:r>
    </w:p>
    <w:p w:rsidR="00776BA4" w:rsidRPr="001B747C" w:rsidRDefault="00776BA4" w:rsidP="00776BA4">
      <w:r w:rsidRPr="001B747C">
        <w:t xml:space="preserve">The </w:t>
      </w:r>
      <w:r w:rsidR="006A59C9">
        <w:rPr>
          <w:i/>
        </w:rPr>
        <w:t>2021</w:t>
      </w:r>
      <w:r w:rsidR="006A59C9" w:rsidRPr="001B747C">
        <w:rPr>
          <w:i/>
        </w:rPr>
        <w:t xml:space="preserve"> </w:t>
      </w:r>
      <w:r w:rsidRPr="001B747C">
        <w:rPr>
          <w:i/>
        </w:rPr>
        <w:t>Regional System Plan</w:t>
      </w:r>
      <w:r w:rsidRPr="001B747C">
        <w:t xml:space="preserve"> identifies system needs, and plans for meeting these needs, for </w:t>
      </w:r>
      <w:r w:rsidR="006A59C9" w:rsidRPr="001B747C">
        <w:t>20</w:t>
      </w:r>
      <w:r w:rsidR="006A59C9">
        <w:t>21</w:t>
      </w:r>
      <w:r w:rsidR="006A59C9" w:rsidRPr="001B747C">
        <w:t xml:space="preserve"> </w:t>
      </w:r>
      <w:r w:rsidRPr="001B747C">
        <w:t xml:space="preserve">through </w:t>
      </w:r>
      <w:r w:rsidR="006A59C9" w:rsidRPr="001B747C">
        <w:t>20</w:t>
      </w:r>
      <w:r w:rsidR="006A59C9">
        <w:t>30</w:t>
      </w:r>
      <w:r w:rsidRPr="001B747C">
        <w:t xml:space="preserve">. </w:t>
      </w:r>
      <w:r w:rsidR="004959DB">
        <w:t>The 2021 Regional System Plan (</w:t>
      </w:r>
      <w:r w:rsidR="006A59C9" w:rsidRPr="00455C3B">
        <w:t>RSP21</w:t>
      </w:r>
      <w:r w:rsidR="004959DB">
        <w:t>)</w:t>
      </w:r>
      <w:r w:rsidR="006A59C9" w:rsidRPr="00455C3B">
        <w:t xml:space="preserve"> </w:t>
      </w:r>
      <w:r w:rsidRPr="00455C3B">
        <w:t>also discusses risks to the regional electric power system</w:t>
      </w:r>
      <w:r w:rsidR="00455C3B">
        <w:t>—</w:t>
      </w:r>
      <w:r w:rsidRPr="00455C3B">
        <w:t>the likelihood, timing, and potential consequences of these risks</w:t>
      </w:r>
      <w:r w:rsidR="00455C3B">
        <w:t>—</w:t>
      </w:r>
      <w:r w:rsidRPr="00455C3B">
        <w:t>and mitigating actions.</w:t>
      </w:r>
      <w:r w:rsidR="00DC3790">
        <w:t xml:space="preserve"> </w:t>
      </w:r>
      <w:r w:rsidR="00766B6A">
        <w:t>T</w:t>
      </w:r>
      <w:r w:rsidRPr="001B747C">
        <w:t xml:space="preserve">he highlights of </w:t>
      </w:r>
      <w:r w:rsidR="006A59C9" w:rsidRPr="001B747C">
        <w:t>RSP</w:t>
      </w:r>
      <w:r w:rsidR="006A59C9">
        <w:t xml:space="preserve">21 </w:t>
      </w:r>
      <w:r w:rsidRPr="001B747C">
        <w:t xml:space="preserve">are as follows: </w:t>
      </w:r>
    </w:p>
    <w:p w:rsidR="00036BDA" w:rsidRPr="00FB1E32" w:rsidRDefault="00036BDA" w:rsidP="00496814">
      <w:pPr>
        <w:numPr>
          <w:ilvl w:val="0"/>
          <w:numId w:val="5"/>
        </w:numPr>
        <w:spacing w:after="120"/>
        <w:rPr>
          <w:rFonts w:eastAsia="Times New Roman"/>
        </w:rPr>
      </w:pPr>
      <w:r w:rsidRPr="00FB1E32">
        <w:rPr>
          <w:rFonts w:eastAsia="Times New Roman"/>
        </w:rPr>
        <w:t xml:space="preserve">Overall, net summer demand is expected to remain relatively steady over the next </w:t>
      </w:r>
      <w:r w:rsidR="00FB1E32" w:rsidRPr="00B453E7">
        <w:rPr>
          <w:rFonts w:eastAsia="Times New Roman"/>
        </w:rPr>
        <w:t>10</w:t>
      </w:r>
      <w:r w:rsidRPr="00FB1E32">
        <w:rPr>
          <w:rFonts w:eastAsia="Times New Roman"/>
        </w:rPr>
        <w:t xml:space="preserve"> years, and net winter demand is expected to increase. The 2021 </w:t>
      </w:r>
      <w:r w:rsidR="004959DB">
        <w:rPr>
          <w:rFonts w:eastAsia="Times New Roman"/>
        </w:rPr>
        <w:t>Capacity, Energy, Loads and Transmission (</w:t>
      </w:r>
      <w:r w:rsidRPr="00FB1E32">
        <w:rPr>
          <w:rFonts w:eastAsia="Times New Roman"/>
        </w:rPr>
        <w:t>CELT</w:t>
      </w:r>
      <w:r w:rsidR="004959DB">
        <w:rPr>
          <w:rFonts w:eastAsia="Times New Roman"/>
        </w:rPr>
        <w:t>)</w:t>
      </w:r>
      <w:r w:rsidRPr="00FB1E32">
        <w:rPr>
          <w:rFonts w:eastAsia="Times New Roman"/>
        </w:rPr>
        <w:t xml:space="preserve"> forecast of </w:t>
      </w:r>
      <w:r w:rsidRPr="00B453E7">
        <w:rPr>
          <w:rFonts w:eastAsia="Times New Roman"/>
          <w:bCs/>
        </w:rPr>
        <w:t>gross</w:t>
      </w:r>
      <w:r w:rsidRPr="00FB1E32">
        <w:rPr>
          <w:rFonts w:eastAsia="Times New Roman"/>
        </w:rPr>
        <w:t xml:space="preserve"> summer demand is significantly lower than</w:t>
      </w:r>
      <w:r w:rsidR="00AA791E">
        <w:rPr>
          <w:rFonts w:eastAsia="Times New Roman"/>
        </w:rPr>
        <w:t xml:space="preserve"> the</w:t>
      </w:r>
      <w:r w:rsidRPr="00FB1E32">
        <w:rPr>
          <w:rFonts w:eastAsia="Times New Roman"/>
        </w:rPr>
        <w:t xml:space="preserve"> 2020 CELT</w:t>
      </w:r>
      <w:r w:rsidR="00AA791E">
        <w:rPr>
          <w:rFonts w:eastAsia="Times New Roman"/>
        </w:rPr>
        <w:t xml:space="preserve"> forecast</w:t>
      </w:r>
      <w:r w:rsidR="00FB1E32">
        <w:rPr>
          <w:rFonts w:eastAsia="Times New Roman"/>
        </w:rPr>
        <w:t>,</w:t>
      </w:r>
      <w:r w:rsidRPr="00FB1E32">
        <w:rPr>
          <w:rFonts w:eastAsia="Times New Roman"/>
        </w:rPr>
        <w:t xml:space="preserve"> due to changes to the </w:t>
      </w:r>
      <w:r w:rsidR="00180CFA" w:rsidRPr="00B453E7">
        <w:rPr>
          <w:rFonts w:eastAsia="Times New Roman"/>
        </w:rPr>
        <w:t xml:space="preserve">forecast </w:t>
      </w:r>
      <w:r w:rsidRPr="00FB1E32">
        <w:rPr>
          <w:rFonts w:eastAsia="Times New Roman"/>
        </w:rPr>
        <w:t>accounting for passive</w:t>
      </w:r>
      <w:r w:rsidR="00470DA2">
        <w:rPr>
          <w:rFonts w:eastAsia="Times New Roman"/>
        </w:rPr>
        <w:t>-</w:t>
      </w:r>
      <w:r w:rsidRPr="00FB1E32">
        <w:rPr>
          <w:rFonts w:eastAsia="Times New Roman"/>
        </w:rPr>
        <w:t>demand resources.</w:t>
      </w:r>
    </w:p>
    <w:p w:rsidR="00036BDA" w:rsidRPr="00D4150E" w:rsidRDefault="00036BDA" w:rsidP="00496814">
      <w:pPr>
        <w:numPr>
          <w:ilvl w:val="0"/>
          <w:numId w:val="5"/>
        </w:numPr>
        <w:spacing w:after="120"/>
        <w:rPr>
          <w:rFonts w:eastAsia="Times New Roman"/>
        </w:rPr>
      </w:pPr>
      <w:r w:rsidRPr="00307058">
        <w:rPr>
          <w:rFonts w:eastAsia="Times New Roman"/>
        </w:rPr>
        <w:t>The macroeconomic outlook for New England suggests a slightly stronger economy than that assumed for CELT 2020, despite the impacts of the pandemic.</w:t>
      </w:r>
    </w:p>
    <w:p w:rsidR="00036BDA" w:rsidRPr="00D37EB1" w:rsidRDefault="00036BDA" w:rsidP="00496814">
      <w:pPr>
        <w:numPr>
          <w:ilvl w:val="0"/>
          <w:numId w:val="5"/>
        </w:numPr>
        <w:spacing w:after="120"/>
        <w:rPr>
          <w:rFonts w:eastAsia="Times New Roman"/>
        </w:rPr>
      </w:pPr>
      <w:r w:rsidRPr="00B453E7">
        <w:rPr>
          <w:rFonts w:eastAsia="Times New Roman"/>
        </w:rPr>
        <w:t>Both 2021 CELT electrification forecasts (transportation and heating) increased relative to</w:t>
      </w:r>
      <w:r w:rsidR="00AA791E">
        <w:rPr>
          <w:rFonts w:eastAsia="Times New Roman"/>
        </w:rPr>
        <w:t xml:space="preserve"> those in the</w:t>
      </w:r>
      <w:r w:rsidRPr="00B453E7">
        <w:rPr>
          <w:rFonts w:eastAsia="Times New Roman"/>
        </w:rPr>
        <w:t xml:space="preserve"> 2020 CELT, adding significant amounts of new winter demand by 2030. Beyond the current 10-year planning horizon, </w:t>
      </w:r>
      <w:r w:rsidR="00815EBF">
        <w:rPr>
          <w:rFonts w:eastAsia="Times New Roman"/>
        </w:rPr>
        <w:t xml:space="preserve">the </w:t>
      </w:r>
      <w:r w:rsidRPr="00B453E7">
        <w:rPr>
          <w:rFonts w:eastAsia="Times New Roman"/>
        </w:rPr>
        <w:t xml:space="preserve">increased electrification needed to achieve state long-term </w:t>
      </w:r>
      <w:r w:rsidRPr="00D37EB1">
        <w:rPr>
          <w:rFonts w:eastAsia="Times New Roman"/>
        </w:rPr>
        <w:t>decarbonization goals will likely cause the region to become a winter</w:t>
      </w:r>
      <w:r w:rsidR="00FB1E32" w:rsidRPr="00D37EB1">
        <w:rPr>
          <w:rFonts w:eastAsia="Times New Roman"/>
        </w:rPr>
        <w:t>-</w:t>
      </w:r>
      <w:r w:rsidRPr="00D37EB1">
        <w:rPr>
          <w:rFonts w:eastAsia="Times New Roman"/>
        </w:rPr>
        <w:t>peaking system (again)</w:t>
      </w:r>
      <w:r w:rsidR="00FB1E32" w:rsidRPr="00D37EB1">
        <w:rPr>
          <w:rFonts w:eastAsia="Times New Roman"/>
        </w:rPr>
        <w:t>.</w:t>
      </w:r>
      <w:r w:rsidRPr="00D37EB1">
        <w:rPr>
          <w:rStyle w:val="FootnoteReference"/>
          <w:rFonts w:eastAsia="Times New Roman"/>
        </w:rPr>
        <w:footnoteReference w:id="26"/>
      </w:r>
      <w:r w:rsidR="006D0888" w:rsidRPr="00D37EB1">
        <w:rPr>
          <w:rFonts w:eastAsia="Times New Roman"/>
        </w:rPr>
        <w:t xml:space="preserve"> </w:t>
      </w:r>
      <w:r w:rsidR="006D0888" w:rsidRPr="00D37EB1">
        <w:t>This will require resolution of winter gas supply constraints.</w:t>
      </w:r>
    </w:p>
    <w:p w:rsidR="00036BDA" w:rsidRPr="00FB1E32" w:rsidRDefault="00AA791E" w:rsidP="00496814">
      <w:pPr>
        <w:numPr>
          <w:ilvl w:val="0"/>
          <w:numId w:val="5"/>
        </w:numPr>
        <w:spacing w:after="120"/>
        <w:rPr>
          <w:rFonts w:eastAsia="Times New Roman"/>
        </w:rPr>
      </w:pPr>
      <w:r>
        <w:rPr>
          <w:rFonts w:eastAsia="Times New Roman"/>
          <w:color w:val="000000"/>
          <w:szCs w:val="24"/>
        </w:rPr>
        <w:t xml:space="preserve">Nameplate capacity </w:t>
      </w:r>
      <w:r w:rsidR="00036BDA" w:rsidRPr="00307058">
        <w:rPr>
          <w:rFonts w:eastAsia="Times New Roman"/>
          <w:color w:val="000000"/>
          <w:szCs w:val="24"/>
        </w:rPr>
        <w:t xml:space="preserve">of distribution-connected PV </w:t>
      </w:r>
      <w:r>
        <w:rPr>
          <w:rFonts w:eastAsia="Times New Roman"/>
          <w:color w:val="000000"/>
          <w:szCs w:val="24"/>
        </w:rPr>
        <w:t>is</w:t>
      </w:r>
      <w:r w:rsidRPr="00307058">
        <w:rPr>
          <w:rFonts w:eastAsia="Times New Roman"/>
          <w:color w:val="000000"/>
          <w:szCs w:val="24"/>
        </w:rPr>
        <w:t xml:space="preserve"> </w:t>
      </w:r>
      <w:r w:rsidR="00036BDA" w:rsidRPr="00307058">
        <w:rPr>
          <w:rFonts w:eastAsia="Times New Roman"/>
          <w:color w:val="000000"/>
          <w:szCs w:val="24"/>
        </w:rPr>
        <w:t>expected to reach more than 10 GW by 2030</w:t>
      </w:r>
      <w:r w:rsidR="0022532C">
        <w:rPr>
          <w:rFonts w:eastAsia="Times New Roman"/>
          <w:color w:val="000000"/>
          <w:szCs w:val="24"/>
        </w:rPr>
        <w:t xml:space="preserve"> in comparison to the nearly 4,000 MW (alternating current [AC]) </w:t>
      </w:r>
      <w:r w:rsidR="0022532C" w:rsidRPr="001B747C">
        <w:rPr>
          <w:rFonts w:eastAsia="Times New Roman"/>
          <w:color w:val="000000"/>
          <w:szCs w:val="24"/>
        </w:rPr>
        <w:t xml:space="preserve">nameplate capacity </w:t>
      </w:r>
      <w:r w:rsidR="0022532C">
        <w:rPr>
          <w:rFonts w:eastAsia="Times New Roman"/>
          <w:color w:val="000000"/>
          <w:szCs w:val="24"/>
        </w:rPr>
        <w:t>at</w:t>
      </w:r>
      <w:r w:rsidR="0022532C" w:rsidRPr="001B747C">
        <w:rPr>
          <w:rFonts w:eastAsia="Times New Roman"/>
          <w:color w:val="000000"/>
          <w:szCs w:val="24"/>
        </w:rPr>
        <w:t xml:space="preserve"> the end of </w:t>
      </w:r>
      <w:r w:rsidR="0022532C">
        <w:rPr>
          <w:rFonts w:eastAsia="Times New Roman"/>
          <w:color w:val="000000"/>
          <w:szCs w:val="24"/>
        </w:rPr>
        <w:t>2020</w:t>
      </w:r>
      <w:r w:rsidR="00FB1E32">
        <w:rPr>
          <w:rFonts w:eastAsia="Times New Roman"/>
          <w:color w:val="000000"/>
          <w:szCs w:val="24"/>
        </w:rPr>
        <w:t>.</w:t>
      </w:r>
      <w:r w:rsidR="00036BDA" w:rsidRPr="00FB1E32">
        <w:rPr>
          <w:rFonts w:eastAsia="Times New Roman"/>
          <w:color w:val="000000"/>
          <w:szCs w:val="24"/>
        </w:rPr>
        <w:t xml:space="preserve"> </w:t>
      </w:r>
      <w:r w:rsidR="00D1425E" w:rsidRPr="00B453E7">
        <w:rPr>
          <w:rFonts w:eastAsia="Times New Roman"/>
          <w:color w:val="000000"/>
          <w:szCs w:val="24"/>
        </w:rPr>
        <w:t>Together</w:t>
      </w:r>
      <w:r w:rsidR="00036BDA" w:rsidRPr="00FB1E32">
        <w:rPr>
          <w:rFonts w:eastAsia="Times New Roman"/>
          <w:color w:val="000000"/>
          <w:szCs w:val="24"/>
        </w:rPr>
        <w:t xml:space="preserve"> with the accelerating </w:t>
      </w:r>
      <w:r w:rsidR="0022532C">
        <w:rPr>
          <w:rFonts w:eastAsia="Times New Roman"/>
          <w:color w:val="000000"/>
          <w:szCs w:val="24"/>
        </w:rPr>
        <w:t xml:space="preserve">increases in </w:t>
      </w:r>
      <w:r w:rsidR="00036BDA" w:rsidRPr="00FB1E32">
        <w:rPr>
          <w:rFonts w:eastAsia="Times New Roman"/>
          <w:color w:val="000000"/>
          <w:szCs w:val="24"/>
        </w:rPr>
        <w:t xml:space="preserve">heating and transportation electrification, </w:t>
      </w:r>
      <w:r w:rsidR="00D1425E" w:rsidRPr="00B453E7">
        <w:rPr>
          <w:rFonts w:eastAsia="Times New Roman"/>
          <w:color w:val="000000"/>
          <w:szCs w:val="24"/>
        </w:rPr>
        <w:t xml:space="preserve">these trends </w:t>
      </w:r>
      <w:r w:rsidR="00036BDA" w:rsidRPr="00FB1E32">
        <w:rPr>
          <w:rFonts w:eastAsia="Times New Roman"/>
          <w:color w:val="000000"/>
          <w:szCs w:val="24"/>
        </w:rPr>
        <w:t>will significantly change the region’s load characteristics, and are a key consideration as the New England grid evolves.</w:t>
      </w:r>
    </w:p>
    <w:p w:rsidR="008215C9" w:rsidRPr="006067E1" w:rsidRDefault="008C7789" w:rsidP="00496814">
      <w:pPr>
        <w:numPr>
          <w:ilvl w:val="0"/>
          <w:numId w:val="4"/>
        </w:numPr>
        <w:spacing w:after="120"/>
        <w:rPr>
          <w:rFonts w:eastAsia="Times New Roman"/>
        </w:rPr>
      </w:pPr>
      <w:r w:rsidRPr="006067E1">
        <w:rPr>
          <w:rFonts w:eastAsia="Times New Roman"/>
        </w:rPr>
        <w:t xml:space="preserve">Significant development of renewable </w:t>
      </w:r>
      <w:r w:rsidR="00A07324">
        <w:rPr>
          <w:rFonts w:eastAsia="Times New Roman"/>
        </w:rPr>
        <w:t>and battery</w:t>
      </w:r>
      <w:r w:rsidR="00FB1E32">
        <w:rPr>
          <w:rFonts w:eastAsia="Times New Roman"/>
        </w:rPr>
        <w:t>-</w:t>
      </w:r>
      <w:r w:rsidR="00A07324">
        <w:rPr>
          <w:rFonts w:eastAsia="Times New Roman"/>
        </w:rPr>
        <w:t xml:space="preserve">storage </w:t>
      </w:r>
      <w:r w:rsidRPr="006067E1">
        <w:rPr>
          <w:rFonts w:eastAsia="Times New Roman"/>
        </w:rPr>
        <w:t xml:space="preserve">resources </w:t>
      </w:r>
      <w:r w:rsidR="008764E6">
        <w:rPr>
          <w:rFonts w:eastAsia="Times New Roman"/>
        </w:rPr>
        <w:t>to meet the region</w:t>
      </w:r>
      <w:r w:rsidR="00D1425E">
        <w:rPr>
          <w:rFonts w:eastAsia="Times New Roman"/>
        </w:rPr>
        <w:t>’</w:t>
      </w:r>
      <w:r w:rsidR="008764E6">
        <w:rPr>
          <w:rFonts w:eastAsia="Times New Roman"/>
        </w:rPr>
        <w:t xml:space="preserve">s decarbonization goals </w:t>
      </w:r>
      <w:r w:rsidRPr="006067E1">
        <w:rPr>
          <w:rFonts w:eastAsia="Times New Roman"/>
        </w:rPr>
        <w:t>will continue</w:t>
      </w:r>
      <w:r w:rsidR="008764E6">
        <w:rPr>
          <w:rFonts w:eastAsia="Times New Roman"/>
        </w:rPr>
        <w:t>,</w:t>
      </w:r>
      <w:r w:rsidRPr="006067E1">
        <w:rPr>
          <w:rFonts w:eastAsia="Times New Roman"/>
        </w:rPr>
        <w:t xml:space="preserve"> and will </w:t>
      </w:r>
      <w:r w:rsidR="007F5547">
        <w:rPr>
          <w:rFonts w:eastAsia="Times New Roman"/>
        </w:rPr>
        <w:t>require</w:t>
      </w:r>
      <w:r w:rsidR="007F5547" w:rsidRPr="006067E1">
        <w:rPr>
          <w:rFonts w:eastAsia="Times New Roman"/>
        </w:rPr>
        <w:t xml:space="preserve"> </w:t>
      </w:r>
      <w:r w:rsidR="00A07324">
        <w:rPr>
          <w:rFonts w:eastAsia="Times New Roman"/>
        </w:rPr>
        <w:t xml:space="preserve">planning and operational </w:t>
      </w:r>
      <w:r w:rsidR="007F5547">
        <w:rPr>
          <w:rFonts w:eastAsia="Times New Roman"/>
        </w:rPr>
        <w:t>tools and processes to evolve to operate a future grid that includes:</w:t>
      </w:r>
      <w:r w:rsidR="006067E1">
        <w:rPr>
          <w:rFonts w:eastAsia="Times New Roman"/>
        </w:rPr>
        <w:t xml:space="preserve"> </w:t>
      </w:r>
    </w:p>
    <w:p w:rsidR="008215C9" w:rsidRPr="006067E1" w:rsidRDefault="008C7789" w:rsidP="00496814">
      <w:pPr>
        <w:numPr>
          <w:ilvl w:val="1"/>
          <w:numId w:val="4"/>
        </w:numPr>
        <w:spacing w:after="120"/>
        <w:rPr>
          <w:rFonts w:eastAsia="Times New Roman"/>
        </w:rPr>
      </w:pPr>
      <w:r w:rsidRPr="006067E1">
        <w:rPr>
          <w:rFonts w:eastAsia="Times New Roman"/>
        </w:rPr>
        <w:t>Large</w:t>
      </w:r>
      <w:r w:rsidR="00FB1E32">
        <w:rPr>
          <w:rFonts w:eastAsia="Times New Roman"/>
        </w:rPr>
        <w:t>-</w:t>
      </w:r>
      <w:r w:rsidRPr="006067E1">
        <w:rPr>
          <w:rFonts w:eastAsia="Times New Roman"/>
        </w:rPr>
        <w:t xml:space="preserve">scale offshore wind </w:t>
      </w:r>
      <w:r w:rsidR="006067E1">
        <w:rPr>
          <w:rFonts w:eastAsia="Times New Roman"/>
        </w:rPr>
        <w:t xml:space="preserve">interconnections </w:t>
      </w:r>
    </w:p>
    <w:p w:rsidR="008215C9" w:rsidRPr="005448E1" w:rsidRDefault="008C7789" w:rsidP="00496814">
      <w:pPr>
        <w:numPr>
          <w:ilvl w:val="1"/>
          <w:numId w:val="4"/>
        </w:numPr>
        <w:spacing w:after="120"/>
        <w:rPr>
          <w:rFonts w:eastAsia="Times New Roman"/>
        </w:rPr>
      </w:pPr>
      <w:r w:rsidRPr="00F77F1B">
        <w:rPr>
          <w:rFonts w:eastAsia="Times New Roman"/>
        </w:rPr>
        <w:t>Numerous small solar</w:t>
      </w:r>
      <w:r w:rsidR="00A07324" w:rsidRPr="00F77F1B">
        <w:rPr>
          <w:rFonts w:eastAsia="Times New Roman"/>
        </w:rPr>
        <w:t>, battery storage,</w:t>
      </w:r>
      <w:r w:rsidRPr="00F77F1B">
        <w:rPr>
          <w:rFonts w:eastAsia="Times New Roman"/>
        </w:rPr>
        <w:t xml:space="preserve"> </w:t>
      </w:r>
      <w:r w:rsidR="00A07324" w:rsidRPr="00F77F1B">
        <w:rPr>
          <w:rFonts w:eastAsia="Times New Roman"/>
        </w:rPr>
        <w:t xml:space="preserve">and co-located </w:t>
      </w:r>
      <w:r w:rsidR="00F77F1B" w:rsidRPr="00B453E7">
        <w:rPr>
          <w:rFonts w:eastAsia="Times New Roman"/>
        </w:rPr>
        <w:t>(</w:t>
      </w:r>
      <w:r w:rsidR="00A07324" w:rsidRPr="00F77F1B">
        <w:rPr>
          <w:rFonts w:eastAsia="Times New Roman"/>
        </w:rPr>
        <w:t>solar and battery</w:t>
      </w:r>
      <w:r w:rsidR="00E00186">
        <w:rPr>
          <w:rFonts w:eastAsia="Times New Roman"/>
        </w:rPr>
        <w:t>-</w:t>
      </w:r>
      <w:r w:rsidR="00A07324" w:rsidRPr="00F77F1B">
        <w:rPr>
          <w:rFonts w:eastAsia="Times New Roman"/>
        </w:rPr>
        <w:t>storage</w:t>
      </w:r>
      <w:r w:rsidR="00F77F1B" w:rsidRPr="00F77F1B">
        <w:rPr>
          <w:rFonts w:eastAsia="Times New Roman"/>
        </w:rPr>
        <w:t>)</w:t>
      </w:r>
      <w:r w:rsidR="00A07324" w:rsidRPr="00F77F1B">
        <w:rPr>
          <w:rFonts w:eastAsia="Times New Roman"/>
        </w:rPr>
        <w:t xml:space="preserve"> </w:t>
      </w:r>
      <w:r w:rsidRPr="00D4150E">
        <w:rPr>
          <w:rFonts w:eastAsia="Times New Roman"/>
        </w:rPr>
        <w:t>resources, many of which will likely be interconnected at the distribution level</w:t>
      </w:r>
    </w:p>
    <w:p w:rsidR="009316C5" w:rsidRPr="006067E1" w:rsidRDefault="009316C5" w:rsidP="00496814">
      <w:pPr>
        <w:numPr>
          <w:ilvl w:val="1"/>
          <w:numId w:val="4"/>
        </w:numPr>
        <w:spacing w:after="120"/>
        <w:rPr>
          <w:rFonts w:eastAsia="Times New Roman"/>
        </w:rPr>
      </w:pPr>
      <w:r>
        <w:rPr>
          <w:rFonts w:eastAsia="Times New Roman"/>
        </w:rPr>
        <w:t>The potential for a</w:t>
      </w:r>
      <w:r w:rsidRPr="006067E1">
        <w:rPr>
          <w:rFonts w:eastAsia="Times New Roman"/>
        </w:rPr>
        <w:t>n influx of non-market</w:t>
      </w:r>
      <w:r>
        <w:rPr>
          <w:rFonts w:eastAsia="Times New Roman"/>
        </w:rPr>
        <w:t>-</w:t>
      </w:r>
      <w:r w:rsidRPr="006067E1">
        <w:rPr>
          <w:rFonts w:eastAsia="Times New Roman"/>
        </w:rPr>
        <w:t>facing renewable resources</w:t>
      </w:r>
    </w:p>
    <w:p w:rsidR="008215C9" w:rsidRPr="006067E1" w:rsidRDefault="008C7789" w:rsidP="00496814">
      <w:pPr>
        <w:numPr>
          <w:ilvl w:val="0"/>
          <w:numId w:val="4"/>
        </w:numPr>
        <w:spacing w:after="120"/>
        <w:rPr>
          <w:rFonts w:eastAsia="Times New Roman"/>
        </w:rPr>
      </w:pPr>
      <w:r w:rsidRPr="00D4150E">
        <w:rPr>
          <w:rFonts w:eastAsia="Times New Roman"/>
        </w:rPr>
        <w:t xml:space="preserve">As a result of current state policy, </w:t>
      </w:r>
      <w:r w:rsidR="00AA791E">
        <w:rPr>
          <w:rFonts w:eastAsia="Times New Roman"/>
        </w:rPr>
        <w:t xml:space="preserve">the </w:t>
      </w:r>
      <w:r w:rsidRPr="00D4150E">
        <w:rPr>
          <w:rFonts w:eastAsia="Times New Roman"/>
        </w:rPr>
        <w:t>resource mix is</w:t>
      </w:r>
      <w:r w:rsidRPr="006067E1">
        <w:rPr>
          <w:rFonts w:eastAsia="Times New Roman"/>
        </w:rPr>
        <w:t xml:space="preserve"> expected to </w:t>
      </w:r>
      <w:r w:rsidR="00C56BF8">
        <w:rPr>
          <w:rFonts w:eastAsia="Times New Roman"/>
        </w:rPr>
        <w:t>dramatically</w:t>
      </w:r>
      <w:r w:rsidR="00C56BF8" w:rsidRPr="006067E1">
        <w:rPr>
          <w:rFonts w:eastAsia="Times New Roman"/>
        </w:rPr>
        <w:t xml:space="preserve"> </w:t>
      </w:r>
      <w:r w:rsidRPr="006067E1">
        <w:rPr>
          <w:rFonts w:eastAsia="Times New Roman"/>
        </w:rPr>
        <w:t>change over the next 20 years</w:t>
      </w:r>
      <w:r w:rsidR="006067E1" w:rsidRPr="006067E1">
        <w:rPr>
          <w:rFonts w:eastAsia="Times New Roman"/>
        </w:rPr>
        <w:t xml:space="preserve">. </w:t>
      </w:r>
      <w:r w:rsidRPr="006067E1">
        <w:rPr>
          <w:rFonts w:eastAsia="Times New Roman"/>
        </w:rPr>
        <w:t>Near term, New England has enough supply-side resources to meet demand as demonstrated in the most recent</w:t>
      </w:r>
      <w:r w:rsidR="00650960">
        <w:rPr>
          <w:rFonts w:eastAsia="Times New Roman"/>
        </w:rPr>
        <w:t xml:space="preserve"> </w:t>
      </w:r>
      <w:hyperlink r:id="rId72" w:history="1">
        <w:r w:rsidR="0083608D" w:rsidRPr="00C56BF8">
          <w:rPr>
            <w:rStyle w:val="Hyperlink"/>
            <w:rFonts w:eastAsia="Times New Roman"/>
          </w:rPr>
          <w:t>Forward Capacity Auction (</w:t>
        </w:r>
        <w:r w:rsidR="00650960" w:rsidRPr="00C56BF8">
          <w:rPr>
            <w:rStyle w:val="Hyperlink"/>
            <w:rFonts w:eastAsia="Times New Roman"/>
          </w:rPr>
          <w:t>FCA</w:t>
        </w:r>
        <w:r w:rsidR="0083608D" w:rsidRPr="00C56BF8">
          <w:rPr>
            <w:rStyle w:val="Hyperlink"/>
            <w:rFonts w:eastAsia="Times New Roman"/>
          </w:rPr>
          <w:t>)</w:t>
        </w:r>
        <w:r w:rsidR="00AA791E" w:rsidRPr="00C56BF8">
          <w:rPr>
            <w:rStyle w:val="Hyperlink"/>
            <w:rFonts w:eastAsia="Times New Roman"/>
          </w:rPr>
          <w:t>,</w:t>
        </w:r>
        <w:r w:rsidRPr="00C56BF8">
          <w:rPr>
            <w:rStyle w:val="Hyperlink"/>
            <w:rFonts w:eastAsia="Times New Roman"/>
          </w:rPr>
          <w:t xml:space="preserve"> for Capacity Commitment Period </w:t>
        </w:r>
        <w:r w:rsidR="007D236E" w:rsidRPr="00C56BF8">
          <w:rPr>
            <w:rStyle w:val="Hyperlink"/>
            <w:rFonts w:eastAsia="Times New Roman"/>
          </w:rPr>
          <w:t>2024-2025</w:t>
        </w:r>
      </w:hyperlink>
      <w:r w:rsidR="006067E1">
        <w:rPr>
          <w:rFonts w:eastAsia="Times New Roman"/>
        </w:rPr>
        <w:t>.</w:t>
      </w:r>
    </w:p>
    <w:p w:rsidR="009316C5" w:rsidRPr="009316C5" w:rsidRDefault="009316C5" w:rsidP="00496814">
      <w:pPr>
        <w:numPr>
          <w:ilvl w:val="0"/>
          <w:numId w:val="4"/>
        </w:numPr>
        <w:spacing w:after="120"/>
        <w:rPr>
          <w:rFonts w:eastAsia="Times New Roman"/>
        </w:rPr>
      </w:pPr>
      <w:r w:rsidRPr="009316C5">
        <w:rPr>
          <w:rFonts w:eastAsia="Times New Roman"/>
        </w:rPr>
        <w:t xml:space="preserve">Efforts to reexamine </w:t>
      </w:r>
      <w:r w:rsidRPr="006A5437">
        <w:rPr>
          <w:rFonts w:eastAsia="Times New Roman"/>
          <w:i/>
        </w:rPr>
        <w:t>how</w:t>
      </w:r>
      <w:r w:rsidRPr="009316C5">
        <w:rPr>
          <w:rFonts w:eastAsia="Times New Roman"/>
        </w:rPr>
        <w:t xml:space="preserve"> to meet reliability</w:t>
      </w:r>
      <w:r w:rsidR="00BA78F9">
        <w:rPr>
          <w:rFonts w:eastAsia="Times New Roman"/>
        </w:rPr>
        <w:t xml:space="preserve"> within the </w:t>
      </w:r>
      <w:r w:rsidR="004B6CB0">
        <w:rPr>
          <w:rFonts w:eastAsia="Times New Roman"/>
        </w:rPr>
        <w:t>10</w:t>
      </w:r>
      <w:r w:rsidR="00BA78F9">
        <w:rPr>
          <w:rFonts w:eastAsia="Times New Roman"/>
        </w:rPr>
        <w:t>-year planning period and beyond</w:t>
      </w:r>
      <w:r w:rsidRPr="009316C5">
        <w:rPr>
          <w:rFonts w:eastAsia="Times New Roman"/>
        </w:rPr>
        <w:t xml:space="preserve"> will be a top priority</w:t>
      </w:r>
      <w:r w:rsidR="00BA78F9">
        <w:rPr>
          <w:rFonts w:eastAsia="Times New Roman"/>
        </w:rPr>
        <w:t>.</w:t>
      </w:r>
      <w:r w:rsidRPr="009316C5">
        <w:rPr>
          <w:rFonts w:eastAsia="Times New Roman"/>
        </w:rPr>
        <w:t xml:space="preserve"> </w:t>
      </w:r>
      <w:r w:rsidR="00BA78F9">
        <w:rPr>
          <w:rFonts w:eastAsia="Times New Roman"/>
        </w:rPr>
        <w:t>This</w:t>
      </w:r>
      <w:r w:rsidRPr="009316C5">
        <w:rPr>
          <w:rFonts w:eastAsia="Times New Roman"/>
        </w:rPr>
        <w:t xml:space="preserve"> will require the ISO to focus on </w:t>
      </w:r>
      <w:r>
        <w:rPr>
          <w:rFonts w:eastAsia="Times New Roman"/>
        </w:rPr>
        <w:t>m</w:t>
      </w:r>
      <w:r w:rsidRPr="009316C5">
        <w:rPr>
          <w:rFonts w:eastAsia="Times New Roman"/>
        </w:rPr>
        <w:t xml:space="preserve">eeting system-security requirements with resources that </w:t>
      </w:r>
      <w:r w:rsidR="00B4133B">
        <w:rPr>
          <w:rFonts w:eastAsia="Times New Roman"/>
        </w:rPr>
        <w:t xml:space="preserve">are energy-constrained and/or </w:t>
      </w:r>
      <w:r w:rsidRPr="009316C5">
        <w:rPr>
          <w:rFonts w:eastAsia="Times New Roman"/>
        </w:rPr>
        <w:t>have limited observability and controllability</w:t>
      </w:r>
      <w:r>
        <w:rPr>
          <w:rFonts w:eastAsia="Times New Roman"/>
        </w:rPr>
        <w:t>.</w:t>
      </w:r>
      <w:r w:rsidRPr="009316C5">
        <w:rPr>
          <w:rFonts w:eastAsia="Times New Roman"/>
        </w:rPr>
        <w:t xml:space="preserve"> </w:t>
      </w:r>
    </w:p>
    <w:p w:rsidR="00BA78F9" w:rsidRDefault="00BA78F9" w:rsidP="00496814">
      <w:pPr>
        <w:numPr>
          <w:ilvl w:val="0"/>
          <w:numId w:val="4"/>
        </w:numPr>
        <w:spacing w:after="120"/>
        <w:rPr>
          <w:rFonts w:eastAsia="Times New Roman"/>
        </w:rPr>
      </w:pPr>
      <w:r>
        <w:t>Energy adequacy, especially during periods of extreme weather events, remains a top concern when considering reliability of the New England system over the planning horizon.</w:t>
      </w:r>
    </w:p>
    <w:p w:rsidR="005F54AB" w:rsidRPr="00FB69D4" w:rsidRDefault="006D0888" w:rsidP="00496814">
      <w:pPr>
        <w:numPr>
          <w:ilvl w:val="0"/>
          <w:numId w:val="4"/>
        </w:numPr>
        <w:spacing w:after="120"/>
        <w:rPr>
          <w:rFonts w:eastAsia="Times New Roman"/>
        </w:rPr>
      </w:pPr>
      <w:r w:rsidRPr="00FB69D4">
        <w:t>State and federal environmental protection efforts, other public policies, and economic considerations will affect the regional generating resource mix and emissions over the 10-year planning horizon. State policy subsidies will substantially change competitive market pricing and dispatch</w:t>
      </w:r>
      <w:r w:rsidR="00FB69D4" w:rsidRPr="00FB69D4">
        <w:t>,</w:t>
      </w:r>
      <w:r w:rsidRPr="00FB69D4">
        <w:t xml:space="preserve"> especially during surpluses. Reduced dispatch and revenue for generators are expected to cause retirements</w:t>
      </w:r>
      <w:r w:rsidR="00FB69D4" w:rsidRPr="00FB69D4">
        <w:t>,</w:t>
      </w:r>
      <w:r w:rsidRPr="00FB69D4">
        <w:t xml:space="preserve"> while the need for grid flexibility grows despite installation of battery storage systems. </w:t>
      </w:r>
      <w:r w:rsidR="005F54AB" w:rsidRPr="00FB69D4">
        <w:rPr>
          <w:rFonts w:eastAsia="Times New Roman"/>
        </w:rPr>
        <w:t>The environmental consequences of operation of the New England power system</w:t>
      </w:r>
      <w:r w:rsidR="00AA791E" w:rsidRPr="00FB69D4">
        <w:rPr>
          <w:rFonts w:eastAsia="Times New Roman"/>
        </w:rPr>
        <w:t xml:space="preserve"> will be a function of</w:t>
      </w:r>
      <w:r w:rsidR="005F54AB" w:rsidRPr="00FB69D4">
        <w:rPr>
          <w:rFonts w:eastAsia="Times New Roman"/>
        </w:rPr>
        <w:t xml:space="preserve"> state and federal environmental initiatives. Carbon-emission targets will likely constrain energy production by </w:t>
      </w:r>
      <w:r w:rsidR="003A2212" w:rsidRPr="00FB69D4">
        <w:rPr>
          <w:rFonts w:eastAsia="Times New Roman"/>
        </w:rPr>
        <w:t>combustion</w:t>
      </w:r>
      <w:r w:rsidR="005F54AB" w:rsidRPr="00FB69D4">
        <w:rPr>
          <w:rFonts w:eastAsia="Times New Roman"/>
        </w:rPr>
        <w:t xml:space="preserve"> generators.</w:t>
      </w:r>
    </w:p>
    <w:p w:rsidR="00776BA4" w:rsidRPr="001B747C" w:rsidRDefault="00776BA4" w:rsidP="00496814">
      <w:pPr>
        <w:numPr>
          <w:ilvl w:val="0"/>
          <w:numId w:val="4"/>
        </w:numPr>
        <w:spacing w:after="120"/>
        <w:rPr>
          <w:rFonts w:eastAsia="Times New Roman"/>
          <w:szCs w:val="24"/>
        </w:rPr>
      </w:pPr>
      <w:r w:rsidRPr="000B2882">
        <w:rPr>
          <w:rFonts w:eastAsia="Times New Roman"/>
        </w:rPr>
        <w:t>Transmission expansion in New England has improved the overall level of reliability and</w:t>
      </w:r>
      <w:r w:rsidRPr="001B747C">
        <w:rPr>
          <w:rFonts w:eastAsia="Times New Roman"/>
          <w:szCs w:val="24"/>
        </w:rPr>
        <w:t xml:space="preserve"> resiliency, reduced air emissions, and lowered wholesale market costs by nearly eliminating congestion. Generator retirements, off-peak system needs, </w:t>
      </w:r>
      <w:r w:rsidR="006067E1">
        <w:rPr>
          <w:rFonts w:eastAsia="Times New Roman"/>
          <w:szCs w:val="24"/>
        </w:rPr>
        <w:t xml:space="preserve">and </w:t>
      </w:r>
      <w:r w:rsidRPr="001B747C">
        <w:rPr>
          <w:rFonts w:eastAsia="Times New Roman"/>
          <w:szCs w:val="24"/>
        </w:rPr>
        <w:t>the growth of inverter-based resources</w:t>
      </w:r>
      <w:r w:rsidR="00313F0D">
        <w:rPr>
          <w:rFonts w:eastAsia="Times New Roman"/>
          <w:szCs w:val="24"/>
        </w:rPr>
        <w:t xml:space="preserve"> will likely be the main drivers for transmission</w:t>
      </w:r>
      <w:r w:rsidR="00B51601">
        <w:rPr>
          <w:rFonts w:eastAsia="Times New Roman"/>
          <w:szCs w:val="24"/>
        </w:rPr>
        <w:t>-</w:t>
      </w:r>
      <w:r w:rsidR="00313F0D">
        <w:rPr>
          <w:rFonts w:eastAsia="Times New Roman"/>
          <w:szCs w:val="24"/>
        </w:rPr>
        <w:t>system expansion in the future</w:t>
      </w:r>
      <w:r w:rsidR="006067E1">
        <w:rPr>
          <w:rFonts w:eastAsia="Times New Roman"/>
          <w:szCs w:val="24"/>
        </w:rPr>
        <w:t>.</w:t>
      </w:r>
      <w:r w:rsidRPr="001B747C">
        <w:rPr>
          <w:rFonts w:eastAsia="Times New Roman"/>
          <w:szCs w:val="24"/>
        </w:rPr>
        <w:t xml:space="preserve"> </w:t>
      </w:r>
    </w:p>
    <w:p w:rsidR="006067E1" w:rsidRPr="006067E1" w:rsidRDefault="00776BA4" w:rsidP="00496814">
      <w:pPr>
        <w:numPr>
          <w:ilvl w:val="0"/>
          <w:numId w:val="4"/>
        </w:numPr>
        <w:spacing w:after="120"/>
        <w:rPr>
          <w:rFonts w:eastAsia="Times New Roman"/>
        </w:rPr>
      </w:pPr>
      <w:r w:rsidRPr="001B747C">
        <w:rPr>
          <w:rFonts w:eastAsia="Times New Roman"/>
          <w:szCs w:val="24"/>
        </w:rPr>
        <w:t xml:space="preserve">Revisions to the ISO planning processes now reflect probabilistic study assumptions and changes to national and regional criteria. </w:t>
      </w:r>
      <w:r w:rsidR="006067E1">
        <w:rPr>
          <w:rFonts w:eastAsia="Times New Roman"/>
          <w:szCs w:val="24"/>
        </w:rPr>
        <w:t xml:space="preserve">Additional changes are forthcoming upon completion of the </w:t>
      </w:r>
      <w:r w:rsidR="00A86C5C">
        <w:t>TPCET Pilot Study</w:t>
      </w:r>
      <w:r w:rsidR="006067E1">
        <w:rPr>
          <w:rFonts w:eastAsia="Times New Roman"/>
          <w:szCs w:val="24"/>
        </w:rPr>
        <w:t xml:space="preserve">.  </w:t>
      </w:r>
    </w:p>
    <w:p w:rsidR="00776BA4" w:rsidRPr="008149DB" w:rsidRDefault="006067E1" w:rsidP="00496814">
      <w:pPr>
        <w:numPr>
          <w:ilvl w:val="0"/>
          <w:numId w:val="5"/>
        </w:numPr>
        <w:rPr>
          <w:rFonts w:eastAsia="Times New Roman"/>
          <w:szCs w:val="24"/>
        </w:rPr>
      </w:pPr>
      <w:r>
        <w:rPr>
          <w:rFonts w:eastAsia="Times New Roman"/>
        </w:rPr>
        <w:t>I</w:t>
      </w:r>
      <w:r w:rsidR="008C7789" w:rsidRPr="006067E1">
        <w:rPr>
          <w:rFonts w:eastAsia="Times New Roman"/>
        </w:rPr>
        <w:t xml:space="preserve">nterregional planning requirements and coordinating with </w:t>
      </w:r>
      <w:r w:rsidR="007F6EF4">
        <w:rPr>
          <w:rFonts w:eastAsia="Times New Roman"/>
        </w:rPr>
        <w:t>the New York ISO (</w:t>
      </w:r>
      <w:r w:rsidR="008C7789" w:rsidRPr="006067E1">
        <w:rPr>
          <w:rFonts w:eastAsia="Times New Roman"/>
        </w:rPr>
        <w:t>NYISO</w:t>
      </w:r>
      <w:r w:rsidR="007F6EF4">
        <w:rPr>
          <w:rFonts w:eastAsia="Times New Roman"/>
        </w:rPr>
        <w:t>)</w:t>
      </w:r>
      <w:r w:rsidR="008C7789" w:rsidRPr="006067E1">
        <w:rPr>
          <w:rFonts w:eastAsia="Times New Roman"/>
        </w:rPr>
        <w:t>, PJM</w:t>
      </w:r>
      <w:r w:rsidR="007F6EF4">
        <w:rPr>
          <w:rFonts w:eastAsia="Times New Roman"/>
        </w:rPr>
        <w:t xml:space="preserve"> Interconnection</w:t>
      </w:r>
      <w:r w:rsidR="008C7789" w:rsidRPr="006067E1">
        <w:rPr>
          <w:rFonts w:eastAsia="Times New Roman"/>
        </w:rPr>
        <w:t>, and other interregional planning entities (</w:t>
      </w:r>
      <w:hyperlink r:id="rId73" w:history="1">
        <w:r w:rsidR="007F6EF4" w:rsidRPr="006C6420">
          <w:rPr>
            <w:rStyle w:val="Hyperlink"/>
          </w:rPr>
          <w:t>Northeast Power Coordinating Council</w:t>
        </w:r>
      </w:hyperlink>
      <w:r w:rsidR="007F6EF4">
        <w:t xml:space="preserve"> [</w:t>
      </w:r>
      <w:r w:rsidR="007F6EF4" w:rsidRPr="006C6420">
        <w:t>NPCC</w:t>
      </w:r>
      <w:r w:rsidR="007F6EF4">
        <w:t>]</w:t>
      </w:r>
      <w:r w:rsidR="007F6EF4" w:rsidRPr="006C6420">
        <w:t>,</w:t>
      </w:r>
      <w:r w:rsidR="007F6EF4">
        <w:t xml:space="preserve"> </w:t>
      </w:r>
      <w:hyperlink r:id="rId74" w:history="1">
        <w:r w:rsidR="007F6EF4" w:rsidRPr="00832DD1">
          <w:rPr>
            <w:rStyle w:val="Hyperlink"/>
          </w:rPr>
          <w:t>North American Electric Reliability Corporation</w:t>
        </w:r>
      </w:hyperlink>
      <w:r w:rsidR="007F6EF4">
        <w:t xml:space="preserve"> [NERC], </w:t>
      </w:r>
      <w:r w:rsidR="007F6EF4" w:rsidRPr="001B747C">
        <w:t xml:space="preserve">and the </w:t>
      </w:r>
      <w:hyperlink r:id="rId75" w:history="1">
        <w:r w:rsidR="007F6EF4" w:rsidRPr="00832DD1">
          <w:rPr>
            <w:rStyle w:val="Hyperlink"/>
          </w:rPr>
          <w:t>Eastern Interconnection Planning Collaborative</w:t>
        </w:r>
      </w:hyperlink>
      <w:r w:rsidR="007F6EF4">
        <w:t xml:space="preserve"> [EIPC]</w:t>
      </w:r>
      <w:r w:rsidR="008C7789" w:rsidRPr="006067E1">
        <w:rPr>
          <w:rFonts w:eastAsia="Times New Roman"/>
        </w:rPr>
        <w:t>)</w:t>
      </w:r>
      <w:r>
        <w:rPr>
          <w:rFonts w:eastAsia="Times New Roman"/>
        </w:rPr>
        <w:t xml:space="preserve"> will continue to be essential to ensure </w:t>
      </w:r>
      <w:r w:rsidR="00AA791E">
        <w:rPr>
          <w:rFonts w:eastAsia="Times New Roman"/>
        </w:rPr>
        <w:t xml:space="preserve">the </w:t>
      </w:r>
      <w:r>
        <w:rPr>
          <w:rFonts w:eastAsia="Times New Roman"/>
        </w:rPr>
        <w:t>reliability of the New England system.</w:t>
      </w:r>
      <w:r w:rsidR="00EE448E">
        <w:rPr>
          <w:rFonts w:eastAsia="Times New Roman"/>
        </w:rPr>
        <w:t xml:space="preserve"> </w:t>
      </w:r>
      <w:r w:rsidR="008149DB">
        <w:t>In response to the New England electric</w:t>
      </w:r>
      <w:r w:rsidR="00650960">
        <w:t>-</w:t>
      </w:r>
      <w:r w:rsidR="008149DB">
        <w:t xml:space="preserve">power system becoming more energy limited, the ISO has improved planning models, enhanced the markets, and improved operational processes. From a planning </w:t>
      </w:r>
      <w:r w:rsidR="008149DB" w:rsidRPr="008149DB">
        <w:t xml:space="preserve">perspective, coordination with other </w:t>
      </w:r>
      <w:r w:rsidR="007F6EF4">
        <w:t>Regional Transmission Operators (</w:t>
      </w:r>
      <w:r w:rsidR="008149DB" w:rsidRPr="008149DB">
        <w:t>RTO</w:t>
      </w:r>
      <w:r w:rsidR="007F6EF4">
        <w:t>s)</w:t>
      </w:r>
      <w:r w:rsidR="008149DB" w:rsidRPr="008149DB">
        <w:t>/</w:t>
      </w:r>
      <w:r w:rsidR="007F6EF4">
        <w:t>Independent System Operators (</w:t>
      </w:r>
      <w:r w:rsidR="008149DB" w:rsidRPr="008149DB">
        <w:t>ISOs</w:t>
      </w:r>
      <w:r w:rsidR="007F6EF4">
        <w:t>)</w:t>
      </w:r>
      <w:r w:rsidR="008149DB" w:rsidRPr="008149DB">
        <w:t xml:space="preserve"> has proven valuable as </w:t>
      </w:r>
      <w:r w:rsidR="008149DB" w:rsidRPr="00534D54">
        <w:t xml:space="preserve">efforts continue </w:t>
      </w:r>
      <w:r w:rsidR="008149DB" w:rsidRPr="008149DB">
        <w:t>to improve forecasting methodologies and enhance planning study models to better</w:t>
      </w:r>
      <w:r w:rsidR="008149DB">
        <w:t xml:space="preserve"> represent the anticipated future power system.</w:t>
      </w:r>
    </w:p>
    <w:p w:rsidR="00496814" w:rsidRDefault="00776BA4" w:rsidP="00DB59CF">
      <w:pPr>
        <w:rPr>
          <w:rFonts w:eastAsia="Times New Roman"/>
          <w:szCs w:val="24"/>
        </w:rPr>
        <w:sectPr w:rsidR="00496814">
          <w:headerReference w:type="default" r:id="rId76"/>
          <w:footerReference w:type="default" r:id="rId77"/>
          <w:pgSz w:w="12240" w:h="15840"/>
          <w:pgMar w:top="1440" w:right="1440" w:bottom="1440" w:left="1440" w:header="720" w:footer="720" w:gutter="0"/>
          <w:cols w:space="720"/>
          <w:docGrid w:linePitch="360"/>
        </w:sectPr>
      </w:pPr>
      <w:r w:rsidRPr="001B747C">
        <w:t>Through an open process, regional stakeholders</w:t>
      </w:r>
      <w:r w:rsidR="008B07FE">
        <w:t>, the New England states</w:t>
      </w:r>
      <w:r w:rsidR="009C69A8">
        <w:t>,</w:t>
      </w:r>
      <w:r w:rsidRPr="001B747C">
        <w:t xml:space="preserve"> and the ISO are addressing these issues</w:t>
      </w:r>
      <w:r w:rsidR="004633B4">
        <w:t>. As discussed in RSP21, solutions</w:t>
      </w:r>
      <w:r w:rsidRPr="001B747C">
        <w:t xml:space="preserve"> could include further infrastructure development, as well as changes to the wholesale electricity market design and the system planning process. Through current and planned activities, the region is working toward </w:t>
      </w:r>
      <w:r w:rsidR="00270358">
        <w:t>being ready to</w:t>
      </w:r>
      <w:r w:rsidR="00AA791E" w:rsidRPr="001B747C">
        <w:t xml:space="preserve"> </w:t>
      </w:r>
      <w:r w:rsidR="00270358">
        <w:t>plan</w:t>
      </w:r>
      <w:r w:rsidR="00270358" w:rsidRPr="001B747C">
        <w:t xml:space="preserve"> </w:t>
      </w:r>
      <w:r w:rsidRPr="001B747C">
        <w:t xml:space="preserve">and </w:t>
      </w:r>
      <w:r w:rsidR="00270358">
        <w:t>operate</w:t>
      </w:r>
      <w:r w:rsidR="00270358" w:rsidRPr="001B747C">
        <w:t xml:space="preserve"> </w:t>
      </w:r>
      <w:r w:rsidRPr="001B747C">
        <w:t xml:space="preserve">the </w:t>
      </w:r>
      <w:r w:rsidR="00270358">
        <w:t xml:space="preserve">future </w:t>
      </w:r>
      <w:r w:rsidRPr="001B747C">
        <w:t xml:space="preserve">system </w:t>
      </w:r>
      <w:r w:rsidRPr="001B747C">
        <w:rPr>
          <w:rFonts w:eastAsia="Times New Roman"/>
        </w:rPr>
        <w:t>reliably.</w:t>
      </w:r>
      <w:r w:rsidRPr="001B747C">
        <w:rPr>
          <w:rFonts w:eastAsia="Times New Roman"/>
          <w:szCs w:val="24"/>
        </w:rPr>
        <w:t xml:space="preserve"> </w:t>
      </w:r>
      <w:r w:rsidR="0012265A">
        <w:rPr>
          <w:rFonts w:eastAsia="Times New Roman"/>
          <w:szCs w:val="24"/>
        </w:rPr>
        <w:t xml:space="preserve">RSP21 </w:t>
      </w:r>
      <w:r w:rsidRPr="001B747C">
        <w:rPr>
          <w:rFonts w:eastAsia="Times New Roman"/>
          <w:szCs w:val="24"/>
        </w:rPr>
        <w:t xml:space="preserve">complies with the intraregional and interregional planning processes required by the ISO’s </w:t>
      </w:r>
      <w:r w:rsidRPr="001B747C">
        <w:rPr>
          <w:rFonts w:eastAsia="Times New Roman"/>
          <w:i/>
          <w:szCs w:val="24"/>
        </w:rPr>
        <w:t>Open Access Transmission Tariff</w:t>
      </w:r>
      <w:r w:rsidRPr="001B747C">
        <w:rPr>
          <w:rFonts w:eastAsia="Times New Roman"/>
          <w:szCs w:val="24"/>
        </w:rPr>
        <w:t xml:space="preserve">. </w:t>
      </w:r>
    </w:p>
    <w:p w:rsidR="00496814" w:rsidRPr="00496814" w:rsidRDefault="00496814" w:rsidP="00D614D7">
      <w:pPr>
        <w:pStyle w:val="Heading1"/>
      </w:pPr>
      <w:bookmarkStart w:id="55" w:name="_Toc484973048"/>
      <w:bookmarkStart w:id="56" w:name="_Toc490323002"/>
      <w:bookmarkStart w:id="57" w:name="_Toc81544496"/>
      <w:r w:rsidRPr="00496814">
        <w:t>Overview of RSP, the Power System,</w:t>
      </w:r>
      <w:r w:rsidRPr="00496814">
        <w:br/>
        <w:t>and Regional System</w:t>
      </w:r>
      <w:r w:rsidR="00412A2C">
        <w:t> </w:t>
      </w:r>
      <w:r w:rsidRPr="00496814">
        <w:t>Planning</w:t>
      </w:r>
      <w:bookmarkEnd w:id="55"/>
      <w:bookmarkEnd w:id="56"/>
      <w:bookmarkEnd w:id="57"/>
      <w:r w:rsidRPr="00496814">
        <w:t xml:space="preserve"> </w:t>
      </w:r>
    </w:p>
    <w:p w:rsidR="00496814" w:rsidRPr="00496814" w:rsidRDefault="00496814" w:rsidP="00496814">
      <w:r w:rsidRPr="00496814">
        <w:rPr>
          <w:rFonts w:ascii="Calibri" w:hAnsi="Calibri" w:cs="OpenSans-Bold"/>
          <w:b/>
          <w:bCs/>
          <w:noProof/>
          <w:color w:val="3D484C"/>
          <w:sz w:val="80"/>
          <w:szCs w:val="80"/>
        </w:rPr>
        <w:drawing>
          <wp:anchor distT="0" distB="182880" distL="182880" distR="182880" simplePos="0" relativeHeight="251661312" behindDoc="0" locked="0" layoutInCell="1" allowOverlap="1" wp14:anchorId="0E5E57D5" wp14:editId="545C2F70">
            <wp:simplePos x="0" y="0"/>
            <wp:positionH relativeFrom="margin">
              <wp:align>right</wp:align>
            </wp:positionH>
            <wp:positionV relativeFrom="paragraph">
              <wp:posOffset>8890</wp:posOffset>
            </wp:positionV>
            <wp:extent cx="1600200" cy="1600200"/>
            <wp:effectExtent l="0" t="0" r="0" b="0"/>
            <wp:wrapSquare wrapText="bothSides"/>
            <wp:docPr id="45" name="Picture 4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As the Regional Transmission Organization (RTO) for New England, ISO New England (ISO) has </w:t>
      </w:r>
      <w:hyperlink r:id="rId80" w:history="1">
        <w:r w:rsidRPr="00157D35">
          <w:rPr>
            <w:rStyle w:val="Hyperlink"/>
          </w:rPr>
          <w:t>three roles</w:t>
        </w:r>
      </w:hyperlink>
      <w:r w:rsidRPr="00496814">
        <w:t>: operate the region’s electric power system, administer the region’s competitive wholesale electricity markets, and conduct the regional system planning process, which includes coordinating planning efforts with neighboring areas. The main objectives of the ISO’s system planning process are as follows:</w:t>
      </w:r>
    </w:p>
    <w:p w:rsidR="00496814" w:rsidRPr="00496814" w:rsidRDefault="00496814" w:rsidP="00496814">
      <w:pPr>
        <w:numPr>
          <w:ilvl w:val="0"/>
          <w:numId w:val="9"/>
        </w:numPr>
        <w:spacing w:after="120"/>
      </w:pPr>
      <w:r w:rsidRPr="00496814">
        <w:t>Identify system needs and potential solutions for ensuring the short-term and long-term reliability of the system</w:t>
      </w:r>
    </w:p>
    <w:p w:rsidR="00496814" w:rsidRPr="00496814" w:rsidRDefault="00496814" w:rsidP="00496814">
      <w:pPr>
        <w:numPr>
          <w:ilvl w:val="0"/>
          <w:numId w:val="9"/>
        </w:numPr>
        <w:spacing w:after="120"/>
      </w:pPr>
      <w:r w:rsidRPr="00496814">
        <w:t>Facilitate the efficient operation of the markets through resource additions and transmission upgrades that serve to reliably move power from various internal and external sources to the region’s load centers</w:t>
      </w:r>
    </w:p>
    <w:p w:rsidR="00496814" w:rsidRPr="00496814" w:rsidRDefault="00496814" w:rsidP="00496814">
      <w:pPr>
        <w:numPr>
          <w:ilvl w:val="0"/>
          <w:numId w:val="9"/>
        </w:numPr>
      </w:pPr>
      <w:r w:rsidRPr="00496814">
        <w:t>Provide information to regional stakeholders, who can further develop system improvements</w:t>
      </w:r>
    </w:p>
    <w:p w:rsidR="00496814" w:rsidRPr="00496814" w:rsidRDefault="00496814" w:rsidP="00496814">
      <w:pPr>
        <w:spacing w:line="240" w:lineRule="auto"/>
      </w:pPr>
      <w:r w:rsidRPr="00496814">
        <w:rPr>
          <w:rFonts w:eastAsia="Times New Roman"/>
        </w:rPr>
        <w:t xml:space="preserve">To meet these objectives, and in compliance with all portions of the ISO’s </w:t>
      </w:r>
      <w:hyperlink r:id="rId81" w:history="1">
        <w:r w:rsidRPr="00157D35">
          <w:rPr>
            <w:rStyle w:val="Hyperlink"/>
            <w:i/>
          </w:rPr>
          <w:t>Transmission, Markets, and Services Tariff</w:t>
        </w:r>
      </w:hyperlink>
      <w:r w:rsidRPr="00496814">
        <w:rPr>
          <w:rFonts w:eastAsia="Times New Roman"/>
          <w:i/>
        </w:rPr>
        <w:t xml:space="preserve"> </w:t>
      </w:r>
      <w:r w:rsidRPr="00496814">
        <w:rPr>
          <w:rFonts w:eastAsia="Times New Roman"/>
        </w:rPr>
        <w:t xml:space="preserve">(ISO tariff), including the </w:t>
      </w:r>
      <w:hyperlink r:id="rId82" w:history="1">
        <w:r w:rsidRPr="00157D35">
          <w:rPr>
            <w:rStyle w:val="Hyperlink"/>
            <w:i/>
          </w:rPr>
          <w:t xml:space="preserve">Open Access Transmission Tariff </w:t>
        </w:r>
      </w:hyperlink>
      <w:r w:rsidRPr="00496814">
        <w:rPr>
          <w:rFonts w:eastAsia="Times New Roman"/>
        </w:rPr>
        <w:t xml:space="preserve">(OATT), the RSP describes the ISO’s ongoing system resource and transmission planning activities covering the next 10-year period.  </w:t>
      </w:r>
      <w:r w:rsidRPr="00496814">
        <w:t xml:space="preserve">This section provides an overview of this RSP and the ISO’s regional system planning process required by the ISO’s tariff. </w:t>
      </w:r>
    </w:p>
    <w:p w:rsidR="00496814" w:rsidRPr="00496814" w:rsidRDefault="00496814" w:rsidP="00496814">
      <w:r w:rsidRPr="00496814">
        <w:t>Links are provided to other documents, including the tariff, that include exact wording and full definitions of the more complex terms. In case of any discrepancies between RSP and tariff definitions, the tariff definition rules. Links to relevant technical reports</w:t>
      </w:r>
      <w:r w:rsidR="00BA4392">
        <w:t>,</w:t>
      </w:r>
      <w:r w:rsidRPr="00496814">
        <w:t xml:space="preserve"> presentations</w:t>
      </w:r>
      <w:r w:rsidR="00BA4392">
        <w:t>,</w:t>
      </w:r>
      <w:r w:rsidRPr="00496814">
        <w:t xml:space="preserve"> and other, more detailed materials also are included throughout the report. All website addresses are current as of the time of publication. A list of acronyms and abbreviations used in this RSP can be found on the </w:t>
      </w:r>
      <w:hyperlink r:id="rId83" w:history="1">
        <w:r w:rsidRPr="00262AF9">
          <w:rPr>
            <w:rStyle w:val="Hyperlink"/>
          </w:rPr>
          <w:t>Glossary and Acronyms</w:t>
        </w:r>
      </w:hyperlink>
      <w:r w:rsidRPr="00262AF9">
        <w:t xml:space="preserve"> </w:t>
      </w:r>
      <w:r w:rsidR="00262AF9">
        <w:t>w</w:t>
      </w:r>
      <w:r w:rsidRPr="00262AF9">
        <w:t>ebpage</w:t>
      </w:r>
      <w:r w:rsidRPr="00496814">
        <w:t>.</w:t>
      </w:r>
    </w:p>
    <w:p w:rsidR="00496814" w:rsidRPr="00496814" w:rsidRDefault="00496814" w:rsidP="00021329">
      <w:pPr>
        <w:pStyle w:val="Heading2"/>
      </w:pPr>
      <w:bookmarkStart w:id="58" w:name="_Ref364760449"/>
      <w:bookmarkStart w:id="59" w:name="_Toc396807600"/>
      <w:bookmarkStart w:id="60" w:name="_Toc484973049"/>
      <w:bookmarkStart w:id="61" w:name="_Toc490323003"/>
      <w:bookmarkStart w:id="62" w:name="_Toc81544497"/>
      <w:r w:rsidRPr="00496814">
        <w:t>Overview of the System Planning Process and this</w:t>
      </w:r>
      <w:r w:rsidR="00412A2C">
        <w:t> </w:t>
      </w:r>
      <w:r w:rsidRPr="00496814">
        <w:t>RSP</w:t>
      </w:r>
      <w:bookmarkEnd w:id="58"/>
      <w:bookmarkEnd w:id="59"/>
      <w:bookmarkEnd w:id="60"/>
      <w:bookmarkEnd w:id="61"/>
      <w:bookmarkEnd w:id="62"/>
    </w:p>
    <w:p w:rsidR="00496814" w:rsidRPr="00496814" w:rsidRDefault="00496814" w:rsidP="00496814">
      <w:r w:rsidRPr="00496814">
        <w:t xml:space="preserve">For maintaining the reliability of the New England power system while promoting the operation of efficient wholesale electricity markets, </w:t>
      </w:r>
      <w:r w:rsidR="00C36A71">
        <w:t>ISO New England (</w:t>
      </w:r>
      <w:r w:rsidR="00A86C5C">
        <w:t xml:space="preserve">the </w:t>
      </w:r>
      <w:r w:rsidRPr="00496814">
        <w:t>ISO</w:t>
      </w:r>
      <w:r w:rsidR="00A86C5C">
        <w:t xml:space="preserve"> or ISO-NE</w:t>
      </w:r>
      <w:r w:rsidR="00C36A71">
        <w:t>)</w:t>
      </w:r>
      <w:r w:rsidRPr="00496814">
        <w:t xml:space="preserve"> and its stakeholders analyze the system and its components as a whole. They account for the performance of these individual elements and the many varied and complex interactions that occur among the components that affect the overall performance of the system. </w:t>
      </w:r>
    </w:p>
    <w:p w:rsidR="00496814" w:rsidRPr="00496814" w:rsidRDefault="00496814" w:rsidP="00496814">
      <w:r w:rsidRPr="00496814">
        <w:t>Using information on defined system needs, a variety of established signals from ISO-administered markets, and other factors, stakeholders responsible for developing needed resources can assess their options for satisfying these needs and commit to developing market resource projects. For example, stakeholders can build a new power plant to provide additional system capacity and produce electric energy. Similarly, market participants can provide demand capacity resources, including Active Demand Capacity Resources</w:t>
      </w:r>
      <w:r w:rsidR="00C36A71">
        <w:t xml:space="preserve"> (ADCR)</w:t>
      </w:r>
      <w:r w:rsidRPr="00496814">
        <w:t xml:space="preserve">, On Peak Demand Resources and Seasonal Peak Demand Resources, to meet capacity needs and reduce the amount of electric energy used. They also can develop and independently fund </w:t>
      </w:r>
      <w:r w:rsidR="00B81555">
        <w:t>the interconnection of</w:t>
      </w:r>
      <w:r w:rsidR="00B81555" w:rsidRPr="00496814">
        <w:t xml:space="preserve"> </w:t>
      </w:r>
      <w:r w:rsidRPr="00496814">
        <w:t>a new transmission facility to the ISO system. These upgrades and supply and demand resource alternatives could result in modifying, offsetting, or deferring proposed</w:t>
      </w:r>
      <w:r w:rsidR="00BA49AE">
        <w:t>,</w:t>
      </w:r>
      <w:r w:rsidRPr="00496814">
        <w:t xml:space="preserve"> regulated transmission upgrades. </w:t>
      </w:r>
    </w:p>
    <w:p w:rsidR="00496814" w:rsidRPr="00496814" w:rsidRDefault="00496814" w:rsidP="00496814">
      <w:r w:rsidRPr="00496814">
        <w:t xml:space="preserve">To the extent that stakeholder responses to market or other signals are not forthcoming or adequate to meet identified system needs, the </w:t>
      </w:r>
      <w:hyperlink r:id="rId84" w:history="1">
        <w:r w:rsidRPr="00157D35">
          <w:rPr>
            <w:rStyle w:val="Hyperlink"/>
          </w:rPr>
          <w:t>transmission planning process</w:t>
        </w:r>
      </w:hyperlink>
      <w:r w:rsidRPr="00496814">
        <w:t xml:space="preserve"> requires the ISO either to acquire transmission solutions through a competitive solicitation or to work with incumbent transmission owners to develop their own transmission solutions, depending on the identified year of need. All transmission upgrades must meet reliability performance requirements.</w:t>
      </w:r>
    </w:p>
    <w:p w:rsidR="00496814" w:rsidRPr="00496814" w:rsidRDefault="00496814" w:rsidP="006B38CE">
      <w:pPr>
        <w:pStyle w:val="Heading3"/>
      </w:pPr>
      <w:bookmarkStart w:id="63" w:name="_Ref418856844"/>
      <w:bookmarkStart w:id="64" w:name="_Toc484973050"/>
      <w:bookmarkStart w:id="65" w:name="_Toc490323004"/>
      <w:bookmarkStart w:id="66" w:name="_Toc81544498"/>
      <w:r w:rsidRPr="00496814">
        <w:t>Types of Transmission Upgrades</w:t>
      </w:r>
      <w:bookmarkEnd w:id="63"/>
      <w:bookmarkEnd w:id="64"/>
      <w:bookmarkEnd w:id="65"/>
      <w:bookmarkEnd w:id="66"/>
    </w:p>
    <w:p w:rsidR="00496814" w:rsidRPr="00496814" w:rsidRDefault="00496814" w:rsidP="00496814">
      <w:r w:rsidRPr="00496814">
        <w:t xml:space="preserve">Attachment N of the </w:t>
      </w:r>
      <w:hyperlink r:id="rId85" w:history="1">
        <w:r w:rsidR="00A86C5C" w:rsidRPr="00157D35">
          <w:rPr>
            <w:rStyle w:val="Hyperlink"/>
            <w:i/>
          </w:rPr>
          <w:t xml:space="preserve">Open Access Transmission Tariff </w:t>
        </w:r>
      </w:hyperlink>
      <w:r w:rsidR="00C36A71">
        <w:t>(</w:t>
      </w:r>
      <w:r w:rsidRPr="00496814">
        <w:t>OATT</w:t>
      </w:r>
      <w:r w:rsidR="00C36A71">
        <w:t>)</w:t>
      </w:r>
      <w:r w:rsidRPr="00496814">
        <w:t xml:space="preserve">, “Procedures for Regional System Plan Upgrades,” defines several </w:t>
      </w:r>
      <w:hyperlink r:id="rId86" w:history="1">
        <w:r w:rsidRPr="00157D35">
          <w:rPr>
            <w:rStyle w:val="Hyperlink"/>
          </w:rPr>
          <w:t>categories of transmission upgrades</w:t>
        </w:r>
      </w:hyperlink>
      <w:r w:rsidRPr="00496814">
        <w:t xml:space="preserve"> that can be developed to address various types of defined system needs, such as reliability and market efficiency. Transmission upgrades resulting from system changes proposed by individual proponents include, for example, generator-interconnection-related upgrades and E</w:t>
      </w:r>
      <w:r w:rsidRPr="00496814">
        <w:rPr>
          <w:color w:val="000000"/>
        </w:rPr>
        <w:t>lective Transmission Upgrades (</w:t>
      </w:r>
      <w:r w:rsidRPr="00496814">
        <w:t>ETUs). Section 5 discusses specific transmission upgrade</w:t>
      </w:r>
      <w:r w:rsidR="00B81555">
        <w:t>s</w:t>
      </w:r>
      <w:r w:rsidRPr="00496814">
        <w:t xml:space="preserve">.  </w:t>
      </w:r>
    </w:p>
    <w:p w:rsidR="00496814" w:rsidRPr="00496814" w:rsidRDefault="00496814" w:rsidP="006B38CE">
      <w:pPr>
        <w:pStyle w:val="Heading3"/>
      </w:pPr>
      <w:bookmarkStart w:id="67" w:name="_Ref418972745"/>
      <w:bookmarkStart w:id="68" w:name="_Toc484973051"/>
      <w:bookmarkStart w:id="69" w:name="_Toc490323005"/>
      <w:bookmarkStart w:id="70" w:name="_Toc81544499"/>
      <w:r w:rsidRPr="00496814">
        <w:t>Transmission Planning Guides</w:t>
      </w:r>
      <w:bookmarkEnd w:id="67"/>
      <w:bookmarkEnd w:id="68"/>
      <w:bookmarkEnd w:id="69"/>
      <w:bookmarkEnd w:id="70"/>
    </w:p>
    <w:p w:rsidR="00496814" w:rsidRPr="00496814" w:rsidRDefault="00496814" w:rsidP="00496814">
      <w:r w:rsidRPr="00496814">
        <w:rPr>
          <w:noProof/>
        </w:rPr>
        <w:drawing>
          <wp:anchor distT="0" distB="182880" distL="182880" distR="182880" simplePos="0" relativeHeight="251662336" behindDoc="0" locked="0" layoutInCell="1" allowOverlap="1" wp14:anchorId="6F94CA34" wp14:editId="3A1E2A06">
            <wp:simplePos x="0" y="0"/>
            <wp:positionH relativeFrom="margin">
              <wp:align>right</wp:align>
            </wp:positionH>
            <wp:positionV relativeFrom="paragraph">
              <wp:posOffset>8255</wp:posOffset>
            </wp:positionV>
            <wp:extent cx="1600200" cy="16002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sp-art-transmission-02.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The ISO </w:t>
      </w:r>
      <w:r w:rsidR="002E012C">
        <w:t xml:space="preserve">has </w:t>
      </w:r>
      <w:r w:rsidRPr="00496814">
        <w:t>developed guides that document both the implementation of the regional planning process described in Attachment K of the OATT and the associated technical assumptions</w:t>
      </w:r>
      <w:r w:rsidR="002E012C">
        <w:t>,</w:t>
      </w:r>
      <w:r w:rsidRPr="00496814">
        <w:t xml:space="preserve"> which are detailed in the </w:t>
      </w:r>
      <w:hyperlink r:id="rId88" w:history="1">
        <w:r w:rsidRPr="00157D35">
          <w:rPr>
            <w:rStyle w:val="Hyperlink"/>
          </w:rPr>
          <w:t>planning guides</w:t>
        </w:r>
      </w:hyperlink>
      <w:r w:rsidRPr="00496814">
        <w:t xml:space="preserve">. The </w:t>
      </w:r>
      <w:hyperlink r:id="rId89" w:history="1">
        <w:r w:rsidRPr="00157D35">
          <w:rPr>
            <w:rStyle w:val="Hyperlink"/>
            <w:i/>
          </w:rPr>
          <w:t>Transmission Planning Process Guide</w:t>
        </w:r>
        <w:r w:rsidRPr="00157D35">
          <w:rPr>
            <w:rStyle w:val="Hyperlink"/>
          </w:rPr>
          <w:t xml:space="preserve"> (Process Guide)</w:t>
        </w:r>
      </w:hyperlink>
      <w:r w:rsidRPr="00496814">
        <w:t xml:space="preserve"> contains details on the existing regional system planning process and how </w:t>
      </w:r>
      <w:r w:rsidR="004C3E12" w:rsidRPr="00496814">
        <w:t>transmission-planning</w:t>
      </w:r>
      <w:r w:rsidRPr="00496814">
        <w:t xml:space="preserve"> studies are performed through the open regional stakeholder process. It discusses the development of needs assessments and solution studies, including the opportunities for stakeholder involvement. The guide includes more recent modifications required by </w:t>
      </w:r>
      <w:r w:rsidR="00C36A71">
        <w:t>the Federal Energy Regulatory Committee (</w:t>
      </w:r>
      <w:r w:rsidRPr="00496814">
        <w:t>FERC</w:t>
      </w:r>
      <w:r w:rsidR="00C36A71">
        <w:t>)</w:t>
      </w:r>
      <w:r w:rsidRPr="00496814">
        <w:t xml:space="preserve"> </w:t>
      </w:r>
      <w:hyperlink r:id="rId90" w:history="1">
        <w:r w:rsidRPr="00A86C5C">
          <w:rPr>
            <w:rStyle w:val="Hyperlink"/>
          </w:rPr>
          <w:t>Order 1000</w:t>
        </w:r>
      </w:hyperlink>
      <w:r w:rsidR="00A86C5C">
        <w:t xml:space="preserve"> </w:t>
      </w:r>
      <w:r w:rsidRPr="00496814">
        <w:t xml:space="preserve">for the use of </w:t>
      </w:r>
      <w:hyperlink r:id="rId91" w:history="1">
        <w:r w:rsidRPr="00A86C5C">
          <w:rPr>
            <w:rStyle w:val="Hyperlink"/>
          </w:rPr>
          <w:t>Qualified Transmission Project Sponsors</w:t>
        </w:r>
      </w:hyperlink>
      <w:r w:rsidRPr="00A86C5C">
        <w:t xml:space="preserve"> (QTPSs)</w:t>
      </w:r>
      <w:r w:rsidRPr="00496814">
        <w:t>, planning for public policy, and interregional planning.</w:t>
      </w:r>
      <w:r w:rsidRPr="00496814">
        <w:rPr>
          <w:vertAlign w:val="superscript"/>
        </w:rPr>
        <w:footnoteReference w:id="27"/>
      </w:r>
      <w:r w:rsidRPr="00496814">
        <w:t xml:space="preserve"> The </w:t>
      </w:r>
      <w:hyperlink r:id="rId92" w:history="1">
        <w:r w:rsidRPr="00157D35">
          <w:rPr>
            <w:rStyle w:val="Hyperlink"/>
            <w:i/>
          </w:rPr>
          <w:t>Transmission Planning Technical Guide</w:t>
        </w:r>
      </w:hyperlink>
      <w:r w:rsidRPr="00496814">
        <w:t xml:space="preserve"> describes the current standards, criteria, and assumptions used in transmission planning studies of the regional power system. Both guides </w:t>
      </w:r>
      <w:r w:rsidR="002E012C">
        <w:t>reflect</w:t>
      </w:r>
      <w:r w:rsidR="002E012C" w:rsidRPr="00496814">
        <w:t xml:space="preserve"> </w:t>
      </w:r>
      <w:r w:rsidRPr="00496814">
        <w:t>stakeholder input.</w:t>
      </w:r>
    </w:p>
    <w:p w:rsidR="00496814" w:rsidRPr="00496814" w:rsidRDefault="00496814" w:rsidP="006B38CE">
      <w:pPr>
        <w:pStyle w:val="Heading3"/>
      </w:pPr>
      <w:bookmarkStart w:id="71" w:name="_Toc396807601"/>
      <w:bookmarkStart w:id="72" w:name="_Toc484973052"/>
      <w:bookmarkStart w:id="73" w:name="_Ref485979082"/>
      <w:bookmarkStart w:id="74" w:name="_Ref485981494"/>
      <w:bookmarkStart w:id="75" w:name="_Toc490323006"/>
      <w:bookmarkStart w:id="76" w:name="_Toc81544500"/>
      <w:r w:rsidRPr="00496814">
        <w:t>Planning Studies Conducted for and Summarized in this</w:t>
      </w:r>
      <w:r w:rsidR="00412A2C">
        <w:t> </w:t>
      </w:r>
      <w:r w:rsidRPr="00496814">
        <w:t>RSP</w:t>
      </w:r>
      <w:bookmarkEnd w:id="71"/>
      <w:bookmarkEnd w:id="72"/>
      <w:bookmarkEnd w:id="73"/>
      <w:bookmarkEnd w:id="74"/>
      <w:bookmarkEnd w:id="75"/>
      <w:bookmarkEnd w:id="76"/>
    </w:p>
    <w:p w:rsidR="00496814" w:rsidRPr="00496814" w:rsidRDefault="00496814" w:rsidP="00496814">
      <w:r w:rsidRPr="00496814">
        <w:t xml:space="preserve">The ISO continually conducts numerous regional and local-area studies during all stages of planning for ensuring the reliability of the power system. FERC, interregional entities, the states, and others also sponsor planning initiatives for improving the power system and interregional coordination. Throughout </w:t>
      </w:r>
      <w:r w:rsidR="00C36A71">
        <w:t>the 2021 Regional System Plan (</w:t>
      </w:r>
      <w:r w:rsidRPr="00496814">
        <w:t>RSP</w:t>
      </w:r>
      <w:r w:rsidR="00C36A71">
        <w:t>21)</w:t>
      </w:r>
      <w:r w:rsidRPr="00496814">
        <w:t xml:space="preserve">, major studies and initiatives, </w:t>
      </w:r>
      <w:r w:rsidR="00B64FEA">
        <w:t xml:space="preserve">performed by the ISO </w:t>
      </w:r>
      <w:r w:rsidRPr="00496814">
        <w:t xml:space="preserve">as well as those conducted by others, </w:t>
      </w:r>
      <w:r w:rsidR="00B64FEA">
        <w:t xml:space="preserve">are detailed in this report.  These major studies and initiatives are consistent with the regional planning process and include:  </w:t>
      </w:r>
    </w:p>
    <w:p w:rsidR="00496814" w:rsidRPr="00496814" w:rsidRDefault="00496814" w:rsidP="00496814">
      <w:pPr>
        <w:numPr>
          <w:ilvl w:val="0"/>
          <w:numId w:val="8"/>
        </w:numPr>
        <w:spacing w:after="120"/>
      </w:pPr>
      <w:r w:rsidRPr="00496814">
        <w:t>Ten-year load forecasts through 2030</w:t>
      </w:r>
      <w:r w:rsidR="00BA4392">
        <w:t xml:space="preserve"> </w:t>
      </w:r>
      <w:r w:rsidRPr="00496814">
        <w:t xml:space="preserve">of seasonal gross peak load and annual gross electric energy use </w:t>
      </w:r>
    </w:p>
    <w:p w:rsidR="00496814" w:rsidRPr="00496814" w:rsidRDefault="00496814" w:rsidP="00496814">
      <w:pPr>
        <w:numPr>
          <w:ilvl w:val="0"/>
          <w:numId w:val="8"/>
        </w:numPr>
        <w:spacing w:after="120"/>
      </w:pPr>
      <w:r w:rsidRPr="00496814">
        <w:t xml:space="preserve">Distributed Generation (DG) forecast for photovoltaic (PV) generation, an </w:t>
      </w:r>
      <w:r w:rsidR="003130F0">
        <w:t>e</w:t>
      </w:r>
      <w:r w:rsidRPr="00496814">
        <w:t xml:space="preserve">nergy </w:t>
      </w:r>
      <w:r w:rsidR="003130F0">
        <w:t>e</w:t>
      </w:r>
      <w:r w:rsidRPr="00496814">
        <w:t>fficiency (EE) forecast and electrification forecast for 2021 to 2030</w:t>
      </w:r>
    </w:p>
    <w:p w:rsidR="00496814" w:rsidRPr="00496814" w:rsidRDefault="00496814" w:rsidP="00496814">
      <w:pPr>
        <w:numPr>
          <w:ilvl w:val="0"/>
          <w:numId w:val="8"/>
        </w:numPr>
        <w:spacing w:after="120"/>
      </w:pPr>
      <w:r w:rsidRPr="00496814">
        <w:t>The development of net forecasts of annual and peak electric e</w:t>
      </w:r>
      <w:r w:rsidRPr="00496814">
        <w:rPr>
          <w:szCs w:val="22"/>
        </w:rPr>
        <w:t>nergy</w:t>
      </w:r>
      <w:r w:rsidRPr="00496814">
        <w:t xml:space="preserve"> use</w:t>
      </w:r>
    </w:p>
    <w:p w:rsidR="00496814" w:rsidRPr="00496814" w:rsidRDefault="00496814" w:rsidP="00496814">
      <w:pPr>
        <w:numPr>
          <w:ilvl w:val="0"/>
          <w:numId w:val="8"/>
        </w:numPr>
        <w:spacing w:after="120"/>
      </w:pPr>
      <w:r w:rsidRPr="00496814">
        <w:t>Analyses of the amount, operating characteristics, and locations of needed energy, capacity and operating reserves to ensure resource adequacy</w:t>
      </w:r>
    </w:p>
    <w:p w:rsidR="00496814" w:rsidRPr="00496814" w:rsidRDefault="00496814" w:rsidP="00496814">
      <w:pPr>
        <w:numPr>
          <w:ilvl w:val="0"/>
          <w:numId w:val="8"/>
        </w:numPr>
        <w:spacing w:after="120"/>
      </w:pPr>
      <w:r w:rsidRPr="00496814">
        <w:t xml:space="preserve">A summary of the most recent Forward Capacity Market (FCM) results and representative future operating-reserve requirements </w:t>
      </w:r>
    </w:p>
    <w:p w:rsidR="00496814" w:rsidRPr="00496814" w:rsidRDefault="00496814" w:rsidP="00496814">
      <w:pPr>
        <w:numPr>
          <w:ilvl w:val="0"/>
          <w:numId w:val="10"/>
        </w:numPr>
        <w:spacing w:after="120"/>
        <w:rPr>
          <w:rFonts w:eastAsia="Times New Roman"/>
          <w:szCs w:val="24"/>
        </w:rPr>
      </w:pPr>
      <w:r w:rsidRPr="00496814">
        <w:rPr>
          <w:rFonts w:eastAsia="Times New Roman"/>
          <w:color w:val="000000"/>
          <w:szCs w:val="24"/>
        </w:rPr>
        <w:t xml:space="preserve">Implications of generator retirements and interconnection of </w:t>
      </w:r>
      <w:r w:rsidR="006E0E76">
        <w:rPr>
          <w:rFonts w:eastAsia="Times New Roman"/>
          <w:color w:val="000000"/>
          <w:szCs w:val="24"/>
        </w:rPr>
        <w:t>d</w:t>
      </w:r>
      <w:r w:rsidR="00A5631A">
        <w:rPr>
          <w:rFonts w:eastAsia="Times New Roman"/>
          <w:color w:val="000000"/>
          <w:szCs w:val="24"/>
        </w:rPr>
        <w:t xml:space="preserve">istributed </w:t>
      </w:r>
      <w:r w:rsidR="006E0E76">
        <w:rPr>
          <w:rFonts w:eastAsia="Times New Roman"/>
          <w:color w:val="000000"/>
          <w:szCs w:val="24"/>
        </w:rPr>
        <w:t>e</w:t>
      </w:r>
      <w:r w:rsidR="00A5631A">
        <w:rPr>
          <w:rFonts w:eastAsia="Times New Roman"/>
          <w:color w:val="000000"/>
          <w:szCs w:val="24"/>
        </w:rPr>
        <w:t xml:space="preserve">nergy </w:t>
      </w:r>
      <w:r w:rsidR="006E0E76">
        <w:rPr>
          <w:rFonts w:eastAsia="Times New Roman"/>
          <w:color w:val="000000"/>
          <w:szCs w:val="24"/>
        </w:rPr>
        <w:t>r</w:t>
      </w:r>
      <w:r w:rsidR="00A5631A">
        <w:rPr>
          <w:rFonts w:eastAsia="Times New Roman"/>
          <w:color w:val="000000"/>
          <w:szCs w:val="24"/>
        </w:rPr>
        <w:t>esources (</w:t>
      </w:r>
      <w:r w:rsidRPr="00496814">
        <w:rPr>
          <w:rFonts w:eastAsia="Times New Roman"/>
          <w:szCs w:val="24"/>
        </w:rPr>
        <w:t>DERs</w:t>
      </w:r>
      <w:r w:rsidR="00A5631A">
        <w:rPr>
          <w:rFonts w:eastAsia="Times New Roman"/>
          <w:szCs w:val="24"/>
        </w:rPr>
        <w:t>)</w:t>
      </w:r>
      <w:r w:rsidRPr="00496814">
        <w:rPr>
          <w:rFonts w:eastAsia="Times New Roman"/>
          <w:szCs w:val="24"/>
        </w:rPr>
        <w:t xml:space="preserve"> </w:t>
      </w:r>
      <w:r w:rsidRPr="00496814">
        <w:rPr>
          <w:rFonts w:eastAsia="Times New Roman"/>
          <w:color w:val="000000"/>
          <w:szCs w:val="24"/>
        </w:rPr>
        <w:t>on the transmission system</w:t>
      </w:r>
    </w:p>
    <w:p w:rsidR="00496814" w:rsidRPr="00496814" w:rsidRDefault="00496814" w:rsidP="00496814">
      <w:pPr>
        <w:numPr>
          <w:ilvl w:val="0"/>
          <w:numId w:val="8"/>
        </w:numPr>
        <w:spacing w:after="120"/>
        <w:rPr>
          <w:color w:val="000000"/>
        </w:rPr>
      </w:pPr>
      <w:r w:rsidRPr="00496814">
        <w:rPr>
          <w:color w:val="000000"/>
        </w:rPr>
        <w:t xml:space="preserve">Discussions of regional strategic planning needs and solutions to resource adequacy </w:t>
      </w:r>
    </w:p>
    <w:p w:rsidR="00496814" w:rsidRPr="00496814" w:rsidRDefault="00496814" w:rsidP="00496814">
      <w:pPr>
        <w:numPr>
          <w:ilvl w:val="0"/>
          <w:numId w:val="8"/>
        </w:numPr>
        <w:spacing w:after="120"/>
        <w:rPr>
          <w:color w:val="000000"/>
        </w:rPr>
      </w:pPr>
      <w:r w:rsidRPr="00496814">
        <w:rPr>
          <w:color w:val="000000"/>
        </w:rPr>
        <w:t>Effects of compliance with environmental regulations on generator operating requirements and the need for remediation measures</w:t>
      </w:r>
    </w:p>
    <w:p w:rsidR="00496814" w:rsidRPr="00496814" w:rsidRDefault="00496814" w:rsidP="00496814">
      <w:pPr>
        <w:numPr>
          <w:ilvl w:val="0"/>
          <w:numId w:val="8"/>
        </w:numPr>
        <w:spacing w:after="120"/>
        <w:rPr>
          <w:color w:val="000000"/>
        </w:rPr>
      </w:pPr>
      <w:r w:rsidRPr="00496814">
        <w:rPr>
          <w:color w:val="000000"/>
        </w:rPr>
        <w:t>Operating and planning for the integration of renewable resources, including the need for transmission development for wind generation (e.g. cluster studies) and the identification of interconnection issues</w:t>
      </w:r>
    </w:p>
    <w:p w:rsidR="00496814" w:rsidRPr="00496814" w:rsidRDefault="00496814" w:rsidP="00496814">
      <w:pPr>
        <w:numPr>
          <w:ilvl w:val="0"/>
          <w:numId w:val="8"/>
        </w:numPr>
        <w:spacing w:after="120"/>
        <w:rPr>
          <w:color w:val="000000"/>
        </w:rPr>
      </w:pPr>
      <w:r w:rsidRPr="00496814">
        <w:rPr>
          <w:color w:val="000000"/>
        </w:rPr>
        <w:t>Studies of the economic and environmental performance of the system for various future resource- and transmission-expansion scenarios</w:t>
      </w:r>
    </w:p>
    <w:p w:rsidR="00496814" w:rsidRPr="00496814" w:rsidRDefault="00496814" w:rsidP="00496814">
      <w:pPr>
        <w:numPr>
          <w:ilvl w:val="0"/>
          <w:numId w:val="8"/>
        </w:numPr>
        <w:spacing w:after="120"/>
        <w:rPr>
          <w:color w:val="000000"/>
        </w:rPr>
      </w:pPr>
      <w:r w:rsidRPr="00496814">
        <w:rPr>
          <w:color w:val="000000"/>
        </w:rPr>
        <w:t>Assessments of systemwide and local-area needs (i.e., needs assessments), and transmission solutions to meet these needs</w:t>
      </w:r>
      <w:r w:rsidRPr="00496814">
        <w:rPr>
          <w:color w:val="000000"/>
          <w:vertAlign w:val="superscript"/>
        </w:rPr>
        <w:footnoteReference w:id="28"/>
      </w:r>
      <w:r w:rsidRPr="00496814">
        <w:rPr>
          <w:color w:val="000000"/>
          <w:vertAlign w:val="superscript"/>
        </w:rPr>
        <w:t xml:space="preserve"> </w:t>
      </w:r>
    </w:p>
    <w:p w:rsidR="00496814" w:rsidRPr="00496814" w:rsidRDefault="00496814" w:rsidP="00496814">
      <w:pPr>
        <w:numPr>
          <w:ilvl w:val="0"/>
          <w:numId w:val="8"/>
        </w:numPr>
        <w:spacing w:after="120"/>
      </w:pPr>
      <w:r w:rsidRPr="00496814">
        <w:t xml:space="preserve">Interregional studies and initiatives </w:t>
      </w:r>
    </w:p>
    <w:p w:rsidR="00496814" w:rsidRPr="00496814" w:rsidRDefault="00496814" w:rsidP="00496814">
      <w:pPr>
        <w:numPr>
          <w:ilvl w:val="0"/>
          <w:numId w:val="8"/>
        </w:numPr>
      </w:pPr>
      <w:r w:rsidRPr="00496814">
        <w:t xml:space="preserve">Federal, state, and regional initiatives and governmental activities and policies affecting the planning process </w:t>
      </w:r>
    </w:p>
    <w:p w:rsidR="00496814" w:rsidRDefault="005211FF" w:rsidP="00496814">
      <w:bookmarkStart w:id="77" w:name="Figure_2_1_top"/>
      <w:r w:rsidRPr="005211FF">
        <w:rPr>
          <w:noProof/>
        </w:rPr>
        <w:drawing>
          <wp:anchor distT="0" distB="0" distL="114300" distR="114300" simplePos="0" relativeHeight="251679744" behindDoc="1" locked="0" layoutInCell="1" allowOverlap="1" wp14:anchorId="323EE8D8" wp14:editId="327776F1">
            <wp:simplePos x="0" y="0"/>
            <wp:positionH relativeFrom="column">
              <wp:posOffset>3489960</wp:posOffset>
            </wp:positionH>
            <wp:positionV relativeFrom="paragraph">
              <wp:posOffset>116840</wp:posOffset>
            </wp:positionV>
            <wp:extent cx="2171700" cy="18389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7170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7"/>
      <w:r w:rsidR="00496814" w:rsidRPr="00496814">
        <w:t xml:space="preserve">While each </w:t>
      </w:r>
      <w:r w:rsidR="006E0E76">
        <w:t>regional system plan</w:t>
      </w:r>
      <w:r w:rsidR="006E0E76" w:rsidRPr="00496814">
        <w:t xml:space="preserve"> </w:t>
      </w:r>
      <w:r w:rsidR="00496814" w:rsidRPr="00496814">
        <w:t xml:space="preserve">represents a snapshot in time, the planning process is continuous, adaptive, and successful in meeting planning objectives in an open and transparent manner with interested stakeholders for the 10-year planning horizon; see </w:t>
      </w:r>
      <w:hyperlink w:anchor="Figure_2_1" w:history="1">
        <w:r w:rsidR="006D5CDB" w:rsidRPr="006D5CDB">
          <w:rPr>
            <w:rStyle w:val="Hyperlink"/>
          </w:rPr>
          <w:t>Figure 2-1</w:t>
        </w:r>
      </w:hyperlink>
      <w:r w:rsidR="004B0293">
        <w:fldChar w:fldCharType="begin"/>
      </w:r>
      <w:r w:rsidR="004B0293">
        <w:instrText xml:space="preserve"> REF _Ref12534496 \h  \* MERGEFORMAT </w:instrText>
      </w:r>
      <w:r w:rsidR="004B0293">
        <w:fldChar w:fldCharType="end"/>
      </w:r>
      <w:r w:rsidR="00496814" w:rsidRPr="006D5CDB">
        <w:t xml:space="preserve">. </w:t>
      </w:r>
      <w:r w:rsidRPr="006D5CDB">
        <w:t xml:space="preserve"> </w:t>
      </w:r>
      <w:r w:rsidR="00496814" w:rsidRPr="006D5CDB">
        <w:t>Th</w:t>
      </w:r>
      <w:r w:rsidR="00496814" w:rsidRPr="00496814">
        <w:t xml:space="preserve">e ISO continually evaluates system needs, responds to changing market conditions, updates inputs and assumptions to studies, and revisits the results as needed when new information becomes available. </w:t>
      </w:r>
    </w:p>
    <w:p w:rsidR="006D5CDB" w:rsidRPr="00496814" w:rsidRDefault="006D5CDB" w:rsidP="00496814"/>
    <w:p w:rsidR="00496814" w:rsidRPr="00A762B8" w:rsidRDefault="00496814" w:rsidP="00496814">
      <w:pPr>
        <w:spacing w:before="120" w:after="120" w:line="240" w:lineRule="auto"/>
        <w:jc w:val="right"/>
        <w:rPr>
          <w:rFonts w:ascii="Calibri" w:hAnsi="Calibri"/>
          <w:bCs/>
          <w:szCs w:val="18"/>
        </w:rPr>
      </w:pPr>
      <w:bookmarkStart w:id="78" w:name="Figure2_1"/>
      <w:bookmarkStart w:id="79" w:name="Figure_2_1"/>
      <w:bookmarkStart w:id="80" w:name="_Toc81544606"/>
      <w:r w:rsidRPr="00496814">
        <w:rPr>
          <w:rFonts w:ascii="Calibri" w:hAnsi="Calibri"/>
          <w:b/>
          <w:bCs/>
          <w:szCs w:val="18"/>
        </w:rPr>
        <w:t xml:space="preserve">Figure </w:t>
      </w:r>
      <w:r w:rsidR="00F85E49">
        <w:rPr>
          <w:rFonts w:ascii="Calibri" w:hAnsi="Calibri"/>
          <w:b/>
          <w:bCs/>
          <w:szCs w:val="18"/>
        </w:rPr>
        <w:fldChar w:fldCharType="begin"/>
      </w:r>
      <w:r w:rsidR="00F85E49">
        <w:rPr>
          <w:rFonts w:ascii="Calibri" w:hAnsi="Calibri"/>
          <w:b/>
          <w:bCs/>
          <w:szCs w:val="18"/>
        </w:rPr>
        <w:instrText xml:space="preserve"> STYLEREF 1 \s </w:instrText>
      </w:r>
      <w:r w:rsidR="00F85E49">
        <w:rPr>
          <w:rFonts w:ascii="Calibri" w:hAnsi="Calibri"/>
          <w:b/>
          <w:bCs/>
          <w:szCs w:val="18"/>
        </w:rPr>
        <w:fldChar w:fldCharType="separate"/>
      </w:r>
      <w:r w:rsidR="00F85E49">
        <w:rPr>
          <w:rFonts w:ascii="Calibri" w:hAnsi="Calibri"/>
          <w:b/>
          <w:bCs/>
          <w:noProof/>
          <w:szCs w:val="18"/>
        </w:rPr>
        <w:t>2</w:t>
      </w:r>
      <w:r w:rsidR="00F85E49">
        <w:rPr>
          <w:rFonts w:ascii="Calibri" w:hAnsi="Calibri"/>
          <w:b/>
          <w:bCs/>
          <w:szCs w:val="18"/>
        </w:rPr>
        <w:fldChar w:fldCharType="end"/>
      </w:r>
      <w:r w:rsidR="00F85E49">
        <w:rPr>
          <w:rFonts w:ascii="Calibri" w:hAnsi="Calibri"/>
          <w:b/>
          <w:bCs/>
          <w:szCs w:val="18"/>
        </w:rPr>
        <w:noBreakHyphen/>
      </w:r>
      <w:r w:rsidR="00F85E49">
        <w:rPr>
          <w:rFonts w:ascii="Calibri" w:hAnsi="Calibri"/>
          <w:b/>
          <w:bCs/>
          <w:szCs w:val="18"/>
        </w:rPr>
        <w:fldChar w:fldCharType="begin"/>
      </w:r>
      <w:r w:rsidR="00F85E49">
        <w:rPr>
          <w:rFonts w:ascii="Calibri" w:hAnsi="Calibri"/>
          <w:b/>
          <w:bCs/>
          <w:szCs w:val="18"/>
        </w:rPr>
        <w:instrText xml:space="preserve"> SEQ Figure \* ARABIC \s 1 </w:instrText>
      </w:r>
      <w:r w:rsidR="00F85E49">
        <w:rPr>
          <w:rFonts w:ascii="Calibri" w:hAnsi="Calibri"/>
          <w:b/>
          <w:bCs/>
          <w:szCs w:val="18"/>
        </w:rPr>
        <w:fldChar w:fldCharType="separate"/>
      </w:r>
      <w:r w:rsidR="00F85E49">
        <w:rPr>
          <w:rFonts w:ascii="Calibri" w:hAnsi="Calibri"/>
          <w:b/>
          <w:bCs/>
          <w:noProof/>
          <w:szCs w:val="18"/>
        </w:rPr>
        <w:t>1</w:t>
      </w:r>
      <w:r w:rsidR="00F85E49">
        <w:rPr>
          <w:rFonts w:ascii="Calibri" w:hAnsi="Calibri"/>
          <w:b/>
          <w:bCs/>
          <w:szCs w:val="18"/>
        </w:rPr>
        <w:fldChar w:fldCharType="end"/>
      </w:r>
      <w:bookmarkEnd w:id="78"/>
      <w:bookmarkEnd w:id="79"/>
      <w:r w:rsidRPr="00496814">
        <w:rPr>
          <w:rFonts w:ascii="Calibri" w:hAnsi="Calibri"/>
          <w:b/>
          <w:bCs/>
          <w:szCs w:val="18"/>
        </w:rPr>
        <w:t>: ISO New England system planning process</w:t>
      </w:r>
      <w:bookmarkEnd w:id="80"/>
    </w:p>
    <w:p w:rsidR="00496814" w:rsidRPr="00496814" w:rsidRDefault="00496814" w:rsidP="006B38CE">
      <w:pPr>
        <w:pStyle w:val="Heading3"/>
      </w:pPr>
      <w:bookmarkStart w:id="81" w:name="_Ref419640002"/>
      <w:bookmarkStart w:id="82" w:name="_Toc484973054"/>
      <w:bookmarkStart w:id="83" w:name="_Toc490323008"/>
      <w:bookmarkStart w:id="84" w:name="_Toc81544501"/>
      <w:r w:rsidRPr="00496814">
        <w:t>Working with the Planning Advisory Committee and Other Committees</w:t>
      </w:r>
      <w:bookmarkEnd w:id="81"/>
      <w:bookmarkEnd w:id="82"/>
      <w:bookmarkEnd w:id="83"/>
      <w:bookmarkEnd w:id="84"/>
    </w:p>
    <w:p w:rsidR="00496814" w:rsidRPr="00496814" w:rsidRDefault="00496814" w:rsidP="00496814">
      <w:r w:rsidRPr="00496814">
        <w:t xml:space="preserve">To conduct the system planning process, the ISO holds an open and transparent stakeholder forum with the </w:t>
      </w:r>
      <w:r w:rsidR="00A5631A">
        <w:t>Planning Advisory Committee (</w:t>
      </w:r>
      <w:r w:rsidRPr="00496814">
        <w:t>PAC</w:t>
      </w:r>
      <w:r w:rsidR="00A5631A">
        <w:t>)</w:t>
      </w:r>
      <w:r w:rsidRPr="00496814">
        <w:t xml:space="preserve">. </w:t>
      </w:r>
      <w:r w:rsidR="002E7B46">
        <w:t xml:space="preserve">There are no membership requirements to become part of the Planning Advisory Committee. Meetings are open to members of any entity, including </w:t>
      </w:r>
      <w:r w:rsidR="003130F0">
        <w:t>s</w:t>
      </w:r>
      <w:r w:rsidR="002E7B46">
        <w:t xml:space="preserve">tate regulators or agencies and NESCOE. </w:t>
      </w:r>
      <w:r w:rsidR="002E7B46" w:rsidRPr="00496814">
        <w:t xml:space="preserve">PAC </w:t>
      </w:r>
      <w:r w:rsidR="002E7B46">
        <w:t>attendees typically</w:t>
      </w:r>
      <w:r w:rsidR="002E7B46" w:rsidRPr="00496814">
        <w:t xml:space="preserve"> </w:t>
      </w:r>
      <w:r w:rsidR="006D5CDB" w:rsidRPr="00496814">
        <w:t>include</w:t>
      </w:r>
      <w:r w:rsidR="002E7B46" w:rsidRPr="00496814" w:rsidDel="002E7B46">
        <w:t xml:space="preserve"> </w:t>
      </w:r>
      <w:r w:rsidRPr="00496814">
        <w:t>representatives from state and federal governmental agencies</w:t>
      </w:r>
      <w:r w:rsidR="007B6BBA">
        <w:t>,</w:t>
      </w:r>
      <w:r w:rsidRPr="00496814">
        <w:t xml:space="preserve"> Participating Transmission Owners (PTOs)</w:t>
      </w:r>
      <w:r w:rsidR="007B6BBA">
        <w:t>,</w:t>
      </w:r>
      <w:r w:rsidRPr="00496814">
        <w:t xml:space="preserve"> ISO market participants</w:t>
      </w:r>
      <w:r w:rsidR="007B6BBA">
        <w:t>,</w:t>
      </w:r>
      <w:r w:rsidRPr="00496814">
        <w:t xml:space="preserve"> other </w:t>
      </w:r>
      <w:hyperlink r:id="rId94" w:history="1">
        <w:r w:rsidRPr="00940083">
          <w:rPr>
            <w:rStyle w:val="Hyperlink"/>
          </w:rPr>
          <w:t>New England Power Pool</w:t>
        </w:r>
      </w:hyperlink>
      <w:r w:rsidRPr="006D5CDB">
        <w:t xml:space="preserve"> (NEPOOL)</w:t>
      </w:r>
      <w:r w:rsidRPr="00496814">
        <w:t xml:space="preserve"> members</w:t>
      </w:r>
      <w:r w:rsidR="007B6BBA">
        <w:t>,</w:t>
      </w:r>
      <w:r w:rsidRPr="00496814">
        <w:t xml:space="preserve"> consulting companies</w:t>
      </w:r>
      <w:r w:rsidR="007B6BBA">
        <w:t>,</w:t>
      </w:r>
      <w:r w:rsidRPr="00496814">
        <w:t xml:space="preserve"> manufacturers</w:t>
      </w:r>
      <w:r w:rsidR="007B6BBA">
        <w:t>,</w:t>
      </w:r>
      <w:r w:rsidRPr="00496814">
        <w:t xml:space="preserve"> and other organizations, such as universities and environmental groups. Over the past two years, the PAC has discussed draft and final study results on a wide range of issues</w:t>
      </w:r>
      <w:r w:rsidR="00D60CD3">
        <w:t xml:space="preserve"> (i.e. natural gas status updates regarding proposed projects, commercial activities, and regulatory compliance initiatives)</w:t>
      </w:r>
      <w:r w:rsidRPr="00496814">
        <w:t xml:space="preserve">. In addition, subgroups of the PAC have discussed the </w:t>
      </w:r>
      <w:r w:rsidR="003130F0">
        <w:t>e</w:t>
      </w:r>
      <w:r w:rsidRPr="00496814">
        <w:t xml:space="preserve">nergy </w:t>
      </w:r>
      <w:r w:rsidR="003130F0">
        <w:t>e</w:t>
      </w:r>
      <w:r w:rsidRPr="00496814">
        <w:t xml:space="preserve">fficiency </w:t>
      </w:r>
      <w:r w:rsidR="00E56D98">
        <w:t xml:space="preserve">(EE) </w:t>
      </w:r>
      <w:r w:rsidRPr="00496814">
        <w:t xml:space="preserve">forecast, the </w:t>
      </w:r>
      <w:r w:rsidR="003130F0">
        <w:t>d</w:t>
      </w:r>
      <w:r w:rsidRPr="00496814">
        <w:t xml:space="preserve">istributed </w:t>
      </w:r>
      <w:r w:rsidR="003130F0">
        <w:t>g</w:t>
      </w:r>
      <w:r w:rsidRPr="00496814">
        <w:t>eneration forecast, environmental issues, and economic studies.</w:t>
      </w:r>
    </w:p>
    <w:p w:rsidR="00496814" w:rsidRPr="00496814" w:rsidRDefault="00496814" w:rsidP="00496814">
      <w:r w:rsidRPr="00496814">
        <w:t xml:space="preserve">Other committees are involved in the system planning process. The </w:t>
      </w:r>
      <w:hyperlink r:id="rId95" w:history="1">
        <w:r w:rsidRPr="00F13D6F">
          <w:rPr>
            <w:rStyle w:val="Hyperlink"/>
          </w:rPr>
          <w:t>Reliability Committee</w:t>
        </w:r>
      </w:hyperlink>
      <w:r w:rsidRPr="00496814">
        <w:t xml:space="preserve"> (RC) provides input on </w:t>
      </w:r>
      <w:r w:rsidR="003130F0">
        <w:t>p</w:t>
      </w:r>
      <w:r w:rsidRPr="00496814">
        <w:t xml:space="preserve">lanning </w:t>
      </w:r>
      <w:r w:rsidR="003130F0">
        <w:t>p</w:t>
      </w:r>
      <w:r w:rsidRPr="00496814">
        <w:t>rocedures, proposed plan applications, regional</w:t>
      </w:r>
      <w:r w:rsidRPr="00496814">
        <w:rPr>
          <w:color w:val="0645AD"/>
          <w:u w:val="single"/>
        </w:rPr>
        <w:t xml:space="preserve"> </w:t>
      </w:r>
      <w:hyperlink r:id="rId96" w:history="1">
        <w:r w:rsidRPr="00940083">
          <w:rPr>
            <w:rStyle w:val="Hyperlink"/>
          </w:rPr>
          <w:t>transmission cost allocation</w:t>
        </w:r>
      </w:hyperlink>
      <w:r w:rsidRPr="00496814">
        <w:t xml:space="preserve"> (TCA) applications, </w:t>
      </w:r>
      <w:hyperlink r:id="rId97" w:history="1">
        <w:r w:rsidRPr="00F13D6F">
          <w:rPr>
            <w:rStyle w:val="Hyperlink"/>
            <w:i/>
          </w:rPr>
          <w:t>Market Rule 1 Section 12</w:t>
        </w:r>
      </w:hyperlink>
      <w:r w:rsidRPr="00496814">
        <w:t xml:space="preserve">, and other activities that affect the design and oversight of reliability standards for the power system. The </w:t>
      </w:r>
      <w:hyperlink r:id="rId98" w:history="1">
        <w:r w:rsidRPr="00F13D6F">
          <w:rPr>
            <w:rStyle w:val="Hyperlink"/>
          </w:rPr>
          <w:t>Transmission Committee</w:t>
        </w:r>
      </w:hyperlink>
      <w:r w:rsidRPr="00496814">
        <w:t xml:space="preserve"> (TC) provides advisory input on the general tariff provisions of the OATT and amendments to the </w:t>
      </w:r>
      <w:hyperlink r:id="rId99" w:history="1">
        <w:r w:rsidRPr="00F13D6F">
          <w:rPr>
            <w:rStyle w:val="Hyperlink"/>
          </w:rPr>
          <w:t>Transmission Operating Agreement</w:t>
        </w:r>
      </w:hyperlink>
      <w:r w:rsidRPr="00496814">
        <w:t xml:space="preserve"> (TOA). The </w:t>
      </w:r>
      <w:hyperlink r:id="rId100" w:history="1">
        <w:r w:rsidRPr="00F13D6F">
          <w:rPr>
            <w:rStyle w:val="Hyperlink"/>
          </w:rPr>
          <w:t>Markets Committee</w:t>
        </w:r>
      </w:hyperlink>
      <w:r w:rsidRPr="00496814">
        <w:t xml:space="preserve"> (MC) provides advisory input on changes proposed by the ISO to most sections of </w:t>
      </w:r>
      <w:hyperlink r:id="rId101" w:history="1">
        <w:r w:rsidRPr="00F13D6F">
          <w:rPr>
            <w:rStyle w:val="Hyperlink"/>
            <w:i/>
          </w:rPr>
          <w:t>Market Rule 1</w:t>
        </w:r>
      </w:hyperlink>
      <w:r w:rsidRPr="00496814">
        <w:t xml:space="preserve"> and manuals. Stakeholders who advise ISO New England or its neighboring ISO/RTOs on system planning matters have the opportunity to meet as a unified group through the </w:t>
      </w:r>
      <w:hyperlink r:id="rId102" w:history="1">
        <w:r w:rsidRPr="00F13D6F">
          <w:rPr>
            <w:rStyle w:val="Hyperlink"/>
          </w:rPr>
          <w:t>Interregional Planning Stakeholder Advisory Committee</w:t>
        </w:r>
      </w:hyperlink>
      <w:r w:rsidRPr="00496814">
        <w:t xml:space="preserve"> (IPSAC).</w:t>
      </w:r>
    </w:p>
    <w:p w:rsidR="00496814" w:rsidRPr="00496814" w:rsidRDefault="00496814" w:rsidP="006B38CE">
      <w:pPr>
        <w:pStyle w:val="Heading3"/>
      </w:pPr>
      <w:bookmarkStart w:id="85" w:name="_Toc303086353"/>
      <w:bookmarkStart w:id="86" w:name="_Ref418890076"/>
      <w:bookmarkStart w:id="87" w:name="_Ref418890526"/>
      <w:bookmarkStart w:id="88" w:name="_Toc484973055"/>
      <w:bookmarkStart w:id="89" w:name="_Ref485718934"/>
      <w:bookmarkStart w:id="90" w:name="_Ref485804489"/>
      <w:bookmarkStart w:id="91" w:name="_Toc490323009"/>
      <w:bookmarkStart w:id="92" w:name="_Ref10813349"/>
      <w:bookmarkStart w:id="93" w:name="_Toc81544502"/>
      <w:r w:rsidRPr="00496814">
        <w:t>Providing Information to Stakeholders</w:t>
      </w:r>
      <w:bookmarkEnd w:id="85"/>
      <w:bookmarkEnd w:id="86"/>
      <w:bookmarkEnd w:id="87"/>
      <w:bookmarkEnd w:id="88"/>
      <w:bookmarkEnd w:id="89"/>
      <w:bookmarkEnd w:id="90"/>
      <w:bookmarkEnd w:id="91"/>
      <w:bookmarkEnd w:id="92"/>
      <w:bookmarkEnd w:id="93"/>
    </w:p>
    <w:p w:rsidR="00496814" w:rsidRPr="00496814" w:rsidRDefault="00496814" w:rsidP="00496814">
      <w:r w:rsidRPr="00496814">
        <w:t xml:space="preserve">In addition to publishing the Regional System Plan and specific </w:t>
      </w:r>
      <w:r w:rsidR="006E0E76" w:rsidRPr="00496814">
        <w:t>needs</w:t>
      </w:r>
      <w:r w:rsidRPr="00496814">
        <w:t xml:space="preserve"> assessments and solutions studies to provide information to stakeholders, the ISO issues the </w:t>
      </w:r>
      <w:hyperlink r:id="rId103" w:history="1">
        <w:r w:rsidRPr="00720F9F">
          <w:rPr>
            <w:rStyle w:val="Hyperlink"/>
            <w:i/>
          </w:rPr>
          <w:t>RSP Project List and Asset-Condition Update</w:t>
        </w:r>
      </w:hyperlink>
      <w:r w:rsidRPr="00496814">
        <w:t xml:space="preserve">. The </w:t>
      </w:r>
      <w:r w:rsidRPr="00496814">
        <w:rPr>
          <w:i/>
        </w:rPr>
        <w:t>RSP Project List</w:t>
      </w:r>
      <w:r w:rsidRPr="00496814">
        <w:t xml:space="preserve"> includes the status of transmission upgrades during a project’s lifecycle, and the </w:t>
      </w:r>
      <w:r w:rsidRPr="00496814">
        <w:rPr>
          <w:i/>
        </w:rPr>
        <w:t xml:space="preserve">Asset-Condition List </w:t>
      </w:r>
      <w:r w:rsidRPr="00496814">
        <w:t>captures the transmission asset conditions reported to the PAC.</w:t>
      </w:r>
      <w:r w:rsidRPr="00496814">
        <w:rPr>
          <w:vertAlign w:val="superscript"/>
        </w:rPr>
        <w:footnoteReference w:id="29"/>
      </w:r>
      <w:r w:rsidRPr="00496814">
        <w:t xml:space="preserve"> Both lists are updated several times per year.</w:t>
      </w:r>
    </w:p>
    <w:p w:rsidR="00496814" w:rsidRPr="00496814" w:rsidRDefault="00496814" w:rsidP="00496814">
      <w:r w:rsidRPr="00496814">
        <w:t xml:space="preserve">Additionally, the ISO posts on its website detailed information supplemental to the RSP process, such as the </w:t>
      </w:r>
      <w:hyperlink r:id="rId104" w:history="1">
        <w:r w:rsidRPr="00720F9F">
          <w:rPr>
            <w:rStyle w:val="Hyperlink"/>
          </w:rPr>
          <w:t>Regional Electricity Outlook</w:t>
        </w:r>
      </w:hyperlink>
      <w:r w:rsidRPr="006D5CDB">
        <w:t xml:space="preserve"> (REO)</w:t>
      </w:r>
      <w:r w:rsidRPr="00496814">
        <w:t xml:space="preserve">, </w:t>
      </w:r>
      <w:hyperlink r:id="rId105" w:history="1">
        <w:r w:rsidRPr="00720F9F">
          <w:rPr>
            <w:rStyle w:val="Hyperlink"/>
          </w:rPr>
          <w:t>Annual Markets Report</w:t>
        </w:r>
      </w:hyperlink>
      <w:r w:rsidRPr="006D5CDB">
        <w:t xml:space="preserve"> (AMR)</w:t>
      </w:r>
      <w:r w:rsidRPr="00496814">
        <w:t xml:space="preserve">, </w:t>
      </w:r>
      <w:hyperlink r:id="rId106" w:history="1">
        <w:r w:rsidRPr="00720F9F">
          <w:rPr>
            <w:rStyle w:val="Hyperlink"/>
          </w:rPr>
          <w:t>Wholesale Markets Project Plan</w:t>
        </w:r>
      </w:hyperlink>
      <w:r w:rsidRPr="006D5CDB">
        <w:t xml:space="preserve"> (WMPP)</w:t>
      </w:r>
      <w:r w:rsidRPr="00496814">
        <w:t xml:space="preserve">, presentations, and other reports. The ISO also makes available reliability criteria and assessment </w:t>
      </w:r>
      <w:r w:rsidR="002179F3" w:rsidRPr="00496814">
        <w:t>practices used</w:t>
      </w:r>
      <w:r w:rsidRPr="00496814">
        <w:t xml:space="preserve"> in its analyses and related information required to perform simulations consistent with FERC policies and the ISO Information Policy requirements pertaining to both confidential information and </w:t>
      </w:r>
      <w:hyperlink r:id="rId107" w:history="1">
        <w:r w:rsidR="002179F3" w:rsidRPr="00720F9F">
          <w:rPr>
            <w:rStyle w:val="Hyperlink"/>
          </w:rPr>
          <w:t>C</w:t>
        </w:r>
        <w:r w:rsidRPr="00720F9F">
          <w:rPr>
            <w:rStyle w:val="Hyperlink"/>
          </w:rPr>
          <w:t xml:space="preserve">ritical </w:t>
        </w:r>
        <w:r w:rsidR="002179F3" w:rsidRPr="00720F9F">
          <w:rPr>
            <w:rStyle w:val="Hyperlink"/>
          </w:rPr>
          <w:t>E</w:t>
        </w:r>
        <w:r w:rsidRPr="00720F9F">
          <w:rPr>
            <w:rStyle w:val="Hyperlink"/>
          </w:rPr>
          <w:t xml:space="preserve">nergy </w:t>
        </w:r>
        <w:r w:rsidR="002179F3" w:rsidRPr="00720F9F">
          <w:rPr>
            <w:rStyle w:val="Hyperlink"/>
          </w:rPr>
          <w:t>I</w:t>
        </w:r>
        <w:r w:rsidRPr="00720F9F">
          <w:rPr>
            <w:rStyle w:val="Hyperlink"/>
          </w:rPr>
          <w:t xml:space="preserve">nfrastructure </w:t>
        </w:r>
        <w:r w:rsidR="002179F3" w:rsidRPr="00720F9F">
          <w:rPr>
            <w:rStyle w:val="Hyperlink"/>
          </w:rPr>
          <w:t>I</w:t>
        </w:r>
        <w:r w:rsidRPr="00720F9F">
          <w:rPr>
            <w:rStyle w:val="Hyperlink"/>
          </w:rPr>
          <w:t>nformation</w:t>
        </w:r>
      </w:hyperlink>
      <w:r w:rsidRPr="006D5CDB">
        <w:t xml:space="preserve"> (CEII)</w:t>
      </w:r>
      <w:r w:rsidRPr="00496814">
        <w:t xml:space="preserve"> requirements.</w:t>
      </w:r>
      <w:r w:rsidRPr="00496814">
        <w:rPr>
          <w:vertAlign w:val="superscript"/>
        </w:rPr>
        <w:footnoteReference w:id="30"/>
      </w:r>
      <w:r w:rsidRPr="00496814">
        <w:t xml:space="preserve"> Stakeholders can use this information and data to conduct their own independent studies. </w:t>
      </w:r>
    </w:p>
    <w:p w:rsidR="00496814" w:rsidRPr="00496814" w:rsidRDefault="00496814" w:rsidP="006B38CE">
      <w:pPr>
        <w:pStyle w:val="Heading3"/>
      </w:pPr>
      <w:bookmarkStart w:id="94" w:name="_Toc303086355"/>
      <w:bookmarkStart w:id="95" w:name="_Ref365471084"/>
      <w:bookmarkStart w:id="96" w:name="_Toc484973056"/>
      <w:bookmarkStart w:id="97" w:name="_Ref485806625"/>
      <w:bookmarkStart w:id="98" w:name="_Toc490323010"/>
      <w:bookmarkStart w:id="99" w:name="_Toc81544503"/>
      <w:r w:rsidRPr="00496814">
        <w:t>Meeting All Requirements</w:t>
      </w:r>
      <w:bookmarkEnd w:id="94"/>
      <w:bookmarkEnd w:id="95"/>
      <w:bookmarkEnd w:id="96"/>
      <w:bookmarkEnd w:id="97"/>
      <w:bookmarkEnd w:id="98"/>
      <w:bookmarkEnd w:id="99"/>
    </w:p>
    <w:p w:rsidR="00496814" w:rsidRPr="00496814" w:rsidRDefault="00496814" w:rsidP="00496814">
      <w:r w:rsidRPr="00496814">
        <w:t>In addition to complying with the</w:t>
      </w:r>
      <w:r w:rsidR="006E0E76" w:rsidRPr="006E0E76">
        <w:t xml:space="preserve"> </w:t>
      </w:r>
      <w:r w:rsidR="006E0E76">
        <w:t>ISO</w:t>
      </w:r>
      <w:r w:rsidR="005F2101">
        <w:t xml:space="preserve"> </w:t>
      </w:r>
      <w:r w:rsidR="006E0E76" w:rsidRPr="006E0E76">
        <w:t>Open-Access Transmission Tariff</w:t>
      </w:r>
      <w:r w:rsidRPr="00496814">
        <w:t xml:space="preserve">, which reflects the requirements of FERC orders, this </w:t>
      </w:r>
      <w:r w:rsidR="006E0E76">
        <w:t>2021 Regional System Plan</w:t>
      </w:r>
      <w:r w:rsidR="006E0E76" w:rsidRPr="00496814">
        <w:t xml:space="preserve"> </w:t>
      </w:r>
      <w:r w:rsidRPr="00496814">
        <w:t xml:space="preserve">complies with </w:t>
      </w:r>
      <w:hyperlink r:id="rId108" w:history="1">
        <w:r w:rsidR="002179F3" w:rsidRPr="0085686C">
          <w:rPr>
            <w:rStyle w:val="Hyperlink"/>
          </w:rPr>
          <w:t>North American Electric Reliability Corporation</w:t>
        </w:r>
      </w:hyperlink>
      <w:r w:rsidR="002179F3">
        <w:t xml:space="preserve"> (</w:t>
      </w:r>
      <w:r w:rsidRPr="0085686C">
        <w:t>NERC</w:t>
      </w:r>
      <w:r w:rsidR="002179F3" w:rsidRPr="0085686C">
        <w:t>)</w:t>
      </w:r>
      <w:r w:rsidRPr="00496814">
        <w:t xml:space="preserve"> and </w:t>
      </w:r>
      <w:hyperlink r:id="rId109" w:history="1">
        <w:r w:rsidR="002179F3" w:rsidRPr="0085686C">
          <w:rPr>
            <w:rStyle w:val="Hyperlink"/>
          </w:rPr>
          <w:t>Northeast Power Coordinating Council</w:t>
        </w:r>
      </w:hyperlink>
      <w:r w:rsidR="002179F3">
        <w:t xml:space="preserve"> (</w:t>
      </w:r>
      <w:r w:rsidRPr="0085686C">
        <w:t>NPCC</w:t>
      </w:r>
      <w:r w:rsidR="002179F3" w:rsidRPr="0085686C">
        <w:t>)</w:t>
      </w:r>
      <w:r w:rsidRPr="00496814">
        <w:t xml:space="preserve"> criteria and standards, as well as </w:t>
      </w:r>
      <w:hyperlink r:id="rId110" w:history="1">
        <w:r w:rsidR="0085686C" w:rsidRPr="00720F9F">
          <w:rPr>
            <w:rStyle w:val="Hyperlink"/>
          </w:rPr>
          <w:t>ISO Planning Procedures and Operating P</w:t>
        </w:r>
        <w:r w:rsidRPr="00720F9F">
          <w:rPr>
            <w:rStyle w:val="Hyperlink"/>
          </w:rPr>
          <w:t>rocedures</w:t>
        </w:r>
      </w:hyperlink>
      <w:r w:rsidRPr="00496814">
        <w:t xml:space="preserve">. This RSP also conforms to transmission owner criteria, rules, standards, guides, and policies consistent with NERC, NPCC, and ISO criteria, standards, and procedures including </w:t>
      </w:r>
      <w:hyperlink r:id="rId111" w:history="1">
        <w:r w:rsidRPr="00720F9F">
          <w:rPr>
            <w:rStyle w:val="Hyperlink"/>
          </w:rPr>
          <w:t>Transmission Operating Agreements</w:t>
        </w:r>
      </w:hyperlink>
      <w:r w:rsidRPr="00496814">
        <w:t xml:space="preserve">. </w:t>
      </w:r>
    </w:p>
    <w:p w:rsidR="00496814" w:rsidRPr="00496814" w:rsidRDefault="00496814" w:rsidP="009A1EF6">
      <w:pPr>
        <w:pStyle w:val="Heading2"/>
      </w:pPr>
      <w:bookmarkStart w:id="100" w:name="_Ref173210348"/>
      <w:bookmarkStart w:id="101" w:name="_Toc176244985"/>
      <w:bookmarkStart w:id="102" w:name="_Toc201669902"/>
      <w:bookmarkStart w:id="103" w:name="_Toc207531802"/>
      <w:bookmarkStart w:id="104" w:name="_Toc239157046"/>
      <w:bookmarkStart w:id="105" w:name="_Toc271632205"/>
      <w:bookmarkStart w:id="106" w:name="_Toc303086356"/>
      <w:bookmarkStart w:id="107" w:name="_Toc396807603"/>
      <w:bookmarkStart w:id="108" w:name="_Toc484973057"/>
      <w:bookmarkStart w:id="109" w:name="_Toc490323011"/>
      <w:bookmarkStart w:id="110" w:name="_Toc81544504"/>
      <w:r w:rsidRPr="00496814">
        <w:t>Overview of the New England Electric Power</w:t>
      </w:r>
      <w:r w:rsidR="00412A2C">
        <w:t> </w:t>
      </w:r>
      <w:r w:rsidRPr="00496814">
        <w:t>System</w:t>
      </w:r>
      <w:bookmarkEnd w:id="100"/>
      <w:bookmarkEnd w:id="101"/>
      <w:bookmarkEnd w:id="102"/>
      <w:bookmarkEnd w:id="103"/>
      <w:bookmarkEnd w:id="104"/>
      <w:bookmarkEnd w:id="105"/>
      <w:bookmarkEnd w:id="106"/>
      <w:bookmarkEnd w:id="107"/>
      <w:bookmarkEnd w:id="108"/>
      <w:bookmarkEnd w:id="109"/>
      <w:bookmarkEnd w:id="110"/>
    </w:p>
    <w:p w:rsidR="00496814" w:rsidRPr="00496814" w:rsidRDefault="00496814" w:rsidP="00496814">
      <w:r w:rsidRPr="00496814">
        <w:t>New England’s electric power grid is planned and operated as a unified system of its participating transmission owners and market participants.</w:t>
      </w:r>
      <w:r w:rsidRPr="00496814">
        <w:rPr>
          <w:vertAlign w:val="superscript"/>
        </w:rPr>
        <w:footnoteReference w:id="31"/>
      </w:r>
      <w:r w:rsidRPr="00496814">
        <w:t xml:space="preserve"> The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  </w:t>
      </w:r>
    </w:p>
    <w:p w:rsidR="00496814" w:rsidRPr="00496814" w:rsidRDefault="00496814" w:rsidP="00496814">
      <w:pPr>
        <w:rPr>
          <w:rFonts w:asciiTheme="minorHAnsi" w:eastAsia="Times New Roman" w:hAnsiTheme="minorHAnsi" w:cs="Arial"/>
          <w:sz w:val="16"/>
          <w:szCs w:val="16"/>
        </w:rPr>
      </w:pPr>
      <w:r w:rsidRPr="00496814">
        <w:t>It is ISO New England’s responsibility to ensure reliable operation of the system every hour of every day.</w:t>
      </w:r>
      <w:r w:rsidRPr="00496814">
        <w:rPr>
          <w:vertAlign w:val="superscript"/>
        </w:rPr>
        <w:footnoteReference w:id="32"/>
      </w:r>
      <w:r w:rsidRPr="00496814">
        <w:t xml:space="preserve"> Utilizing the more than 9,000 miles of high-voltage transmission lines (115 </w:t>
      </w:r>
      <w:r w:rsidR="006E0E76">
        <w:t>kilovo</w:t>
      </w:r>
      <w:r w:rsidR="00BD0E5B">
        <w:t>l</w:t>
      </w:r>
      <w:r w:rsidR="006E0E76">
        <w:t xml:space="preserve">ts </w:t>
      </w:r>
      <w:r w:rsidRPr="00496814">
        <w:t xml:space="preserve">and above), New England demand can be served by approximately 31,000 </w:t>
      </w:r>
      <w:r w:rsidR="006E0E76">
        <w:t>megawatts (</w:t>
      </w:r>
      <w:r w:rsidRPr="00496814">
        <w:t>MW</w:t>
      </w:r>
      <w:r w:rsidR="006E0E76">
        <w:t>)</w:t>
      </w:r>
      <w:r w:rsidRPr="00496814">
        <w:t xml:space="preserve"> of generating capability and 3,400 MW of active demand response as well as </w:t>
      </w:r>
      <w:r w:rsidR="006E0E76">
        <w:t>e</w:t>
      </w:r>
      <w:r w:rsidR="006E0E76" w:rsidRPr="00496814">
        <w:t xml:space="preserve">nergy </w:t>
      </w:r>
      <w:r w:rsidR="006E0E76">
        <w:t>e</w:t>
      </w:r>
      <w:r w:rsidR="006E0E76" w:rsidRPr="00496814">
        <w:t xml:space="preserve">fficiency </w:t>
      </w:r>
      <w:r w:rsidRPr="00496814">
        <w:t>and other passive demand resources participating in the markets.  To do this effectively, long</w:t>
      </w:r>
      <w:r w:rsidR="007B6BBA">
        <w:t>-</w:t>
      </w:r>
      <w:r w:rsidRPr="00496814">
        <w:t xml:space="preserve">term planning is essential and this </w:t>
      </w:r>
      <w:r w:rsidR="006E0E76">
        <w:t>2021 Regional System Plan</w:t>
      </w:r>
      <w:r w:rsidR="006E0E76" w:rsidRPr="00496814">
        <w:t xml:space="preserve"> </w:t>
      </w:r>
      <w:r w:rsidRPr="00496814">
        <w:t xml:space="preserve">describes initiatives and studies underway to ensure long-term reliability of the New England power grid.  </w:t>
      </w:r>
      <w:bookmarkStart w:id="111" w:name="_Ref234811928"/>
      <w:bookmarkStart w:id="112" w:name="_Toc239157047"/>
      <w:bookmarkStart w:id="113" w:name="_Toc271632206"/>
      <w:bookmarkStart w:id="114" w:name="_Toc303086357"/>
      <w:bookmarkStart w:id="115" w:name="_Toc396807604"/>
    </w:p>
    <w:p w:rsidR="00496814" w:rsidRPr="00496814" w:rsidRDefault="00496814" w:rsidP="009A1EF6">
      <w:pPr>
        <w:pStyle w:val="Heading2"/>
      </w:pPr>
      <w:bookmarkStart w:id="116" w:name="_Ref418941286"/>
      <w:bookmarkStart w:id="117" w:name="_Toc484973058"/>
      <w:bookmarkStart w:id="118" w:name="_Toc490323012"/>
      <w:bookmarkStart w:id="119" w:name="_Toc81544505"/>
      <w:r w:rsidRPr="00496814">
        <w:t>Overview of the New England Wholesale Electricity Market Structure</w:t>
      </w:r>
      <w:bookmarkEnd w:id="111"/>
      <w:bookmarkEnd w:id="112"/>
      <w:bookmarkEnd w:id="113"/>
      <w:bookmarkEnd w:id="114"/>
      <w:bookmarkEnd w:id="115"/>
      <w:bookmarkEnd w:id="116"/>
      <w:bookmarkEnd w:id="117"/>
      <w:bookmarkEnd w:id="118"/>
      <w:bookmarkEnd w:id="119"/>
      <w:r w:rsidRPr="00496814">
        <w:t xml:space="preserve"> </w:t>
      </w:r>
    </w:p>
    <w:p w:rsidR="00496814" w:rsidRPr="00496814" w:rsidRDefault="00496814" w:rsidP="00496814">
      <w:r w:rsidRPr="00496814">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opportunity to hedge against the costs associated with transmission congestion. Designing, administering, and overseeing the region’s competitive wholesale electricity markets is one of three critical roles ISO New England performs in the region.  </w:t>
      </w:r>
    </w:p>
    <w:p w:rsidR="00496814" w:rsidRPr="00496814" w:rsidRDefault="00496814" w:rsidP="00496814">
      <w:r w:rsidRPr="00496814">
        <w:t xml:space="preserve">One key feature of the region’s wholesale electricity markets is </w:t>
      </w:r>
      <w:hyperlink r:id="rId112" w:history="1">
        <w:r w:rsidRPr="0006228C">
          <w:rPr>
            <w:rStyle w:val="Hyperlink"/>
          </w:rPr>
          <w:t>locational marginal pricing</w:t>
        </w:r>
      </w:hyperlink>
      <w:r w:rsidRPr="00496814">
        <w:t xml:space="preserve"> for electric energy, which r</w:t>
      </w:r>
      <w:r w:rsidRPr="00496814">
        <w:rPr>
          <w:bCs/>
        </w:rPr>
        <w:t>eflects</w:t>
      </w:r>
      <w:r w:rsidRPr="00496814">
        <w:t xml:space="preserve"> the variations in supply, demand, and transmission system limitations at every location where electric energy enters or exits the wholesale power network. In New England, wholesale electricity prices are set at more than 1,100 pricing points </w:t>
      </w:r>
      <w:r w:rsidRPr="002E655F">
        <w:t xml:space="preserve">(i.e., </w:t>
      </w:r>
      <w:r w:rsidRPr="00DC3790">
        <w:rPr>
          <w:iCs/>
        </w:rPr>
        <w:t>pnodes</w:t>
      </w:r>
      <w:r w:rsidRPr="002E655F">
        <w:t>)</w:t>
      </w:r>
      <w:r w:rsidRPr="00496814">
        <w:t xml:space="preserve"> on the power grid. If the system were entirely unconstrained and had no losses, all </w:t>
      </w:r>
      <w:r w:rsidRPr="00DC3790">
        <w:t xml:space="preserve">Locational Marginal Prices </w:t>
      </w:r>
      <w:r w:rsidRPr="00496814">
        <w:t>(LMPs) would be the same, reflecting only the cost of serving the next megawatt increment of load by the generator with the lowest-cost electric energy available, which would be able to flow to any point on the transmission system. LMPs differ</w:t>
      </w:r>
      <w:r w:rsidR="00563B5F">
        <w:t xml:space="preserve"> across</w:t>
      </w:r>
      <w:r w:rsidRPr="00496814">
        <w:t xml:space="preserve"> pnodes</w:t>
      </w:r>
      <w:r w:rsidR="00563B5F">
        <w:t xml:space="preserve"> when a</w:t>
      </w:r>
      <w:r w:rsidRPr="00496814">
        <w:t xml:space="preserve"> location’s marginal cost of congestion and</w:t>
      </w:r>
      <w:r w:rsidR="00563B5F">
        <w:t>/or</w:t>
      </w:r>
      <w:r w:rsidRPr="00496814">
        <w:t xml:space="preserve"> marginal cost of line losses differ</w:t>
      </w:r>
      <w:r w:rsidR="00563B5F">
        <w:t>s</w:t>
      </w:r>
      <w:r w:rsidRPr="00496814">
        <w:t>.</w:t>
      </w:r>
    </w:p>
    <w:p w:rsidR="00496814" w:rsidRPr="00496814" w:rsidRDefault="00496814" w:rsidP="00496814">
      <w:r w:rsidRPr="00496814">
        <w:t xml:space="preserve">Transmission system constraints, which limit the flow of the </w:t>
      </w:r>
      <w:r w:rsidR="00563B5F">
        <w:t>lowest</w:t>
      </w:r>
      <w:r w:rsidRPr="00496814">
        <w:t xml:space="preserve">-cost generation and create the need to dispatch costlier generation, give rise to the congestion component of an LMP. Line losses are caused by physical resistance and subsequent heat loss in the transmission system as electricity travels through </w:t>
      </w:r>
      <w:r w:rsidR="00BA49AE">
        <w:t xml:space="preserve">transmission lines, </w:t>
      </w:r>
      <w:r w:rsidRPr="00496814">
        <w:t xml:space="preserve">transformers, reactors, and other types of equipment, resulting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generation that </w:t>
      </w:r>
      <w:r w:rsidR="005F2101">
        <w:t>is</w:t>
      </w:r>
      <w:r w:rsidRPr="00496814">
        <w:t xml:space="preserve"> dispatched. The ISO operates the system to minimize total system costs, while recognizing</w:t>
      </w:r>
      <w:r w:rsidR="00487535">
        <w:t xml:space="preserve"> the</w:t>
      </w:r>
      <w:r w:rsidRPr="00496814">
        <w:t xml:space="preserve"> physical limitations of the system.</w:t>
      </w:r>
    </w:p>
    <w:p w:rsidR="00496814" w:rsidRPr="00496814" w:rsidRDefault="00496814" w:rsidP="00496814">
      <w:r w:rsidRPr="00496814">
        <w:t xml:space="preserve">The ISO annually assesses the wholesale electricity markets to better understand problems to be addressed and to determine whether the market design or other measures warrant any changes. Proposed initiatives are documented in the </w:t>
      </w:r>
      <w:hyperlink r:id="rId113" w:history="1">
        <w:r w:rsidRPr="0023676C">
          <w:rPr>
            <w:rStyle w:val="Hyperlink"/>
          </w:rPr>
          <w:t>Wholesale Markets Project Plans</w:t>
        </w:r>
      </w:hyperlink>
      <w:r w:rsidRPr="00496814">
        <w:rPr>
          <w:color w:val="0645AD"/>
          <w:sz w:val="18"/>
          <w:szCs w:val="18"/>
          <w:u w:val="single"/>
        </w:rPr>
        <w:t>.</w:t>
      </w:r>
      <w:r w:rsidRPr="00496814">
        <w:t xml:space="preserve"> The ISO uses this information and the results of RSP studies to develop market design changes through an open stakeholder process. </w:t>
      </w:r>
    </w:p>
    <w:p w:rsidR="00496814" w:rsidRPr="00496814" w:rsidRDefault="00496814" w:rsidP="009A1EF6">
      <w:pPr>
        <w:pStyle w:val="Heading2"/>
      </w:pPr>
      <w:bookmarkStart w:id="120" w:name="_Ref356659320"/>
      <w:bookmarkStart w:id="121" w:name="_Toc396807605"/>
      <w:bookmarkStart w:id="122" w:name="_Toc484973059"/>
      <w:bookmarkStart w:id="123" w:name="_Toc490323013"/>
      <w:bookmarkStart w:id="124" w:name="_Toc81544506"/>
      <w:r w:rsidRPr="00496814">
        <w:t>Overview of System Subdivisions Used for Analyzing and Planning the System</w:t>
      </w:r>
      <w:bookmarkEnd w:id="120"/>
      <w:bookmarkEnd w:id="121"/>
      <w:bookmarkEnd w:id="122"/>
      <w:bookmarkEnd w:id="123"/>
      <w:bookmarkEnd w:id="124"/>
    </w:p>
    <w:p w:rsidR="00496814" w:rsidRDefault="00496814" w:rsidP="00DB59CF">
      <w:pPr>
        <w:sectPr w:rsidR="00496814">
          <w:pgSz w:w="12240" w:h="15840"/>
          <w:pgMar w:top="1440" w:right="1440" w:bottom="1440" w:left="1440" w:header="720" w:footer="720" w:gutter="0"/>
          <w:cols w:space="720"/>
          <w:docGrid w:linePitch="360"/>
        </w:sectPr>
      </w:pPr>
      <w:r w:rsidRPr="00496814">
        <w:t xml:space="preserve">To assist in modeling, analyzing, and planning electricity resources in New England, the region and the system have been subdivided in various ways, including </w:t>
      </w:r>
      <w:r w:rsidR="00882791">
        <w:t xml:space="preserve">RSP </w:t>
      </w:r>
      <w:r w:rsidRPr="00496814">
        <w:t>subareas</w:t>
      </w:r>
      <w:r w:rsidR="00BD0E5B">
        <w:t xml:space="preserve"> (or System Planning subareas)</w:t>
      </w:r>
      <w:r w:rsidRPr="00496814">
        <w:t xml:space="preserve">, load zones, reserve zones, demand-resource dispatch zones, and capacity zones. These categories are included in discussions throughout the RSP. Commonly used maps and diagrams related to ISO New England’s operation of the region’s electric power system and settlement of the wholesale electricity marketplace are available on the ISO-NE </w:t>
      </w:r>
      <w:hyperlink r:id="rId114" w:history="1">
        <w:r w:rsidRPr="0023676C">
          <w:rPr>
            <w:rStyle w:val="Hyperlink"/>
          </w:rPr>
          <w:t>website</w:t>
        </w:r>
      </w:hyperlink>
      <w:r w:rsidRPr="00496814">
        <w:t>.</w:t>
      </w:r>
    </w:p>
    <w:p w:rsidR="00496814" w:rsidRPr="00496814" w:rsidRDefault="00496814" w:rsidP="003511BE">
      <w:pPr>
        <w:pStyle w:val="Heading1"/>
      </w:pPr>
      <w:bookmarkStart w:id="125" w:name="_Forecasts_of_New"/>
      <w:bookmarkStart w:id="126" w:name="_Ref418357222"/>
      <w:bookmarkStart w:id="127" w:name="_Ref418357246"/>
      <w:bookmarkStart w:id="128" w:name="_Ref418518333"/>
      <w:bookmarkStart w:id="129" w:name="_Toc484957889"/>
      <w:bookmarkStart w:id="130" w:name="_Toc490323014"/>
      <w:bookmarkStart w:id="131" w:name="_Toc81544507"/>
      <w:bookmarkEnd w:id="125"/>
      <w:r w:rsidRPr="00496814">
        <w:t>Forecasts of New England’s Peak Demand and Annual Use of Electric</w:t>
      </w:r>
      <w:r w:rsidR="00412A2C">
        <w:t> </w:t>
      </w:r>
      <w:r w:rsidRPr="00496814">
        <w:t>Energy</w:t>
      </w:r>
      <w:bookmarkEnd w:id="126"/>
      <w:bookmarkEnd w:id="127"/>
      <w:bookmarkEnd w:id="128"/>
      <w:bookmarkEnd w:id="129"/>
      <w:bookmarkEnd w:id="130"/>
      <w:bookmarkEnd w:id="131"/>
      <w:r w:rsidRPr="00496814">
        <w:t xml:space="preserve"> </w:t>
      </w:r>
    </w:p>
    <w:p w:rsidR="00496814" w:rsidRPr="00496814" w:rsidRDefault="00496814" w:rsidP="00496814">
      <w:pPr>
        <w:spacing w:after="200" w:line="276" w:lineRule="auto"/>
      </w:pPr>
      <w:r w:rsidRPr="00496814">
        <w:rPr>
          <w:rFonts w:ascii="Calibri" w:hAnsi="Calibri" w:cs="OpenSans-Bold"/>
          <w:b/>
          <w:bCs/>
          <w:noProof/>
          <w:color w:val="3D484C"/>
          <w:sz w:val="80"/>
          <w:szCs w:val="80"/>
        </w:rPr>
        <w:drawing>
          <wp:anchor distT="0" distB="182880" distL="182880" distR="182880" simplePos="0" relativeHeight="251665408" behindDoc="0" locked="0" layoutInCell="1" allowOverlap="1" wp14:anchorId="2C1AD88A" wp14:editId="1CF1E992">
            <wp:simplePos x="0" y="0"/>
            <wp:positionH relativeFrom="margin">
              <wp:align>right</wp:align>
            </wp:positionH>
            <wp:positionV relativeFrom="paragraph">
              <wp:posOffset>8890</wp:posOffset>
            </wp:positionV>
            <wp:extent cx="1600200" cy="1600200"/>
            <wp:effectExtent l="0" t="0" r="0" b="0"/>
            <wp:wrapSquare wrapText="bothSides"/>
            <wp:docPr id="47" name="Picture 4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This section </w:t>
      </w:r>
      <w:r w:rsidR="004F1A1C">
        <w:t xml:space="preserve">of the 2021 Regional System Plan (RSP21) </w:t>
      </w:r>
      <w:r w:rsidRPr="00496814">
        <w:t xml:space="preserve">discusses the forecasts of gross and net annual energy and seasonal peak demand for 2021 through winter 2030/2031, including the ISO’s component forecasts of transportation electrification, heating electrification, energy efficiency (EE), and distribution-connected photovoltaics. The forecasts discussed, as published in the </w:t>
      </w:r>
      <w:r w:rsidRPr="00496814">
        <w:rPr>
          <w:i/>
        </w:rPr>
        <w:t>2021-2030 Forecast Report of Capacity, Energy, Loads, and Transmission</w:t>
      </w:r>
      <w:r w:rsidRPr="00496814">
        <w:t xml:space="preserve"> (</w:t>
      </w:r>
      <w:hyperlink r:id="rId117" w:history="1">
        <w:r w:rsidR="00A56D16" w:rsidRPr="00963B61">
          <w:rPr>
            <w:rStyle w:val="Hyperlink"/>
            <w:i/>
          </w:rPr>
          <w:t>2021 CELT</w:t>
        </w:r>
        <w:r w:rsidRPr="00963B61">
          <w:rPr>
            <w:rStyle w:val="Hyperlink"/>
            <w:i/>
          </w:rPr>
          <w:t xml:space="preserve"> Report</w:t>
        </w:r>
      </w:hyperlink>
      <w:r w:rsidRPr="00496814">
        <w:t xml:space="preserve">), provide key inputs for determining the region’s resource adequacy requirements for future years and evaluating </w:t>
      </w:r>
      <w:r w:rsidRPr="00761411">
        <w:t>reliability and economic performance of the electric power system</w:t>
      </w:r>
      <w:r w:rsidRPr="00761411">
        <w:rPr>
          <w:color w:val="0070C0"/>
        </w:rPr>
        <w:t xml:space="preserve"> </w:t>
      </w:r>
      <w:r w:rsidR="00CE1C57" w:rsidRPr="00761411">
        <w:t>(</w:t>
      </w:r>
      <w:r w:rsidR="00093F74" w:rsidRPr="00093F74">
        <w:rPr>
          <w:color w:val="0070C0"/>
          <w:u w:val="single"/>
        </w:rPr>
        <w:fldChar w:fldCharType="begin"/>
      </w:r>
      <w:r w:rsidR="00093F74" w:rsidRPr="00093F74">
        <w:rPr>
          <w:color w:val="0070C0"/>
          <w:u w:val="single"/>
        </w:rPr>
        <w:instrText xml:space="preserve"> REF _Ref78275947 \r \h </w:instrText>
      </w:r>
      <w:r w:rsidR="00093F74" w:rsidRPr="00093F74">
        <w:rPr>
          <w:color w:val="0070C0"/>
          <w:u w:val="single"/>
        </w:rPr>
      </w:r>
      <w:r w:rsidR="00093F74" w:rsidRPr="00093F74">
        <w:rPr>
          <w:color w:val="0070C0"/>
          <w:u w:val="single"/>
        </w:rPr>
        <w:fldChar w:fldCharType="separate"/>
      </w:r>
      <w:r w:rsidR="00093F74" w:rsidRPr="00093F74">
        <w:rPr>
          <w:color w:val="0070C0"/>
          <w:u w:val="single"/>
        </w:rPr>
        <w:t>Chapter 4</w:t>
      </w:r>
      <w:r w:rsidR="00093F74" w:rsidRPr="00093F74">
        <w:rPr>
          <w:rStyle w:val="Hyperlink"/>
          <w:color w:val="auto"/>
          <w:u w:val="none"/>
        </w:rPr>
        <w:fldChar w:fldCharType="end"/>
      </w:r>
      <w:r w:rsidR="00CE1C57" w:rsidRPr="00761411">
        <w:rPr>
          <w:rStyle w:val="Hyperlink"/>
          <w:color w:val="auto"/>
          <w:u w:val="none"/>
        </w:rPr>
        <w:t>)</w:t>
      </w:r>
      <w:r w:rsidR="00CE1C57" w:rsidRPr="00761411">
        <w:t xml:space="preserve"> </w:t>
      </w:r>
      <w:r w:rsidRPr="00761411">
        <w:t>as well as planning needed transmission improvements (</w:t>
      </w:r>
      <w:r w:rsidR="00A76CD4">
        <w:rPr>
          <w:color w:val="0070C0"/>
          <w:u w:val="single"/>
        </w:rPr>
        <w:fldChar w:fldCharType="begin"/>
      </w:r>
      <w:r w:rsidR="00A76CD4">
        <w:rPr>
          <w:color w:val="0070C0"/>
          <w:u w:val="single"/>
        </w:rPr>
        <w:instrText xml:space="preserve"> REF  _Ref301345731 \h \r  \* MERGEFORMAT </w:instrText>
      </w:r>
      <w:r w:rsidR="00A76CD4">
        <w:rPr>
          <w:color w:val="0070C0"/>
          <w:u w:val="single"/>
        </w:rPr>
      </w:r>
      <w:r w:rsidR="00A76CD4">
        <w:rPr>
          <w:color w:val="0070C0"/>
          <w:u w:val="single"/>
        </w:rPr>
        <w:fldChar w:fldCharType="separate"/>
      </w:r>
      <w:r w:rsidR="00A76CD4">
        <w:rPr>
          <w:color w:val="0070C0"/>
          <w:u w:val="single"/>
        </w:rPr>
        <w:t>Chapter 5</w:t>
      </w:r>
      <w:r w:rsidR="00A76CD4">
        <w:rPr>
          <w:color w:val="0070C0"/>
          <w:u w:val="single"/>
        </w:rPr>
        <w:fldChar w:fldCharType="end"/>
      </w:r>
      <w:r w:rsidRPr="00761411">
        <w:t>).</w:t>
      </w:r>
      <w:r w:rsidRPr="00496814">
        <w:t xml:space="preserve"> </w:t>
      </w:r>
    </w:p>
    <w:p w:rsidR="00496814" w:rsidRPr="00496814" w:rsidRDefault="00496814" w:rsidP="00496814">
      <w:pPr>
        <w:spacing w:after="200" w:line="276" w:lineRule="auto"/>
      </w:pPr>
      <w:r w:rsidRPr="00496814">
        <w:t xml:space="preserve">A top priority of many New England states is combatting climate change, </w:t>
      </w:r>
      <w:r w:rsidR="002304ED">
        <w:t>with</w:t>
      </w:r>
      <w:r w:rsidRPr="00496814">
        <w:t xml:space="preserve"> the </w:t>
      </w:r>
      <w:r w:rsidR="002304ED">
        <w:t xml:space="preserve">resulting </w:t>
      </w:r>
      <w:r w:rsidRPr="00496814">
        <w:t xml:space="preserve">state and federal policies </w:t>
      </w:r>
      <w:r w:rsidR="002304ED">
        <w:t>having</w:t>
      </w:r>
      <w:r w:rsidRPr="00496814">
        <w:t xml:space="preserve"> a significant impact on regional electric energy consumption. These policies serve as key inputs to the 10-year forecasts, as they guide the growth of technologies associated with electrification. The amount of electricity that the bulk electric system will need to provide</w:t>
      </w:r>
      <w:r w:rsidRPr="00496814" w:rsidDel="001638A1">
        <w:t xml:space="preserve"> </w:t>
      </w:r>
      <w:r w:rsidRPr="00496814">
        <w:t xml:space="preserve">will increase due to electrification technologies, and will likely decrease due to technologies such as </w:t>
      </w:r>
      <w:r w:rsidR="004F1A1C">
        <w:t>energy efficiency (EE)</w:t>
      </w:r>
      <w:r w:rsidR="004F1A1C" w:rsidRPr="00496814">
        <w:t xml:space="preserve"> </w:t>
      </w:r>
      <w:r w:rsidRPr="00496814">
        <w:t xml:space="preserve">and </w:t>
      </w:r>
      <w:r w:rsidR="004F1A1C">
        <w:t>photovoltaic (PV)</w:t>
      </w:r>
      <w:r w:rsidR="004F1A1C" w:rsidRPr="00496814">
        <w:t xml:space="preserve"> </w:t>
      </w:r>
      <w:r w:rsidRPr="00496814">
        <w:t xml:space="preserve">resources. </w:t>
      </w:r>
    </w:p>
    <w:p w:rsidR="00496814" w:rsidRPr="00496814" w:rsidRDefault="00496814" w:rsidP="00496814">
      <w:pPr>
        <w:spacing w:after="200" w:line="276" w:lineRule="auto"/>
      </w:pPr>
      <w:r w:rsidRPr="00496814">
        <w:t>The ISO’s gross forecasts are projections of the amount of electric energy the New England states will need annually and during seasonal peak hours, absent savings from EE resources that participate in Forward Capacity Auctions, and savings from behind-the-meter (BTM</w:t>
      </w:r>
      <w:r w:rsidR="004F1A1C">
        <w:t>)</w:t>
      </w:r>
      <w:r w:rsidRPr="00496814">
        <w:t xml:space="preserve"> PV. A primary objective of the gross load forecasts is to ensure appropriate demand-side modeling in </w:t>
      </w:r>
      <w:hyperlink r:id="rId118" w:history="1">
        <w:r w:rsidRPr="005B4DB2">
          <w:rPr>
            <w:rStyle w:val="Hyperlink"/>
          </w:rPr>
          <w:t xml:space="preserve">Forward Capacity Market </w:t>
        </w:r>
      </w:hyperlink>
      <w:r w:rsidRPr="00496814">
        <w:t xml:space="preserve">(FCM) studies (e.g., the </w:t>
      </w:r>
      <w:hyperlink r:id="rId119" w:history="1">
        <w:r w:rsidRPr="005362DE">
          <w:rPr>
            <w:rStyle w:val="Hyperlink"/>
          </w:rPr>
          <w:t>Installed Capacity Requirement</w:t>
        </w:r>
      </w:hyperlink>
      <w:r w:rsidRPr="00496814">
        <w:t xml:space="preserve"> (ICR) calculation). Since passive-demand resources (the majority of which are EE resources) are compensated as supply in FCM, they need to be</w:t>
      </w:r>
      <w:r w:rsidR="002304ED">
        <w:t xml:space="preserve"> addressed</w:t>
      </w:r>
      <w:r w:rsidRPr="00496814">
        <w:t xml:space="preserve"> in the load forecast in a manner that avoids double-counting them as both a demand reduction and a resource. The ISO’s net forecasts are projections of energy and demand after reductions from EE and BTM PV, and define the baseline load characteristics for evaluation in most non-FCM planning studies. Both gross and net forecasts are inclusive of the forecasted impacts of electrification.</w:t>
      </w:r>
      <w:r w:rsidRPr="00496814">
        <w:rPr>
          <w:vertAlign w:val="superscript"/>
        </w:rPr>
        <w:footnoteReference w:id="33"/>
      </w:r>
    </w:p>
    <w:p w:rsidR="00496814" w:rsidRPr="00496814" w:rsidRDefault="00496814" w:rsidP="00496814">
      <w:pPr>
        <w:spacing w:after="200" w:line="276" w:lineRule="auto"/>
      </w:pPr>
      <w:r w:rsidRPr="00496814">
        <w:t xml:space="preserve">Relative to </w:t>
      </w:r>
      <w:r w:rsidR="004F1A1C">
        <w:t>the 2019 Regional System Plan</w:t>
      </w:r>
      <w:r w:rsidR="004F1A1C" w:rsidRPr="00496814">
        <w:t xml:space="preserve"> </w:t>
      </w:r>
      <w:r w:rsidRPr="00496814">
        <w:t>forecasts, RSP21 forecasts reflect the following methodological changes:</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Improvements to the accounting of passive-demand resources (including EE) in the gross load forecast due to </w:t>
      </w:r>
      <w:hyperlink r:id="rId120" w:history="1">
        <w:r w:rsidRPr="00A61289">
          <w:rPr>
            <w:rStyle w:val="Hyperlink"/>
          </w:rPr>
          <w:t>reconstitution methodology changes</w:t>
        </w:r>
      </w:hyperlink>
    </w:p>
    <w:p w:rsidR="00496814" w:rsidRPr="00496814" w:rsidRDefault="00D37EB1" w:rsidP="002F1C44">
      <w:pPr>
        <w:numPr>
          <w:ilvl w:val="0"/>
          <w:numId w:val="39"/>
        </w:numPr>
        <w:spacing w:after="200" w:line="276" w:lineRule="auto"/>
        <w:rPr>
          <w:rFonts w:eastAsia="Times New Roman"/>
          <w:szCs w:val="24"/>
        </w:rPr>
      </w:pPr>
      <w:hyperlink r:id="rId121" w:history="1">
        <w:r w:rsidR="00496814" w:rsidRPr="00A61289">
          <w:rPr>
            <w:rStyle w:val="Hyperlink"/>
          </w:rPr>
          <w:t>Changes to the accounting</w:t>
        </w:r>
      </w:hyperlink>
      <w:r w:rsidR="00496814" w:rsidRPr="00496814">
        <w:rPr>
          <w:rFonts w:eastAsia="Times New Roman"/>
          <w:szCs w:val="24"/>
        </w:rPr>
        <w:t xml:space="preserve"> in the EE forecast corresponding to the aforementioned reconstitution changes </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The development of both heating and electrification forecasts </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Consideration of the evolving </w:t>
      </w:r>
      <w:hyperlink r:id="rId122" w:history="1">
        <w:r w:rsidRPr="00A61289">
          <w:rPr>
            <w:rStyle w:val="Hyperlink"/>
          </w:rPr>
          <w:t>impact of the COVID-19 pandemic</w:t>
        </w:r>
        <w:r w:rsidRPr="00496814">
          <w:rPr>
            <w:rFonts w:eastAsia="Times New Roman"/>
            <w:color w:val="1795D2" w:themeColor="accent1"/>
            <w:szCs w:val="24"/>
            <w:u w:val="single"/>
          </w:rPr>
          <w:t xml:space="preserve"> </w:t>
        </w:r>
      </w:hyperlink>
      <w:r w:rsidRPr="00496814">
        <w:rPr>
          <w:rFonts w:eastAsia="Times New Roman"/>
          <w:szCs w:val="24"/>
        </w:rPr>
        <w:t>on the region’s macroeconomic outlook</w:t>
      </w:r>
    </w:p>
    <w:p w:rsidR="00496814" w:rsidRPr="00496814" w:rsidRDefault="00496814" w:rsidP="009A1EF6">
      <w:pPr>
        <w:pStyle w:val="Heading2"/>
      </w:pPr>
      <w:bookmarkStart w:id="132" w:name="_Toc291754868"/>
      <w:bookmarkStart w:id="133" w:name="_Ref293769466"/>
      <w:bookmarkStart w:id="134" w:name="_Ref298241723"/>
      <w:bookmarkStart w:id="135" w:name="_Toc303086360"/>
      <w:bookmarkStart w:id="136" w:name="_Ref325529643"/>
      <w:bookmarkStart w:id="137" w:name="_Toc334601014"/>
      <w:bookmarkStart w:id="138" w:name="_Toc365440983"/>
      <w:bookmarkStart w:id="139" w:name="_Toc396807607"/>
      <w:bookmarkStart w:id="140" w:name="_Toc484957890"/>
      <w:bookmarkStart w:id="141" w:name="_Toc490323015"/>
      <w:bookmarkStart w:id="142" w:name="_Toc81544508"/>
      <w:r w:rsidRPr="00496814">
        <w:t>ISO New England Gross Forecasts</w:t>
      </w:r>
      <w:bookmarkEnd w:id="132"/>
      <w:bookmarkEnd w:id="133"/>
      <w:bookmarkEnd w:id="134"/>
      <w:bookmarkEnd w:id="135"/>
      <w:bookmarkEnd w:id="136"/>
      <w:bookmarkEnd w:id="137"/>
      <w:bookmarkEnd w:id="138"/>
      <w:bookmarkEnd w:id="139"/>
      <w:bookmarkEnd w:id="140"/>
      <w:bookmarkEnd w:id="141"/>
      <w:bookmarkEnd w:id="142"/>
    </w:p>
    <w:p w:rsidR="00496814" w:rsidRPr="00496814" w:rsidRDefault="00496814" w:rsidP="00496814">
      <w:pPr>
        <w:spacing w:after="200" w:line="276" w:lineRule="auto"/>
      </w:pPr>
      <w:r w:rsidRPr="00496814">
        <w:t xml:space="preserve">Historical loads, macroeconomic and demographic factors, and anticipated electrification trends drive the forecasts of the gross annual electric energy and seasonal peak demand. </w:t>
      </w:r>
      <w:r w:rsidRPr="00B86879">
        <w:rPr>
          <w:color w:val="0070C0"/>
          <w:u w:val="single"/>
        </w:rPr>
        <w:fldChar w:fldCharType="begin"/>
      </w:r>
      <w:r w:rsidRPr="00B86879">
        <w:rPr>
          <w:color w:val="0070C0"/>
          <w:u w:val="single"/>
        </w:rPr>
        <w:instrText xml:space="preserve"> REF _Ref302644950 \h  \* MERGEFORMAT </w:instrText>
      </w:r>
      <w:r w:rsidRPr="00B86879">
        <w:rPr>
          <w:color w:val="0070C0"/>
          <w:u w:val="single"/>
        </w:rPr>
      </w:r>
      <w:r w:rsidRPr="00B86879">
        <w:rPr>
          <w:color w:val="0070C0"/>
          <w:u w:val="single"/>
        </w:rPr>
        <w:fldChar w:fldCharType="separate"/>
      </w:r>
      <w:r w:rsidR="00B86879" w:rsidRPr="00B86879">
        <w:rPr>
          <w:color w:val="0070C0"/>
          <w:u w:val="single"/>
        </w:rPr>
        <w:t>Table 3</w:t>
      </w:r>
      <w:r w:rsidR="00B86879" w:rsidRPr="00B86879">
        <w:rPr>
          <w:color w:val="0070C0"/>
          <w:u w:val="single"/>
        </w:rPr>
        <w:noBreakHyphen/>
        <w:t>1</w:t>
      </w:r>
      <w:r w:rsidRPr="00B86879">
        <w:rPr>
          <w:color w:val="0070C0"/>
          <w:u w:val="single"/>
        </w:rPr>
        <w:fldChar w:fldCharType="end"/>
      </w:r>
      <w:r w:rsidRPr="00496814">
        <w:t xml:space="preserve"> summarizes the ISO’s forecasts of gross annual electric energy use and gross seasonal peak load (50/50 and 90/10) for New England overall and for each state.</w:t>
      </w:r>
      <w:r w:rsidRPr="00496814">
        <w:rPr>
          <w:sz w:val="22"/>
          <w:vertAlign w:val="superscript"/>
        </w:rPr>
        <w:footnoteReference w:id="34"/>
      </w:r>
      <w:r w:rsidRPr="00496814">
        <w:t xml:space="preserve"> </w:t>
      </w:r>
      <w:r w:rsidR="004F1A1C">
        <w:t xml:space="preserve">RSP21 </w:t>
      </w:r>
      <w:r w:rsidRPr="00496814">
        <w:t xml:space="preserve">forecasts of gross annual energy use, and both summer and winter gross seasonal peak conditions, are lower than those published in </w:t>
      </w:r>
      <w:r w:rsidR="004F1A1C">
        <w:t>2019 Regional System Plan</w:t>
      </w:r>
      <w:r w:rsidRPr="00496814">
        <w:t xml:space="preserve">, primarily due to changes in the accounting for passive-demand resources in the gross load forecast. </w:t>
      </w:r>
    </w:p>
    <w:p w:rsidR="00496814" w:rsidRPr="00496814" w:rsidRDefault="00496814" w:rsidP="00496814">
      <w:pPr>
        <w:keepNext/>
        <w:keepLines/>
        <w:spacing w:after="120" w:line="240" w:lineRule="auto"/>
        <w:jc w:val="center"/>
        <w:rPr>
          <w:rFonts w:asciiTheme="minorHAnsi" w:hAnsiTheme="minorHAnsi"/>
          <w:b/>
        </w:rPr>
      </w:pPr>
      <w:bookmarkStart w:id="143" w:name="_Ref302644950"/>
      <w:bookmarkStart w:id="144" w:name="Table_3_1"/>
      <w:bookmarkStart w:id="145" w:name="_Toc303086928"/>
      <w:bookmarkStart w:id="146" w:name="_Toc330401249"/>
      <w:bookmarkStart w:id="147" w:name="_Toc334541922"/>
      <w:bookmarkStart w:id="148" w:name="_Toc334541959"/>
      <w:bookmarkStart w:id="149" w:name="_Toc365440697"/>
      <w:bookmarkStart w:id="150" w:name="_Toc391985595"/>
      <w:bookmarkStart w:id="151" w:name="_Toc484164906"/>
      <w:bookmarkStart w:id="152" w:name="_Toc491243997"/>
      <w:bookmarkStart w:id="153" w:name="_Toc81544623"/>
      <w:r w:rsidRPr="00496814">
        <w:rPr>
          <w:rFonts w:asciiTheme="minorHAnsi" w:hAnsiTheme="minorHAnsi"/>
          <w:b/>
        </w:rPr>
        <w:t xml:space="preserve">Table </w:t>
      </w:r>
      <w:r w:rsidR="001D2A17">
        <w:rPr>
          <w:rFonts w:asciiTheme="minorHAnsi" w:hAnsiTheme="minorHAnsi"/>
          <w:b/>
        </w:rPr>
        <w:fldChar w:fldCharType="begin"/>
      </w:r>
      <w:r w:rsidR="001D2A17">
        <w:rPr>
          <w:rFonts w:asciiTheme="minorHAnsi" w:hAnsiTheme="minorHAnsi"/>
          <w:b/>
        </w:rPr>
        <w:instrText xml:space="preserve"> STYLEREF 1 \s </w:instrText>
      </w:r>
      <w:r w:rsidR="001D2A17">
        <w:rPr>
          <w:rFonts w:asciiTheme="minorHAnsi" w:hAnsiTheme="minorHAnsi"/>
          <w:b/>
        </w:rPr>
        <w:fldChar w:fldCharType="separate"/>
      </w:r>
      <w:r w:rsidR="001D2A17">
        <w:rPr>
          <w:rFonts w:asciiTheme="minorHAnsi" w:hAnsiTheme="minorHAnsi"/>
          <w:b/>
          <w:noProof/>
        </w:rPr>
        <w:t>3</w:t>
      </w:r>
      <w:r w:rsidR="001D2A17">
        <w:rPr>
          <w:rFonts w:asciiTheme="minorHAnsi" w:hAnsiTheme="minorHAnsi"/>
          <w:b/>
        </w:rPr>
        <w:fldChar w:fldCharType="end"/>
      </w:r>
      <w:r w:rsidR="001D2A17">
        <w:rPr>
          <w:rFonts w:asciiTheme="minorHAnsi" w:hAnsiTheme="minorHAnsi"/>
          <w:b/>
        </w:rPr>
        <w:noBreakHyphen/>
      </w:r>
      <w:r w:rsidR="001D2A17">
        <w:rPr>
          <w:rFonts w:asciiTheme="minorHAnsi" w:hAnsiTheme="minorHAnsi"/>
          <w:b/>
        </w:rPr>
        <w:fldChar w:fldCharType="begin"/>
      </w:r>
      <w:r w:rsidR="001D2A17">
        <w:rPr>
          <w:rFonts w:asciiTheme="minorHAnsi" w:hAnsiTheme="minorHAnsi"/>
          <w:b/>
        </w:rPr>
        <w:instrText xml:space="preserve"> SEQ Table \* ARABIC \s 1 </w:instrText>
      </w:r>
      <w:r w:rsidR="001D2A17">
        <w:rPr>
          <w:rFonts w:asciiTheme="minorHAnsi" w:hAnsiTheme="minorHAnsi"/>
          <w:b/>
        </w:rPr>
        <w:fldChar w:fldCharType="separate"/>
      </w:r>
      <w:r w:rsidR="001D2A17">
        <w:rPr>
          <w:rFonts w:asciiTheme="minorHAnsi" w:hAnsiTheme="minorHAnsi"/>
          <w:b/>
          <w:noProof/>
        </w:rPr>
        <w:t>1</w:t>
      </w:r>
      <w:r w:rsidR="001D2A17">
        <w:rPr>
          <w:rFonts w:asciiTheme="minorHAnsi" w:hAnsiTheme="minorHAnsi"/>
          <w:b/>
        </w:rPr>
        <w:fldChar w:fldCharType="end"/>
      </w:r>
      <w:bookmarkEnd w:id="143"/>
      <w:bookmarkEnd w:id="144"/>
      <w:r w:rsidRPr="00496814">
        <w:rPr>
          <w:rFonts w:asciiTheme="minorHAnsi" w:hAnsiTheme="minorHAnsi"/>
          <w:b/>
          <w:bCs/>
        </w:rPr>
        <w:br/>
      </w:r>
      <w:r w:rsidRPr="00496814">
        <w:rPr>
          <w:rFonts w:asciiTheme="minorHAnsi" w:hAnsiTheme="minorHAnsi"/>
          <w:b/>
        </w:rPr>
        <w:t>Summary of Annual Gross Electric Energy Use and Gross Peak Demand Forecast</w:t>
      </w:r>
      <w:r w:rsidRPr="00496814">
        <w:rPr>
          <w:rFonts w:asciiTheme="minorHAnsi" w:hAnsiTheme="minorHAnsi"/>
          <w:b/>
        </w:rPr>
        <w:br/>
        <w:t>for New England and the States</w:t>
      </w:r>
      <w:bookmarkEnd w:id="145"/>
      <w:bookmarkEnd w:id="146"/>
      <w:bookmarkEnd w:id="147"/>
      <w:bookmarkEnd w:id="148"/>
      <w:bookmarkEnd w:id="149"/>
      <w:r w:rsidRPr="00496814">
        <w:rPr>
          <w:rFonts w:asciiTheme="minorHAnsi" w:hAnsiTheme="minorHAnsi"/>
          <w:b/>
        </w:rPr>
        <w:t xml:space="preserve">, 2021/2022 and </w:t>
      </w:r>
      <w:bookmarkEnd w:id="150"/>
      <w:bookmarkEnd w:id="151"/>
      <w:bookmarkEnd w:id="152"/>
      <w:r w:rsidRPr="00496814">
        <w:rPr>
          <w:rFonts w:asciiTheme="minorHAnsi" w:hAnsiTheme="minorHAnsi"/>
          <w:b/>
        </w:rPr>
        <w:t>2030/2031</w:t>
      </w:r>
      <w:bookmarkEnd w:id="153"/>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661"/>
        <w:gridCol w:w="810"/>
        <w:gridCol w:w="748"/>
        <w:gridCol w:w="720"/>
        <w:gridCol w:w="720"/>
        <w:gridCol w:w="720"/>
        <w:gridCol w:w="720"/>
        <w:gridCol w:w="720"/>
        <w:gridCol w:w="720"/>
        <w:gridCol w:w="720"/>
        <w:gridCol w:w="720"/>
        <w:gridCol w:w="720"/>
        <w:gridCol w:w="720"/>
        <w:gridCol w:w="720"/>
      </w:tblGrid>
      <w:tr w:rsidR="00496814" w:rsidRPr="00496814" w:rsidTr="006E0ABA">
        <w:trPr>
          <w:cantSplit/>
          <w:jc w:val="center"/>
        </w:trPr>
        <w:tc>
          <w:tcPr>
            <w:tcW w:w="661"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State</w:t>
            </w:r>
            <w:r w:rsidRPr="00496814">
              <w:rPr>
                <w:rFonts w:asciiTheme="minorHAnsi" w:hAnsiTheme="minorHAnsi" w:cs="Arial"/>
                <w:b/>
                <w:color w:val="FFFFFF"/>
                <w:sz w:val="18"/>
                <w:szCs w:val="18"/>
                <w:vertAlign w:val="superscript"/>
              </w:rPr>
              <w:t>(a)</w:t>
            </w:r>
          </w:p>
        </w:tc>
        <w:tc>
          <w:tcPr>
            <w:tcW w:w="2278" w:type="dxa"/>
            <w:gridSpan w:val="3"/>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Net Energy for Load</w:t>
            </w:r>
            <w:r w:rsidRPr="00496814">
              <w:rPr>
                <w:rFonts w:asciiTheme="minorHAnsi" w:hAnsiTheme="minorHAnsi" w:cs="Arial"/>
                <w:b/>
                <w:color w:val="FFFFFF"/>
                <w:sz w:val="18"/>
                <w:szCs w:val="18"/>
              </w:rPr>
              <w:br/>
              <w:t>(1,000 MWh)</w:t>
            </w:r>
          </w:p>
        </w:tc>
        <w:tc>
          <w:tcPr>
            <w:tcW w:w="3600" w:type="dxa"/>
            <w:gridSpan w:val="5"/>
            <w:shd w:val="clear" w:color="auto" w:fill="1795D2" w:themeFill="accent1"/>
            <w:noWrap/>
            <w:tcMar>
              <w:top w:w="0" w:type="dxa"/>
              <w:left w:w="0" w:type="dxa"/>
              <w:bottom w:w="0"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Summer Peak Loads (MW)</w:t>
            </w:r>
          </w:p>
        </w:tc>
        <w:tc>
          <w:tcPr>
            <w:tcW w:w="3600" w:type="dxa"/>
            <w:gridSpan w:val="5"/>
            <w:shd w:val="clear" w:color="auto" w:fill="1795D2" w:themeFill="accent1"/>
            <w:noWrap/>
            <w:tcMar>
              <w:top w:w="0" w:type="dxa"/>
              <w:left w:w="0" w:type="dxa"/>
              <w:bottom w:w="0"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Winter Peak Loads (MW)</w:t>
            </w:r>
          </w:p>
        </w:tc>
      </w:tr>
      <w:tr w:rsidR="00496814" w:rsidRPr="00496814" w:rsidTr="006E0ABA">
        <w:trPr>
          <w:cantSplit/>
          <w:jc w:val="center"/>
        </w:trPr>
        <w:tc>
          <w:tcPr>
            <w:tcW w:w="661"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90/10</w:t>
            </w:r>
            <w:r w:rsidRPr="00496814">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90/10</w:t>
            </w:r>
            <w:r w:rsidRPr="00496814">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r>
      <w:tr w:rsidR="00496814" w:rsidRPr="00496814" w:rsidTr="006E0ABA">
        <w:trPr>
          <w:cantSplit/>
          <w:jc w:val="center"/>
        </w:trPr>
        <w:tc>
          <w:tcPr>
            <w:tcW w:w="661"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48"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Calibri" w:hAnsi="Calibri"/>
                <w:b/>
                <w:bCs/>
                <w:color w:val="FFFFFF"/>
                <w:sz w:val="18"/>
                <w:szCs w:val="18"/>
              </w:rPr>
              <w:t>2030</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w:t>
            </w:r>
          </w:p>
        </w:tc>
        <w:tc>
          <w:tcPr>
            <w:tcW w:w="720"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2021/22</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2030/31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2021/22</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2030/31</w:t>
            </w:r>
          </w:p>
        </w:tc>
        <w:tc>
          <w:tcPr>
            <w:tcW w:w="720"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r>
      <w:tr w:rsidR="00496814" w:rsidRPr="00496814" w:rsidTr="006E0ABA">
        <w:tblPrEx>
          <w:tblCellMar>
            <w:left w:w="37" w:type="dxa"/>
            <w:right w:w="37" w:type="dxa"/>
          </w:tblCellMar>
        </w:tblPrEx>
        <w:trPr>
          <w:cantSplit/>
          <w:trHeight w:val="165"/>
          <w:jc w:val="center"/>
        </w:trPr>
        <w:tc>
          <w:tcPr>
            <w:tcW w:w="661" w:type="dxa"/>
            <w:shd w:val="clear" w:color="auto" w:fill="FFFFFF"/>
            <w:noWrap/>
            <w:tcMar>
              <w:top w:w="37" w:type="dxa"/>
              <w:left w:w="74" w:type="dxa"/>
              <w:bottom w:w="37"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CT</w:t>
            </w:r>
          </w:p>
        </w:tc>
        <w:tc>
          <w:tcPr>
            <w:tcW w:w="81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32,851</w:t>
            </w:r>
          </w:p>
        </w:tc>
        <w:tc>
          <w:tcPr>
            <w:tcW w:w="748"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35,912</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7,158</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7,341</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7,596</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7,778</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0.3</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5,458</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5,671</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5,606</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5,819</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0.4</w:t>
            </w:r>
          </w:p>
        </w:tc>
      </w:tr>
      <w:tr w:rsidR="00496814" w:rsidRPr="00496814" w:rsidTr="006E0ABA">
        <w:trPr>
          <w:cantSplit/>
          <w:trHeight w:val="255"/>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ME</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13,512</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16,330</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2,160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2,442</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2,266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2,562</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2,002</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2,750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2,037</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2,840</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3.8</w:t>
            </w:r>
          </w:p>
        </w:tc>
      </w:tr>
      <w:tr w:rsidR="00496814" w:rsidRPr="00496814" w:rsidTr="006E0ABA">
        <w:trPr>
          <w:cantSplit/>
          <w:trHeight w:val="255"/>
          <w:jc w:val="center"/>
        </w:trPr>
        <w:tc>
          <w:tcPr>
            <w:tcW w:w="661" w:type="dxa"/>
            <w:shd w:val="clear" w:color="auto" w:fill="FFFFFF"/>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MA</w:t>
            </w:r>
          </w:p>
        </w:tc>
        <w:tc>
          <w:tcPr>
            <w:tcW w:w="81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65,704</w:t>
            </w:r>
          </w:p>
        </w:tc>
        <w:tc>
          <w:tcPr>
            <w:tcW w:w="748"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77,923</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13,426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14,398</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14,416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15,472</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10,254</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11,657</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10,596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12,071</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1.5</w:t>
            </w:r>
          </w:p>
        </w:tc>
      </w:tr>
      <w:tr w:rsidR="00496814" w:rsidRPr="00496814" w:rsidTr="006E0ABA">
        <w:trPr>
          <w:cantSplit/>
          <w:trHeight w:val="255"/>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NH</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12,510</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14,757</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2,440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2,620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2,576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2,756</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2,009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2,147</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2,070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2,214</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r>
      <w:tr w:rsidR="00496814" w:rsidRPr="00496814" w:rsidTr="006E0ABA">
        <w:trPr>
          <w:cantSplit/>
          <w:trHeight w:val="255"/>
          <w:jc w:val="center"/>
        </w:trPr>
        <w:tc>
          <w:tcPr>
            <w:tcW w:w="661" w:type="dxa"/>
            <w:shd w:val="clear" w:color="auto" w:fill="FFFFFF"/>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RI</w:t>
            </w:r>
          </w:p>
        </w:tc>
        <w:tc>
          <w:tcPr>
            <w:tcW w:w="81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9,901</w:t>
            </w:r>
          </w:p>
        </w:tc>
        <w:tc>
          <w:tcPr>
            <w:tcW w:w="748"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11,066</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2,101</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2,280</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2,299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2,501</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1,462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1,612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1,496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1,646</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w:t>
            </w:r>
          </w:p>
        </w:tc>
      </w:tr>
      <w:tr w:rsidR="00496814" w:rsidRPr="00496814" w:rsidTr="006E0ABA">
        <w:trPr>
          <w:cantSplit/>
          <w:trHeight w:val="270"/>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VT</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6,358</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7,129</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1,039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1,095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1,073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1,129</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1,029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1,204</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1,048</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1,231</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1.8</w:t>
            </w:r>
          </w:p>
        </w:tc>
      </w:tr>
      <w:tr w:rsidR="00496814" w:rsidRPr="00496814" w:rsidTr="006E0ABA">
        <w:trPr>
          <w:cantSplit/>
          <w:trHeight w:val="270"/>
          <w:jc w:val="center"/>
        </w:trPr>
        <w:tc>
          <w:tcPr>
            <w:tcW w:w="661" w:type="dxa"/>
            <w:shd w:val="clear" w:color="auto" w:fill="1795D2" w:themeFill="accent1"/>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highlight w:val="yellow"/>
              </w:rPr>
            </w:pPr>
            <w:r w:rsidRPr="00496814">
              <w:rPr>
                <w:rFonts w:asciiTheme="minorHAnsi" w:hAnsiTheme="minorHAnsi"/>
                <w:b/>
                <w:color w:val="FFFFFF" w:themeColor="background1"/>
                <w:sz w:val="18"/>
                <w:szCs w:val="18"/>
              </w:rPr>
              <w:t>ISO</w:t>
            </w:r>
          </w:p>
        </w:tc>
        <w:tc>
          <w:tcPr>
            <w:tcW w:w="81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140,836</w:t>
            </w:r>
          </w:p>
        </w:tc>
        <w:tc>
          <w:tcPr>
            <w:tcW w:w="748"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163,116</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1.6</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28,324</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30,177</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30,225</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32,197</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0.7</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22,214</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25,041</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22,853</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25,821</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1.3</w:t>
            </w:r>
          </w:p>
        </w:tc>
      </w:tr>
    </w:tbl>
    <w:p w:rsidR="00496814" w:rsidRPr="00496814" w:rsidRDefault="00496814" w:rsidP="002F1C44">
      <w:pPr>
        <w:keepNext/>
        <w:keepLines/>
        <w:numPr>
          <w:ilvl w:val="0"/>
          <w:numId w:val="34"/>
        </w:numPr>
        <w:tabs>
          <w:tab w:val="left" w:pos="-720"/>
        </w:tabs>
        <w:spacing w:before="120" w:after="80" w:line="240" w:lineRule="auto"/>
        <w:ind w:left="-270" w:right="-810" w:hanging="270"/>
        <w:rPr>
          <w:rFonts w:ascii="Calibri" w:eastAsia="Times New Roman" w:hAnsi="Calibri"/>
          <w:sz w:val="16"/>
          <w:szCs w:val="16"/>
        </w:rPr>
      </w:pPr>
      <w:r w:rsidRPr="00496814">
        <w:rPr>
          <w:rFonts w:ascii="Calibri" w:eastAsia="Times New Roman" w:hAnsi="Calibri"/>
          <w:sz w:val="16"/>
          <w:szCs w:val="16"/>
        </w:rPr>
        <w:t>A variety of factors cause state growth rates to differ from the overall growth rate for New England.</w:t>
      </w:r>
    </w:p>
    <w:p w:rsidR="00496814" w:rsidRPr="00496814" w:rsidRDefault="00496814" w:rsidP="002F1C44">
      <w:pPr>
        <w:numPr>
          <w:ilvl w:val="0"/>
          <w:numId w:val="34"/>
        </w:numPr>
        <w:tabs>
          <w:tab w:val="left" w:pos="-720"/>
        </w:tabs>
        <w:spacing w:after="80" w:line="240" w:lineRule="auto"/>
        <w:ind w:left="-273" w:right="-806" w:hanging="274"/>
        <w:rPr>
          <w:rFonts w:ascii="Calibri" w:eastAsia="Times New Roman" w:hAnsi="Calibri"/>
          <w:sz w:val="16"/>
          <w:szCs w:val="16"/>
        </w:rPr>
      </w:pPr>
      <w:r w:rsidRPr="00496814">
        <w:rPr>
          <w:rFonts w:ascii="Calibri" w:eastAsia="Times New Roman" w:hAnsi="Calibri"/>
          <w:sz w:val="16"/>
          <w:szCs w:val="16"/>
        </w:rPr>
        <w:t>The 90/10 gross forecast is used in the development of ICRs.</w:t>
      </w:r>
    </w:p>
    <w:p w:rsidR="00496814" w:rsidRPr="00496814" w:rsidRDefault="00496814" w:rsidP="002F1C44">
      <w:pPr>
        <w:numPr>
          <w:ilvl w:val="0"/>
          <w:numId w:val="34"/>
        </w:numPr>
        <w:tabs>
          <w:tab w:val="left" w:pos="-720"/>
        </w:tabs>
        <w:spacing w:line="240" w:lineRule="auto"/>
        <w:ind w:left="-273" w:right="-806" w:hanging="274"/>
        <w:rPr>
          <w:rFonts w:ascii="Calibri" w:eastAsia="Times New Roman" w:hAnsi="Calibri"/>
          <w:sz w:val="16"/>
          <w:szCs w:val="16"/>
        </w:rPr>
      </w:pPr>
      <w:r w:rsidRPr="00496814">
        <w:rPr>
          <w:rFonts w:ascii="Calibri" w:eastAsia="Times New Roman" w:hAnsi="Calibri"/>
          <w:sz w:val="16"/>
          <w:szCs w:val="16"/>
        </w:rPr>
        <w:t>“CAGR” stands for compound annual growth rate. CAGR values shown for the summer and winter peak loads are for the 50/50 forecasts.</w:t>
      </w:r>
    </w:p>
    <w:p w:rsidR="00496814" w:rsidRPr="00496814" w:rsidRDefault="00496814" w:rsidP="00496814">
      <w:pPr>
        <w:spacing w:after="200" w:line="276" w:lineRule="auto"/>
      </w:pPr>
      <w:r w:rsidRPr="00496814">
        <w:t>The compound annual growth rate for the ISO’s gross electric energy use is 1.6% for 2021 through 2030, 0.7% for the summer peak, and 1.3% for the winter peak.</w:t>
      </w:r>
      <w:r w:rsidRPr="00496814">
        <w:rPr>
          <w:sz w:val="22"/>
          <w:vertAlign w:val="superscript"/>
        </w:rPr>
        <w:footnoteReference w:id="35"/>
      </w:r>
      <w:r w:rsidRPr="00496814">
        <w:t xml:space="preserve"> </w:t>
      </w:r>
    </w:p>
    <w:p w:rsidR="00496814" w:rsidRPr="00496814" w:rsidRDefault="00496814" w:rsidP="009A1EF6">
      <w:pPr>
        <w:pStyle w:val="Heading2"/>
      </w:pPr>
      <w:bookmarkStart w:id="154" w:name="_Toc81544509"/>
      <w:r w:rsidRPr="00496814">
        <w:t>Electrification Forecasts</w:t>
      </w:r>
      <w:bookmarkEnd w:id="154"/>
    </w:p>
    <w:p w:rsidR="00496814" w:rsidRPr="00496814" w:rsidRDefault="00496814" w:rsidP="00496814">
      <w:r w:rsidRPr="00496814">
        <w:t>Strategic electrification initiatives are beginning to take shape across New England, targeting economy</w:t>
      </w:r>
      <w:r w:rsidR="00DA34AF">
        <w:t>-</w:t>
      </w:r>
      <w:r w:rsidRPr="00496814">
        <w:t xml:space="preserve">wide reductions in greenhouse gases. </w:t>
      </w:r>
      <w:r w:rsidR="004F1A1C">
        <w:t xml:space="preserve">RSP21 </w:t>
      </w:r>
      <w:r w:rsidRPr="00496814">
        <w:t xml:space="preserve">gross and net forecasts both include the forecasted energy and demand impacts of </w:t>
      </w:r>
      <w:hyperlink r:id="rId123" w:history="1">
        <w:r w:rsidRPr="00A61289">
          <w:rPr>
            <w:rStyle w:val="Hyperlink"/>
          </w:rPr>
          <w:t>heating and transportation electrification</w:t>
        </w:r>
      </w:hyperlink>
      <w:r w:rsidRPr="00496814">
        <w:t xml:space="preserve"> initiatives across the region. These initiatives are encouraging consumers to adopt emerging technologies (e.g., electric vehicles and electric heat pumps) that “electrify” the heating and transportation sectors, which have historically relied upon conventional primary fuel sources. While by midcentury these efforts will introduce considerable new demand for electricity across the region, the forecast horizon of RSP21 spans the early stages of electrification growth through winter 2030/2031. Representatives from each of the New England states, including state policy</w:t>
      </w:r>
      <w:r w:rsidR="005C5D9A">
        <w:t>-</w:t>
      </w:r>
      <w:r w:rsidRPr="00496814">
        <w:t xml:space="preserve">makers and regulators, provided the ISO with key inputs and feedback that helped guide the development of the RSP21 electrification forecasts. </w:t>
      </w:r>
      <w:r w:rsidR="00875B45">
        <w:t>T</w:t>
      </w:r>
      <w:r w:rsidRPr="00496814">
        <w:t xml:space="preserve">he long-term load forecast includes the anticipated impacts of </w:t>
      </w:r>
      <w:r w:rsidR="00875B45">
        <w:t xml:space="preserve">these </w:t>
      </w:r>
      <w:r w:rsidRPr="00496814">
        <w:t xml:space="preserve">state initiatives to electrify the transportation and heating sectors as </w:t>
      </w:r>
      <w:r w:rsidR="00875B45">
        <w:t>reflected</w:t>
      </w:r>
      <w:r w:rsidR="00875B45" w:rsidRPr="00496814">
        <w:t xml:space="preserve"> </w:t>
      </w:r>
      <w:r w:rsidRPr="00496814">
        <w:t xml:space="preserve">by the </w:t>
      </w:r>
      <w:r w:rsidRPr="00A61289">
        <w:rPr>
          <w:rStyle w:val="Hyperlink"/>
        </w:rPr>
        <w:t>electrification forecasts</w:t>
      </w:r>
      <w:r w:rsidRPr="00496814">
        <w:t>.</w:t>
      </w:r>
    </w:p>
    <w:p w:rsidR="00496814" w:rsidRPr="00496814" w:rsidRDefault="00496814" w:rsidP="006B38CE">
      <w:pPr>
        <w:pStyle w:val="Heading3"/>
      </w:pPr>
      <w:bookmarkStart w:id="155" w:name="_Toc81544510"/>
      <w:r w:rsidRPr="00496814">
        <w:t>Heating Electrification</w:t>
      </w:r>
      <w:bookmarkEnd w:id="155"/>
    </w:p>
    <w:p w:rsidR="00496814" w:rsidRPr="00496814" w:rsidRDefault="00496814" w:rsidP="00496814">
      <w:r w:rsidRPr="00496814">
        <w:t xml:space="preserve">The </w:t>
      </w:r>
      <w:r w:rsidR="00DA34AF">
        <w:t xml:space="preserve">2021 Regional System Plan </w:t>
      </w:r>
      <w:r w:rsidRPr="00496814">
        <w:t>heating electrification forecast projects the incremental energy and demand impacts (relative to the base year, 2020) of residential air-source heat pumps (ASHPs) throughout New England over the next 10 years. By 2030, the RSP21 heating electrification forecast reflects ASHPs installed in approximately 19% of households across New England, up from less than 2% in 2020.</w:t>
      </w:r>
      <w:r w:rsidRPr="00496814">
        <w:rPr>
          <w:vertAlign w:val="superscript"/>
        </w:rPr>
        <w:footnoteReference w:id="36"/>
      </w:r>
      <w:r w:rsidRPr="00496814">
        <w:t xml:space="preserve"> Heating electrification is expected to add to overall electricity consumption only during heating months (i.e., October through April). </w:t>
      </w:r>
      <w:hyperlink w:anchor="Table_3_2" w:history="1">
        <w:r w:rsidRPr="0083372B">
          <w:rPr>
            <w:rStyle w:val="Hyperlink"/>
          </w:rPr>
          <w:t>Table 3-2</w:t>
        </w:r>
      </w:hyperlink>
      <w:r w:rsidRPr="00496814">
        <w:t xml:space="preserve"> shows the forecasted additional annual energy and winter 50/50 demand of ASHP adoption from 2021 to 2030.</w:t>
      </w:r>
    </w:p>
    <w:p w:rsidR="00496814" w:rsidRPr="00496814" w:rsidRDefault="00496814" w:rsidP="00496814">
      <w:pPr>
        <w:spacing w:after="200" w:line="276" w:lineRule="auto"/>
        <w:rPr>
          <w:rFonts w:ascii="Calibri" w:hAnsi="Calibri"/>
          <w:b/>
          <w:bCs/>
          <w:szCs w:val="18"/>
        </w:rPr>
      </w:pPr>
      <w:r w:rsidRPr="00496814">
        <w:rPr>
          <w:rFonts w:ascii="Calibri" w:hAnsi="Calibri"/>
          <w:b/>
          <w:bCs/>
          <w:szCs w:val="18"/>
        </w:rPr>
        <w:br w:type="page"/>
      </w:r>
    </w:p>
    <w:p w:rsidR="00496814" w:rsidRPr="00496814" w:rsidRDefault="00C042A6" w:rsidP="001D69A5">
      <w:pPr>
        <w:pStyle w:val="Caption"/>
      </w:pPr>
      <w:bookmarkStart w:id="156" w:name="Table_3_2"/>
      <w:bookmarkStart w:id="157" w:name="_Toc81544624"/>
      <w:r>
        <w:t xml:space="preserve">Table </w:t>
      </w:r>
      <w:fldSimple w:instr=" STYLEREF 1 \s ">
        <w:r w:rsidR="001D2A17">
          <w:rPr>
            <w:noProof/>
          </w:rPr>
          <w:t>3</w:t>
        </w:r>
      </w:fldSimple>
      <w:r w:rsidR="001D2A17">
        <w:noBreakHyphen/>
      </w:r>
      <w:fldSimple w:instr=" SEQ Table \* ARABIC \s 1 ">
        <w:r w:rsidR="001D2A17">
          <w:rPr>
            <w:noProof/>
          </w:rPr>
          <w:t>2</w:t>
        </w:r>
      </w:fldSimple>
      <w:bookmarkEnd w:id="156"/>
      <w:r w:rsidR="00496814" w:rsidRPr="007567A6">
        <w:rPr>
          <w:b w:val="0"/>
          <w:bCs w:val="0"/>
        </w:rPr>
        <w:t xml:space="preserve"> </w:t>
      </w:r>
      <w:r w:rsidR="00496814" w:rsidRPr="007567A6">
        <w:rPr>
          <w:b w:val="0"/>
          <w:bCs w:val="0"/>
        </w:rPr>
        <w:br/>
      </w:r>
      <w:r w:rsidR="00496814" w:rsidRPr="00DB6489">
        <w:rPr>
          <w:bCs w:val="0"/>
        </w:rPr>
        <w:t>Summary of Heating Electrification Forecast Annual Electric Energy and Peak Demand Additions for New England and the States, 2021/2022 and 2030/2031 (GWh, MW)</w:t>
      </w:r>
      <w:bookmarkEnd w:id="157"/>
    </w:p>
    <w:tbl>
      <w:tblPr>
        <w:tblW w:w="7360" w:type="dxa"/>
        <w:jc w:val="center"/>
        <w:tblLook w:val="04A0" w:firstRow="1" w:lastRow="0" w:firstColumn="1" w:lastColumn="0" w:noHBand="0" w:noVBand="1"/>
      </w:tblPr>
      <w:tblGrid>
        <w:gridCol w:w="960"/>
        <w:gridCol w:w="1510"/>
        <w:gridCol w:w="1690"/>
        <w:gridCol w:w="1510"/>
        <w:gridCol w:w="1690"/>
      </w:tblGrid>
      <w:tr w:rsidR="00496814" w:rsidRPr="00496814" w:rsidTr="006E0ABA">
        <w:trPr>
          <w:trHeight w:val="288"/>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58" w:name="RANGE!A2"/>
            <w:r w:rsidRPr="00496814">
              <w:rPr>
                <w:rFonts w:ascii="Calibri" w:eastAsia="Times New Roman" w:hAnsi="Calibri" w:cs="Calibri"/>
                <w:b/>
                <w:bCs/>
                <w:color w:val="FFFFFF"/>
                <w:sz w:val="18"/>
                <w:szCs w:val="18"/>
              </w:rPr>
              <w:t>State</w:t>
            </w:r>
            <w:bookmarkEnd w:id="158"/>
          </w:p>
        </w:tc>
        <w:tc>
          <w:tcPr>
            <w:tcW w:w="3200" w:type="dxa"/>
            <w:gridSpan w:val="2"/>
            <w:tcBorders>
              <w:top w:val="single" w:sz="8" w:space="0" w:color="auto"/>
              <w:left w:val="nil"/>
              <w:bottom w:val="nil"/>
              <w:right w:val="single" w:sz="8" w:space="0" w:color="000000"/>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59" w:name="RANGE!B2"/>
            <w:r w:rsidRPr="00496814">
              <w:rPr>
                <w:rFonts w:ascii="Calibri" w:eastAsia="Times New Roman" w:hAnsi="Calibri" w:cs="Calibri"/>
                <w:b/>
                <w:bCs/>
                <w:color w:val="FFFFFF"/>
                <w:sz w:val="18"/>
                <w:szCs w:val="18"/>
              </w:rPr>
              <w:t>Annual Energy Additions</w:t>
            </w:r>
            <w:bookmarkEnd w:id="159"/>
          </w:p>
        </w:tc>
        <w:tc>
          <w:tcPr>
            <w:tcW w:w="3200" w:type="dxa"/>
            <w:gridSpan w:val="2"/>
            <w:tcBorders>
              <w:top w:val="single" w:sz="8" w:space="0" w:color="auto"/>
              <w:left w:val="nil"/>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60" w:name="RANGE!D2"/>
            <w:r w:rsidRPr="00496814">
              <w:rPr>
                <w:rFonts w:ascii="Calibri" w:eastAsia="Times New Roman" w:hAnsi="Calibri" w:cs="Calibri"/>
                <w:b/>
                <w:bCs/>
                <w:color w:val="FFFFFF"/>
                <w:sz w:val="18"/>
                <w:szCs w:val="18"/>
              </w:rPr>
              <w:t>Winter 50/50 Peak Demand Additions</w:t>
            </w:r>
            <w:bookmarkEnd w:id="160"/>
          </w:p>
        </w:tc>
      </w:tr>
      <w:tr w:rsidR="00496814" w:rsidRPr="00496814" w:rsidTr="006E0ABA">
        <w:trPr>
          <w:trHeight w:val="30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3200" w:type="dxa"/>
            <w:gridSpan w:val="2"/>
            <w:tcBorders>
              <w:top w:val="nil"/>
              <w:left w:val="nil"/>
              <w:bottom w:val="single" w:sz="8" w:space="0" w:color="auto"/>
              <w:right w:val="single" w:sz="8" w:space="0" w:color="000000"/>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(GWh)</w:t>
            </w:r>
          </w:p>
        </w:tc>
        <w:tc>
          <w:tcPr>
            <w:tcW w:w="3200" w:type="dxa"/>
            <w:gridSpan w:val="2"/>
            <w:tcBorders>
              <w:top w:val="nil"/>
              <w:left w:val="nil"/>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r>
      <w:tr w:rsidR="00496814" w:rsidRPr="00496814" w:rsidTr="006E0ABA">
        <w:trPr>
          <w:trHeight w:val="30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2021/22</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2030/31</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CT</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85</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53</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ME</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20</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822</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461</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MA</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1,219</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14</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799</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NH</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100</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56</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RI</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89</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59</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VT</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211</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128</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ISO</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40</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2,526</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52</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1,556</w:t>
            </w:r>
          </w:p>
        </w:tc>
      </w:tr>
    </w:tbl>
    <w:p w:rsidR="00496814" w:rsidRPr="00496814" w:rsidRDefault="00496814" w:rsidP="006B38CE">
      <w:pPr>
        <w:pStyle w:val="Heading3"/>
      </w:pPr>
      <w:bookmarkStart w:id="161" w:name="_Toc81544511"/>
      <w:r w:rsidRPr="00496814">
        <w:t>Transportation Electrification</w:t>
      </w:r>
      <w:bookmarkEnd w:id="161"/>
    </w:p>
    <w:p w:rsidR="00496814" w:rsidRPr="00496814" w:rsidRDefault="00496814" w:rsidP="00496814">
      <w:r w:rsidRPr="00496814">
        <w:t>The</w:t>
      </w:r>
      <w:r w:rsidR="00DA34AF">
        <w:t xml:space="preserve"> 2021 Regional System Plan </w:t>
      </w:r>
      <w:r w:rsidR="00C23C78" w:rsidRPr="00496814">
        <w:t>transportation</w:t>
      </w:r>
      <w:r w:rsidRPr="00496814">
        <w:t xml:space="preserve"> electrification forecast projects the incremental energy and demand impacts (relative to the base year 2020) of increasing consumer adoption of electrified light-duty vehicles (LDVs) throughout the six New England states over the next </w:t>
      </w:r>
      <w:r w:rsidR="0076203D">
        <w:t>10</w:t>
      </w:r>
      <w:r w:rsidRPr="00496814">
        <w:t xml:space="preserve"> years. By 2030, the RSP21 transportation electrification forecast reflects that </w:t>
      </w:r>
      <w:r w:rsidR="00DA34AF">
        <w:t>electric vehicles (</w:t>
      </w:r>
      <w:r w:rsidRPr="00496814">
        <w:t>EVs</w:t>
      </w:r>
      <w:r w:rsidR="00DA34AF">
        <w:t>)</w:t>
      </w:r>
      <w:r w:rsidRPr="00496814">
        <w:t xml:space="preserve"> are almost 11% of all LDVs across New England, up from less than 1% in 2020.</w:t>
      </w:r>
      <w:r w:rsidRPr="00496814">
        <w:rPr>
          <w:vertAlign w:val="superscript"/>
        </w:rPr>
        <w:footnoteReference w:id="37"/>
      </w:r>
      <w:r w:rsidRPr="00496814">
        <w:t xml:space="preserve"> </w:t>
      </w:r>
      <w:hyperlink w:anchor="Table_3_3" w:history="1">
        <w:r w:rsidRPr="00C11E6F">
          <w:rPr>
            <w:rStyle w:val="Hyperlink"/>
          </w:rPr>
          <w:t>Table 3-3</w:t>
        </w:r>
      </w:hyperlink>
      <w:r w:rsidRPr="00496814">
        <w:t xml:space="preserve"> shows the annual energy, and summer and winter 50/50 demand additions anticipated due to transportation electrification.</w:t>
      </w:r>
    </w:p>
    <w:p w:rsidR="00496814" w:rsidRPr="00496814" w:rsidRDefault="00C042A6" w:rsidP="001D69A5">
      <w:pPr>
        <w:pStyle w:val="Caption"/>
      </w:pPr>
      <w:bookmarkStart w:id="162" w:name="Table_3_3"/>
      <w:bookmarkStart w:id="163" w:name="_Toc81544625"/>
      <w:r>
        <w:t xml:space="preserve">Table </w:t>
      </w:r>
      <w:fldSimple w:instr=" STYLEREF 1 \s ">
        <w:r w:rsidR="001D2A17">
          <w:rPr>
            <w:noProof/>
          </w:rPr>
          <w:t>3</w:t>
        </w:r>
      </w:fldSimple>
      <w:r w:rsidR="001D2A17">
        <w:noBreakHyphen/>
      </w:r>
      <w:fldSimple w:instr=" SEQ Table \* ARABIC \s 1 ">
        <w:r w:rsidR="001D2A17">
          <w:rPr>
            <w:noProof/>
          </w:rPr>
          <w:t>3</w:t>
        </w:r>
      </w:fldSimple>
      <w:bookmarkEnd w:id="162"/>
      <w:r w:rsidR="00496814" w:rsidRPr="00496814">
        <w:rPr>
          <w:b w:val="0"/>
          <w:bCs w:val="0"/>
        </w:rPr>
        <w:t xml:space="preserve"> </w:t>
      </w:r>
      <w:r w:rsidR="00496814" w:rsidRPr="00496814">
        <w:rPr>
          <w:b w:val="0"/>
          <w:bCs w:val="0"/>
        </w:rPr>
        <w:br/>
      </w:r>
      <w:r w:rsidR="00496814" w:rsidRPr="00DB6489">
        <w:rPr>
          <w:bCs w:val="0"/>
        </w:rPr>
        <w:t>Summary of Transportation Electrification Forecast Annual Electric Energy and Peak Demand Additions for New England and the States, 2021/2022 and 2030/2031 (GWh, MW)</w:t>
      </w:r>
      <w:bookmarkEnd w:id="163"/>
    </w:p>
    <w:tbl>
      <w:tblPr>
        <w:tblW w:w="10300" w:type="dxa"/>
        <w:tblLook w:val="04A0" w:firstRow="1" w:lastRow="0" w:firstColumn="1" w:lastColumn="0" w:noHBand="0" w:noVBand="1"/>
      </w:tblPr>
      <w:tblGrid>
        <w:gridCol w:w="700"/>
        <w:gridCol w:w="1510"/>
        <w:gridCol w:w="1690"/>
        <w:gridCol w:w="1600"/>
        <w:gridCol w:w="1600"/>
        <w:gridCol w:w="1600"/>
        <w:gridCol w:w="1600"/>
      </w:tblGrid>
      <w:tr w:rsidR="00496814" w:rsidRPr="00496814" w:rsidTr="006E0ABA">
        <w:trPr>
          <w:trHeight w:val="288"/>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State</w:t>
            </w:r>
          </w:p>
        </w:tc>
        <w:tc>
          <w:tcPr>
            <w:tcW w:w="3200" w:type="dxa"/>
            <w:gridSpan w:val="2"/>
            <w:tcBorders>
              <w:top w:val="single" w:sz="8" w:space="0" w:color="auto"/>
              <w:left w:val="nil"/>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Annual Energy Additions</w:t>
            </w:r>
          </w:p>
        </w:tc>
        <w:tc>
          <w:tcPr>
            <w:tcW w:w="3200" w:type="dxa"/>
            <w:gridSpan w:val="2"/>
            <w:tcBorders>
              <w:top w:val="single" w:sz="8" w:space="0" w:color="auto"/>
              <w:left w:val="single" w:sz="8" w:space="0" w:color="auto"/>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Summer 50/50 Peak Demand Additions</w:t>
            </w:r>
          </w:p>
        </w:tc>
        <w:tc>
          <w:tcPr>
            <w:tcW w:w="3200" w:type="dxa"/>
            <w:gridSpan w:val="2"/>
            <w:tcBorders>
              <w:top w:val="single" w:sz="8" w:space="0" w:color="auto"/>
              <w:left w:val="single" w:sz="8" w:space="0" w:color="auto"/>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Winter 50/50 Peak Demand Additions</w:t>
            </w:r>
          </w:p>
        </w:tc>
      </w:tr>
      <w:tr w:rsidR="00496814" w:rsidRPr="00496814" w:rsidTr="006E0ABA">
        <w:trPr>
          <w:trHeight w:val="300"/>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3200" w:type="dxa"/>
            <w:gridSpan w:val="2"/>
            <w:tcBorders>
              <w:top w:val="nil"/>
              <w:left w:val="nil"/>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(GWh)</w:t>
            </w:r>
          </w:p>
        </w:tc>
        <w:tc>
          <w:tcPr>
            <w:tcW w:w="3200" w:type="dxa"/>
            <w:gridSpan w:val="2"/>
            <w:tcBorders>
              <w:top w:val="nil"/>
              <w:left w:val="single" w:sz="8" w:space="0" w:color="auto"/>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c>
          <w:tcPr>
            <w:tcW w:w="3200" w:type="dxa"/>
            <w:gridSpan w:val="2"/>
            <w:tcBorders>
              <w:top w:val="nil"/>
              <w:left w:val="single" w:sz="8" w:space="0" w:color="auto"/>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r>
      <w:tr w:rsidR="00496814" w:rsidRPr="00496814" w:rsidTr="006E0ABA">
        <w:trPr>
          <w:trHeight w:val="300"/>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2021/22</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2030/31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CT</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588</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10</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149</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ME</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711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135</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191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MA</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1,710</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324</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434</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NH</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199</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38</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RI</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119</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23</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30</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VT</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227</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43</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60</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ISO</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47</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3,554</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7</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675</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22</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916</w:t>
            </w:r>
          </w:p>
        </w:tc>
      </w:tr>
    </w:tbl>
    <w:p w:rsidR="00496814" w:rsidRPr="00496814" w:rsidRDefault="00496814" w:rsidP="00496814"/>
    <w:p w:rsidR="00496814" w:rsidRPr="00496814" w:rsidRDefault="00496814" w:rsidP="009A1EF6">
      <w:pPr>
        <w:pStyle w:val="Heading2"/>
      </w:pPr>
      <w:bookmarkStart w:id="164" w:name="_Ref387327848"/>
      <w:bookmarkStart w:id="165" w:name="_Toc396807611"/>
      <w:bookmarkStart w:id="166" w:name="_Toc484957891"/>
      <w:bookmarkStart w:id="167" w:name="_Toc490323016"/>
      <w:bookmarkStart w:id="168" w:name="_Toc81544512"/>
      <w:r w:rsidRPr="00496814">
        <w:t>Energy-Efficiency Forecast</w:t>
      </w:r>
      <w:bookmarkEnd w:id="164"/>
      <w:bookmarkEnd w:id="165"/>
      <w:bookmarkEnd w:id="166"/>
      <w:bookmarkEnd w:id="167"/>
      <w:bookmarkEnd w:id="168"/>
    </w:p>
    <w:p w:rsidR="00496814" w:rsidRPr="00496814" w:rsidRDefault="00496814" w:rsidP="00496814">
      <w:pPr>
        <w:spacing w:after="200" w:line="276" w:lineRule="auto"/>
      </w:pPr>
      <w:r w:rsidRPr="00496814">
        <w:t xml:space="preserve">The </w:t>
      </w:r>
      <w:hyperlink r:id="rId124" w:history="1">
        <w:r w:rsidR="005C5D9A">
          <w:rPr>
            <w:rStyle w:val="Hyperlink"/>
          </w:rPr>
          <w:t>energy efficiency (EE) forecast</w:t>
        </w:r>
      </w:hyperlink>
      <w:r w:rsidRPr="00496814">
        <w:t xml:space="preserve"> provides the ISO with an understanding of additional energy and demand savings from EE resources expected to participate in the ISO’s </w:t>
      </w:r>
      <w:r w:rsidR="000A3714">
        <w:t>FCM</w:t>
      </w:r>
      <w:r w:rsidRPr="00496814">
        <w:t xml:space="preserve"> over the next 10 years. Individual program administrators and state regulatory agencies provide the ISO with the EE program performance and budget data used to create the forecast in collaboration with the ISO’s </w:t>
      </w:r>
      <w:hyperlink r:id="rId125" w:history="1">
        <w:r w:rsidRPr="00A61289">
          <w:rPr>
            <w:rStyle w:val="Hyperlink"/>
          </w:rPr>
          <w:t>Energy-Efficiency Forecast Working Group</w:t>
        </w:r>
      </w:hyperlink>
      <w:r w:rsidRPr="00496814">
        <w:t xml:space="preserve"> (EEFWG).</w:t>
      </w:r>
    </w:p>
    <w:p w:rsidR="00496814" w:rsidRPr="00496814" w:rsidRDefault="00496814" w:rsidP="00496814">
      <w:pPr>
        <w:keepNext/>
        <w:keepLines/>
        <w:spacing w:after="200" w:line="276" w:lineRule="auto"/>
      </w:pPr>
      <w:r w:rsidRPr="000A3714">
        <w:rPr>
          <w:color w:val="0070C0"/>
          <w:u w:val="single"/>
        </w:rPr>
        <w:fldChar w:fldCharType="begin"/>
      </w:r>
      <w:r w:rsidRPr="000A3714">
        <w:rPr>
          <w:color w:val="0070C0"/>
          <w:u w:val="single"/>
        </w:rPr>
        <w:instrText xml:space="preserve"> REF _Ref418237916 \h  \* MERGEFORMAT </w:instrText>
      </w:r>
      <w:r w:rsidRPr="000A3714">
        <w:rPr>
          <w:color w:val="0070C0"/>
          <w:u w:val="single"/>
        </w:rPr>
      </w:r>
      <w:r w:rsidRPr="000A3714">
        <w:rPr>
          <w:color w:val="0070C0"/>
          <w:u w:val="single"/>
        </w:rPr>
        <w:fldChar w:fldCharType="separate"/>
      </w:r>
      <w:r w:rsidR="007A5925" w:rsidRPr="000A3714">
        <w:rPr>
          <w:bCs/>
          <w:color w:val="0070C0"/>
          <w:szCs w:val="18"/>
          <w:u w:val="single"/>
        </w:rPr>
        <w:t xml:space="preserve">Table </w:t>
      </w:r>
      <w:r w:rsidR="007A5925" w:rsidRPr="000A3714">
        <w:rPr>
          <w:bCs/>
          <w:noProof/>
          <w:color w:val="0070C0"/>
          <w:szCs w:val="18"/>
          <w:u w:val="single"/>
        </w:rPr>
        <w:t>3</w:t>
      </w:r>
      <w:r w:rsidR="007A5925" w:rsidRPr="000A3714">
        <w:rPr>
          <w:bCs/>
          <w:noProof/>
          <w:color w:val="0070C0"/>
          <w:szCs w:val="18"/>
          <w:u w:val="single"/>
        </w:rPr>
        <w:noBreakHyphen/>
      </w:r>
      <w:r w:rsidRPr="000A3714">
        <w:rPr>
          <w:color w:val="0070C0"/>
          <w:u w:val="single"/>
        </w:rPr>
        <w:fldChar w:fldCharType="end"/>
      </w:r>
      <w:r w:rsidR="000A3714" w:rsidRPr="000A3714">
        <w:rPr>
          <w:color w:val="0070C0"/>
          <w:u w:val="single"/>
        </w:rPr>
        <w:t>4</w:t>
      </w:r>
      <w:r w:rsidRPr="00496814">
        <w:t xml:space="preserve"> shows the growth of EE for 2021 through 2030. Over the entire forecast period, </w:t>
      </w:r>
      <w:r w:rsidR="00DC3790">
        <w:t>r</w:t>
      </w:r>
      <w:r w:rsidRPr="00496814">
        <w:t>egional annual peak demand is estimated to decrease by an average of 180 </w:t>
      </w:r>
      <w:r w:rsidR="000C4F75">
        <w:t>megawatts (</w:t>
      </w:r>
      <w:r w:rsidRPr="00496814">
        <w:t>MW</w:t>
      </w:r>
      <w:r w:rsidR="000C4F75">
        <w:t>)</w:t>
      </w:r>
      <w:r w:rsidRPr="00496814">
        <w:t xml:space="preserve"> </w:t>
      </w:r>
      <w:r w:rsidR="000A3714" w:rsidRPr="00496814">
        <w:t>because</w:t>
      </w:r>
      <w:r w:rsidRPr="00496814">
        <w:t xml:space="preserve"> of EE. </w:t>
      </w:r>
    </w:p>
    <w:p w:rsidR="00496814" w:rsidRPr="00496814" w:rsidRDefault="0092247B" w:rsidP="001D69A5">
      <w:pPr>
        <w:pStyle w:val="Caption"/>
      </w:pPr>
      <w:bookmarkStart w:id="169" w:name="_Ref418237916"/>
      <w:bookmarkStart w:id="170" w:name="Table_3_4"/>
      <w:bookmarkStart w:id="171" w:name="_Toc484164907"/>
      <w:bookmarkStart w:id="172" w:name="_Toc491243998"/>
      <w:bookmarkStart w:id="173" w:name="_Ref325398910"/>
      <w:bookmarkStart w:id="174" w:name="_Toc330401253"/>
      <w:bookmarkStart w:id="175" w:name="_Toc334541926"/>
      <w:bookmarkStart w:id="176" w:name="_Toc334541963"/>
      <w:bookmarkStart w:id="177" w:name="_Toc365440701"/>
      <w:bookmarkStart w:id="178" w:name="_Toc391985599"/>
      <w:bookmarkStart w:id="179" w:name="_Toc81544626"/>
      <w:r>
        <w:t xml:space="preserve">Table </w:t>
      </w:r>
      <w:fldSimple w:instr=" STYLEREF 1 \s ">
        <w:r w:rsidR="001D2A17">
          <w:rPr>
            <w:noProof/>
          </w:rPr>
          <w:t>3</w:t>
        </w:r>
      </w:fldSimple>
      <w:r w:rsidR="001D2A17">
        <w:noBreakHyphen/>
      </w:r>
      <w:fldSimple w:instr=" SEQ Table \* ARABIC \s 1 ">
        <w:r w:rsidR="001D2A17">
          <w:rPr>
            <w:noProof/>
          </w:rPr>
          <w:t>4</w:t>
        </w:r>
      </w:fldSimple>
      <w:bookmarkEnd w:id="169"/>
      <w:bookmarkEnd w:id="170"/>
      <w:r w:rsidR="00496814" w:rsidRPr="00496814">
        <w:rPr>
          <w:b w:val="0"/>
          <w:bCs w:val="0"/>
        </w:rPr>
        <w:t xml:space="preserve"> </w:t>
      </w:r>
      <w:r w:rsidR="00496814" w:rsidRPr="00496814">
        <w:rPr>
          <w:b w:val="0"/>
          <w:bCs w:val="0"/>
        </w:rPr>
        <w:br/>
      </w:r>
      <w:r w:rsidR="00496814" w:rsidRPr="00DB6489">
        <w:rPr>
          <w:bCs w:val="0"/>
        </w:rPr>
        <w:t xml:space="preserve">Summary of EE Forecast Annual Electric Energy Savings and Peak Demand Reductions </w:t>
      </w:r>
      <w:r w:rsidR="00496814" w:rsidRPr="00DB6489">
        <w:rPr>
          <w:bCs w:val="0"/>
        </w:rPr>
        <w:br/>
        <w:t>for New England and the States, 2021/2022 and 2030/2031 (GWh, MW)</w:t>
      </w:r>
      <w:bookmarkEnd w:id="171"/>
      <w:bookmarkEnd w:id="172"/>
      <w:bookmarkEnd w:id="179"/>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496814" w:rsidRPr="00496814" w:rsidTr="006E0ABA">
        <w:trPr>
          <w:trHeight w:val="829"/>
          <w:jc w:val="center"/>
        </w:trPr>
        <w:tc>
          <w:tcPr>
            <w:tcW w:w="1050" w:type="dxa"/>
            <w:vMerge w:val="restart"/>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bookmarkStart w:id="180" w:name="_Toc418353127"/>
            <w:r w:rsidRPr="00496814">
              <w:rPr>
                <w:rFonts w:asciiTheme="minorHAnsi" w:hAnsiTheme="minorHAnsi"/>
                <w:b/>
                <w:color w:val="FFFFFF" w:themeColor="background1"/>
                <w:sz w:val="18"/>
                <w:szCs w:val="18"/>
              </w:rPr>
              <w:t>State</w:t>
            </w:r>
            <w:bookmarkEnd w:id="180"/>
          </w:p>
        </w:tc>
        <w:tc>
          <w:tcPr>
            <w:tcW w:w="2329" w:type="dxa"/>
            <w:gridSpan w:val="3"/>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bookmarkStart w:id="181" w:name="_Toc418353128"/>
            <w:r w:rsidRPr="00496814">
              <w:rPr>
                <w:rFonts w:asciiTheme="minorHAnsi" w:hAnsiTheme="minorHAnsi"/>
                <w:b/>
                <w:bCs/>
                <w:color w:val="FFFFFF" w:themeColor="background1"/>
                <w:sz w:val="18"/>
                <w:szCs w:val="18"/>
              </w:rPr>
              <w:t>Annual Energy Savings</w:t>
            </w:r>
          </w:p>
          <w:bookmarkEnd w:id="181"/>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bookmarkStart w:id="182" w:name="_Toc418353129"/>
            <w:r w:rsidRPr="00496814">
              <w:rPr>
                <w:rFonts w:asciiTheme="minorHAnsi" w:hAnsiTheme="minorHAnsi"/>
                <w:b/>
                <w:bCs/>
                <w:color w:val="FFFFFF" w:themeColor="background1"/>
                <w:sz w:val="18"/>
                <w:szCs w:val="18"/>
              </w:rPr>
              <w:t>Summer Peak Demand Reductions</w:t>
            </w:r>
          </w:p>
          <w:bookmarkEnd w:id="182"/>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(MW)</w:t>
            </w:r>
          </w:p>
        </w:tc>
        <w:tc>
          <w:tcPr>
            <w:tcW w:w="2330" w:type="dxa"/>
            <w:gridSpan w:val="3"/>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bookmarkStart w:id="183" w:name="_Toc418353130"/>
            <w:r w:rsidRPr="00496814">
              <w:rPr>
                <w:rFonts w:asciiTheme="minorHAnsi" w:hAnsiTheme="minorHAnsi"/>
                <w:b/>
                <w:bCs/>
                <w:color w:val="FFFFFF" w:themeColor="background1"/>
                <w:sz w:val="18"/>
                <w:szCs w:val="18"/>
              </w:rPr>
              <w:t>Winter Peak Demand Reductions</w:t>
            </w:r>
          </w:p>
          <w:bookmarkEnd w:id="183"/>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(MW)</w:t>
            </w:r>
          </w:p>
        </w:tc>
      </w:tr>
      <w:tr w:rsidR="00496814" w:rsidRPr="00496814" w:rsidTr="006E0ABA">
        <w:trPr>
          <w:trHeight w:val="312"/>
          <w:jc w:val="center"/>
        </w:trPr>
        <w:tc>
          <w:tcPr>
            <w:tcW w:w="1050" w:type="dxa"/>
            <w:vMerge/>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7"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6"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6"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7"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c>
          <w:tcPr>
            <w:tcW w:w="776"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2021/22</w:t>
            </w:r>
          </w:p>
        </w:tc>
        <w:tc>
          <w:tcPr>
            <w:tcW w:w="777"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2030/31</w:t>
            </w:r>
          </w:p>
        </w:tc>
        <w:tc>
          <w:tcPr>
            <w:tcW w:w="777" w:type="dxa"/>
            <w:shd w:val="clear" w:color="auto" w:fill="1795D2" w:themeFill="accent1"/>
            <w:noWrap/>
            <w:tcMar>
              <w:left w:w="29" w:type="dxa"/>
              <w:right w:w="29" w:type="dxa"/>
            </w:tcMar>
            <w:vAlign w:val="center"/>
            <w:hideMark/>
          </w:tcPr>
          <w:p w:rsidR="00496814" w:rsidRPr="00496814" w:rsidRDefault="00496814" w:rsidP="00496814">
            <w:pPr>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3,453</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4,783</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3.7</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615</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904</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4.4</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526</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865</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5.7</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1,118</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1,343</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179</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242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188</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8,427</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12,183</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4.2</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1,409</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2,426</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6.2</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1,358</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2,149</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690</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1,001</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115</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204</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6.6</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172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5.0</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1,545</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2,214</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4.1</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258</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362</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3.8</w:t>
            </w:r>
          </w:p>
        </w:tc>
        <w:tc>
          <w:tcPr>
            <w:tcW w:w="776"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256</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348</w:t>
            </w:r>
          </w:p>
        </w:tc>
        <w:tc>
          <w:tcPr>
            <w:tcW w:w="777" w:type="dxa"/>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3.5</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spacing w:after="0" w:line="240" w:lineRule="auto"/>
              <w:rPr>
                <w:rFonts w:asciiTheme="minorHAnsi" w:hAnsiTheme="minorHAnsi"/>
                <w:b/>
                <w:sz w:val="18"/>
                <w:szCs w:val="18"/>
              </w:rPr>
            </w:pPr>
            <w:r w:rsidRPr="00496814">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647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900</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102</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4.9</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160</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w:t>
            </w:r>
          </w:p>
        </w:tc>
      </w:tr>
      <w:tr w:rsidR="00496814" w:rsidRPr="00496814" w:rsidTr="006E0ABA">
        <w:trPr>
          <w:trHeight w:val="312"/>
          <w:jc w:val="center"/>
        </w:trPr>
        <w:tc>
          <w:tcPr>
            <w:tcW w:w="1050" w:type="dxa"/>
            <w:shd w:val="clear" w:color="auto" w:fill="1795D2" w:themeFill="accent1"/>
            <w:noWrap/>
            <w:tcMar>
              <w:left w:w="115" w:type="dxa"/>
              <w:right w:w="0" w:type="dxa"/>
            </w:tcMar>
            <w:vAlign w:val="center"/>
            <w:hideMark/>
          </w:tcPr>
          <w:p w:rsidR="00496814" w:rsidRPr="00496814" w:rsidRDefault="00496814" w:rsidP="00496814">
            <w:pPr>
              <w:spacing w:after="0" w:line="240" w:lineRule="auto"/>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15,879</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22,423</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3.9</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2,677</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4,294</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5.4</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2,503</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3,883</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5.0</w:t>
            </w:r>
          </w:p>
        </w:tc>
      </w:tr>
    </w:tbl>
    <w:p w:rsidR="00496814" w:rsidRPr="00496814" w:rsidRDefault="00496814" w:rsidP="002F1C44">
      <w:pPr>
        <w:numPr>
          <w:ilvl w:val="0"/>
          <w:numId w:val="35"/>
        </w:numPr>
        <w:tabs>
          <w:tab w:val="left" w:pos="-720"/>
        </w:tabs>
        <w:spacing w:before="120" w:line="240" w:lineRule="auto"/>
        <w:ind w:left="810" w:right="-806" w:hanging="270"/>
        <w:rPr>
          <w:rFonts w:ascii="Calibri" w:eastAsia="Times New Roman" w:hAnsi="Calibri"/>
          <w:sz w:val="16"/>
          <w:szCs w:val="16"/>
        </w:rPr>
      </w:pPr>
      <w:r w:rsidRPr="00496814">
        <w:rPr>
          <w:rFonts w:ascii="Calibri" w:eastAsia="Times New Roman" w:hAnsi="Calibri"/>
          <w:sz w:val="16"/>
          <w:szCs w:val="16"/>
        </w:rPr>
        <w:t xml:space="preserve">“CAGR” stands for compound annual growth rate. </w:t>
      </w:r>
    </w:p>
    <w:p w:rsidR="00496814" w:rsidRPr="00496814" w:rsidRDefault="00496814" w:rsidP="006B38CE">
      <w:pPr>
        <w:pStyle w:val="Heading2"/>
      </w:pPr>
      <w:bookmarkStart w:id="184" w:name="_Ref387327878"/>
      <w:bookmarkStart w:id="185" w:name="_Toc396807613"/>
      <w:bookmarkStart w:id="186" w:name="_Toc484957892"/>
      <w:bookmarkStart w:id="187" w:name="_Ref485738114"/>
      <w:bookmarkStart w:id="188" w:name="_Toc490323017"/>
      <w:bookmarkStart w:id="189" w:name="_Ref11050602"/>
      <w:bookmarkStart w:id="190" w:name="_Ref11051059"/>
      <w:bookmarkStart w:id="191" w:name="_Ref11051335"/>
      <w:bookmarkStart w:id="192" w:name="_Ref11512489"/>
      <w:bookmarkStart w:id="193" w:name="_Ref11824812"/>
      <w:bookmarkStart w:id="194" w:name="_Ref12110983"/>
      <w:bookmarkStart w:id="195" w:name="_Ref12191561"/>
      <w:bookmarkStart w:id="196" w:name="_Ref16865213"/>
      <w:bookmarkStart w:id="197" w:name="_Toc365440990"/>
      <w:bookmarkStart w:id="198" w:name="_Toc81544513"/>
      <w:bookmarkEnd w:id="173"/>
      <w:bookmarkEnd w:id="174"/>
      <w:bookmarkEnd w:id="175"/>
      <w:bookmarkEnd w:id="176"/>
      <w:bookmarkEnd w:id="177"/>
      <w:bookmarkEnd w:id="178"/>
      <w:r w:rsidRPr="00496814">
        <w:t>Distributed Photovoltaic</w:t>
      </w:r>
      <w:r w:rsidRPr="00496814">
        <w:rPr>
          <w:szCs w:val="24"/>
        </w:rPr>
        <w:t xml:space="preserve"> Generation</w:t>
      </w:r>
      <w:r w:rsidR="00FC5F06">
        <w:t> </w:t>
      </w:r>
      <w:r w:rsidRPr="00496814">
        <w:t>Forecast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rsidR="00496814" w:rsidRPr="00496814" w:rsidRDefault="00496814" w:rsidP="00496814">
      <w:pPr>
        <w:spacing w:after="200" w:line="276" w:lineRule="auto"/>
      </w:pPr>
      <w:r w:rsidRPr="00496814">
        <w:t xml:space="preserve">This section </w:t>
      </w:r>
      <w:r w:rsidR="00DC3790" w:rsidRPr="00496814">
        <w:t>describ</w:t>
      </w:r>
      <w:r w:rsidR="00DC3790">
        <w:t>es</w:t>
      </w:r>
      <w:r w:rsidRPr="00496814">
        <w:t xml:space="preserve"> the outlook for growth in distribution-connected PV resources in New England.</w:t>
      </w:r>
      <w:r w:rsidRPr="00496814">
        <w:rPr>
          <w:rFonts w:eastAsia="Times New Roman"/>
          <w:vertAlign w:val="superscript"/>
        </w:rPr>
        <w:footnoteReference w:id="38"/>
      </w:r>
      <w:r w:rsidRPr="00496814">
        <w:rPr>
          <w:rFonts w:eastAsia="Times New Roman"/>
        </w:rPr>
        <w:t xml:space="preserve"> </w:t>
      </w:r>
      <w:r w:rsidRPr="00496814">
        <w:t xml:space="preserve"> Distributed</w:t>
      </w:r>
      <w:r w:rsidR="000C4F75">
        <w:t xml:space="preserve"> photovoltaics</w:t>
      </w:r>
      <w:r w:rsidRPr="00496814">
        <w:t xml:space="preserve"> ha</w:t>
      </w:r>
      <w:r w:rsidR="00EC4B5D">
        <w:t>ve</w:t>
      </w:r>
      <w:r w:rsidRPr="00496814">
        <w:t xml:space="preserve"> grown substantially in New England since 2012, and ha</w:t>
      </w:r>
      <w:r w:rsidR="00EC4B5D">
        <w:t>ve</w:t>
      </w:r>
      <w:r w:rsidRPr="00496814">
        <w:t xml:space="preserve"> already significantly altered the region’s seasonal load profiles. As penetrations of non-dispatchable PV that is embedded </w:t>
      </w:r>
      <w:r w:rsidR="00EC4B5D">
        <w:t>in</w:t>
      </w:r>
      <w:r w:rsidR="00EC4B5D" w:rsidRPr="00496814">
        <w:t xml:space="preserve"> </w:t>
      </w:r>
      <w:r w:rsidRPr="00496814">
        <w:t>load increase, the need for resource ramping to serve the increasing fluctuations in net demand</w:t>
      </w:r>
      <w:r w:rsidR="00EC4B5D">
        <w:t xml:space="preserve"> </w:t>
      </w:r>
      <w:r w:rsidR="00EC4B5D" w:rsidRPr="00496814">
        <w:t>will also increase</w:t>
      </w:r>
      <w:r w:rsidR="00EC4B5D">
        <w:t>.  M</w:t>
      </w:r>
      <w:r w:rsidRPr="00496814">
        <w:t xml:space="preserve">ore severe light-load conditions </w:t>
      </w:r>
      <w:r w:rsidR="00EC4B5D">
        <w:t>are also expected</w:t>
      </w:r>
      <w:r w:rsidR="00EC4B5D" w:rsidRPr="00496814">
        <w:t xml:space="preserve"> </w:t>
      </w:r>
      <w:r w:rsidRPr="00496814">
        <w:t>in the shoulder seasons.</w:t>
      </w:r>
      <w:r w:rsidRPr="00496814">
        <w:rPr>
          <w:vertAlign w:val="superscript"/>
        </w:rPr>
        <w:footnoteReference w:id="39"/>
      </w:r>
    </w:p>
    <w:p w:rsidR="00496814" w:rsidRPr="00496814" w:rsidRDefault="00496814" w:rsidP="006B38CE">
      <w:pPr>
        <w:pStyle w:val="Heading3"/>
      </w:pPr>
      <w:bookmarkStart w:id="199" w:name="_Toc484957894"/>
      <w:bookmarkStart w:id="200" w:name="_Toc490323019"/>
      <w:bookmarkStart w:id="201" w:name="_Toc81544514"/>
      <w:r w:rsidRPr="00496814">
        <w:t>PV Nameplate Capacity Forecast</w:t>
      </w:r>
      <w:bookmarkEnd w:id="199"/>
      <w:bookmarkEnd w:id="200"/>
      <w:bookmarkEnd w:id="201"/>
    </w:p>
    <w:p w:rsidR="00496814" w:rsidRPr="00496814" w:rsidRDefault="00496814" w:rsidP="00496814">
      <w:pPr>
        <w:rPr>
          <w:rFonts w:eastAsia="Times New Roman"/>
        </w:rPr>
      </w:pPr>
      <w:r w:rsidRPr="000A3714">
        <w:rPr>
          <w:rFonts w:eastAsia="Times New Roman"/>
          <w:color w:val="0070C0"/>
          <w:u w:val="single"/>
        </w:rPr>
        <w:fldChar w:fldCharType="begin"/>
      </w:r>
      <w:r w:rsidRPr="000A3714">
        <w:rPr>
          <w:rFonts w:eastAsia="Times New Roman"/>
          <w:color w:val="0070C0"/>
          <w:u w:val="single"/>
        </w:rPr>
        <w:instrText xml:space="preserve"> REF _Ref485804685 \h  \* MERGEFORMAT </w:instrText>
      </w:r>
      <w:r w:rsidRPr="000A3714">
        <w:rPr>
          <w:rFonts w:eastAsia="Times New Roman"/>
          <w:color w:val="0070C0"/>
          <w:u w:val="single"/>
        </w:rPr>
      </w:r>
      <w:r w:rsidRPr="000A3714">
        <w:rPr>
          <w:rFonts w:eastAsia="Times New Roman"/>
          <w:color w:val="0070C0"/>
          <w:u w:val="single"/>
        </w:rPr>
        <w:fldChar w:fldCharType="separate"/>
      </w:r>
      <w:r w:rsidR="007A5925" w:rsidRPr="000A3714">
        <w:rPr>
          <w:bCs/>
          <w:color w:val="0070C0"/>
          <w:szCs w:val="18"/>
          <w:u w:val="single"/>
        </w:rPr>
        <w:t xml:space="preserve">Table </w:t>
      </w:r>
      <w:r w:rsidR="007A5925" w:rsidRPr="000A3714">
        <w:rPr>
          <w:bCs/>
          <w:noProof/>
          <w:color w:val="0070C0"/>
          <w:szCs w:val="18"/>
          <w:u w:val="single"/>
        </w:rPr>
        <w:t>3</w:t>
      </w:r>
      <w:r w:rsidR="007A5925" w:rsidRPr="000A3714">
        <w:rPr>
          <w:bCs/>
          <w:noProof/>
          <w:color w:val="0070C0"/>
          <w:szCs w:val="18"/>
          <w:u w:val="single"/>
        </w:rPr>
        <w:noBreakHyphen/>
      </w:r>
      <w:r w:rsidRPr="000A3714">
        <w:rPr>
          <w:rFonts w:eastAsia="Times New Roman"/>
          <w:color w:val="0070C0"/>
          <w:u w:val="single"/>
        </w:rPr>
        <w:fldChar w:fldCharType="end"/>
      </w:r>
      <w:r w:rsidR="000A3714" w:rsidRPr="000A3714">
        <w:rPr>
          <w:rFonts w:eastAsia="Times New Roman"/>
          <w:color w:val="0070C0"/>
          <w:u w:val="single"/>
        </w:rPr>
        <w:t>5</w:t>
      </w:r>
      <w:r w:rsidRPr="000A3714">
        <w:rPr>
          <w:rFonts w:eastAsia="Times New Roman"/>
          <w:color w:val="0070C0"/>
          <w:u w:val="single"/>
        </w:rPr>
        <w:t xml:space="preserve"> </w:t>
      </w:r>
      <w:r w:rsidRPr="00496814">
        <w:rPr>
          <w:rFonts w:eastAsia="Times New Roman"/>
        </w:rPr>
        <w:t>lists the state-by-state forecast of annual and cumulative PV nameplate capacities (MW</w:t>
      </w:r>
      <w:r w:rsidRPr="00496814">
        <w:rPr>
          <w:rFonts w:eastAsia="Times New Roman"/>
          <w:vertAlign w:val="subscript"/>
        </w:rPr>
        <w:t>AC</w:t>
      </w:r>
      <w:r w:rsidRPr="00496814">
        <w:rPr>
          <w:rFonts w:eastAsia="Times New Roman"/>
        </w:rPr>
        <w:t xml:space="preserve"> [alternating current] ratings), after applying discount factors</w:t>
      </w:r>
      <w:r w:rsidR="00BA49AE">
        <w:rPr>
          <w:rFonts w:eastAsia="Times New Roman"/>
        </w:rPr>
        <w:t xml:space="preserve"> for availability</w:t>
      </w:r>
      <w:r w:rsidRPr="00496814">
        <w:rPr>
          <w:rFonts w:eastAsia="Times New Roman"/>
        </w:rPr>
        <w:t>, through the 10-year planning horizon.</w:t>
      </w:r>
      <w:r w:rsidRPr="00496814">
        <w:rPr>
          <w:rFonts w:eastAsia="Times New Roman"/>
          <w:vertAlign w:val="superscript"/>
        </w:rPr>
        <w:t xml:space="preserve"> </w:t>
      </w:r>
      <w:r w:rsidRPr="00496814">
        <w:rPr>
          <w:rFonts w:eastAsia="Times New Roman"/>
        </w:rPr>
        <w:t xml:space="preserve">These projections include all PV in the </w:t>
      </w:r>
      <w:r w:rsidR="000C4F75">
        <w:rPr>
          <w:rFonts w:eastAsia="Times New Roman"/>
        </w:rPr>
        <w:t>FCM</w:t>
      </w:r>
      <w:r w:rsidRPr="00496814">
        <w:rPr>
          <w:rFonts w:eastAsia="Times New Roman"/>
        </w:rPr>
        <w:t>, PV that participates in the ISO’s wholesale energy markets, and that reduces the load the ISO observes.</w:t>
      </w:r>
      <w:r w:rsidRPr="00496814">
        <w:rPr>
          <w:rFonts w:eastAsia="Times New Roman"/>
          <w:vertAlign w:val="superscript"/>
        </w:rPr>
        <w:footnoteReference w:id="40"/>
      </w:r>
      <w:r w:rsidRPr="00496814">
        <w:rPr>
          <w:rFonts w:eastAsia="Times New Roman"/>
        </w:rPr>
        <w:t xml:space="preserve"> To ensure proper accounting, the ISO classifies the forecast into three different types of PV, each of which receives a different treatment in system planning studies: </w:t>
      </w:r>
    </w:p>
    <w:p w:rsidR="00496814" w:rsidRPr="00496814" w:rsidRDefault="00496814" w:rsidP="002F1C44">
      <w:pPr>
        <w:numPr>
          <w:ilvl w:val="0"/>
          <w:numId w:val="36"/>
        </w:numPr>
        <w:spacing w:after="120"/>
        <w:rPr>
          <w:color w:val="000000"/>
        </w:rPr>
      </w:pPr>
      <w:r w:rsidRPr="00496814">
        <w:rPr>
          <w:color w:val="000000"/>
        </w:rPr>
        <w:t xml:space="preserve">FCM resources with Capacity Supply Obligations </w:t>
      </w:r>
    </w:p>
    <w:p w:rsidR="00496814" w:rsidRPr="00496814" w:rsidRDefault="00496814" w:rsidP="002F1C44">
      <w:pPr>
        <w:numPr>
          <w:ilvl w:val="0"/>
          <w:numId w:val="36"/>
        </w:numPr>
        <w:spacing w:after="120"/>
        <w:rPr>
          <w:color w:val="000000"/>
        </w:rPr>
      </w:pPr>
      <w:r w:rsidRPr="00496814">
        <w:rPr>
          <w:color w:val="000000"/>
        </w:rPr>
        <w:t>Energy-only resources (EORs), which are generation resources that participate in the wholesale energy markets and receive energy market revenues but choose to not participate in the FCM</w:t>
      </w:r>
      <w:r w:rsidRPr="00496814">
        <w:rPr>
          <w:color w:val="000000"/>
          <w:vertAlign w:val="superscript"/>
        </w:rPr>
        <w:footnoteReference w:id="41"/>
      </w:r>
    </w:p>
    <w:p w:rsidR="00496814" w:rsidRPr="00496814" w:rsidRDefault="00496814" w:rsidP="002F1C44">
      <w:pPr>
        <w:numPr>
          <w:ilvl w:val="0"/>
          <w:numId w:val="36"/>
        </w:numPr>
        <w:autoSpaceDE w:val="0"/>
        <w:autoSpaceDN w:val="0"/>
        <w:adjustRightInd w:val="0"/>
        <w:spacing w:after="200" w:line="276" w:lineRule="auto"/>
        <w:rPr>
          <w:rFonts w:eastAsia="Times New Roman"/>
          <w:color w:val="000000"/>
          <w:szCs w:val="24"/>
        </w:rPr>
      </w:pPr>
      <w:r w:rsidRPr="00496814">
        <w:rPr>
          <w:rFonts w:eastAsia="Times New Roman"/>
          <w:color w:val="000000"/>
          <w:szCs w:val="24"/>
        </w:rPr>
        <w:t>B</w:t>
      </w:r>
      <w:r w:rsidR="000C4F75">
        <w:rPr>
          <w:rFonts w:eastAsia="Times New Roman"/>
          <w:color w:val="000000"/>
          <w:szCs w:val="24"/>
        </w:rPr>
        <w:t xml:space="preserve">ehind-the-meter  </w:t>
      </w:r>
      <w:r w:rsidRPr="00496814">
        <w:rPr>
          <w:rFonts w:eastAsia="Times New Roman"/>
          <w:color w:val="000000"/>
          <w:szCs w:val="24"/>
        </w:rPr>
        <w:t xml:space="preserve">PV, which do not participate in wholesale markets </w:t>
      </w:r>
    </w:p>
    <w:p w:rsidR="00496814" w:rsidRPr="00496814" w:rsidRDefault="0092247B" w:rsidP="001D69A5">
      <w:pPr>
        <w:pStyle w:val="Caption"/>
      </w:pPr>
      <w:bookmarkStart w:id="202" w:name="_Ref485804685"/>
      <w:bookmarkStart w:id="203" w:name="Table_3_5"/>
      <w:bookmarkStart w:id="204" w:name="_Toc484164908"/>
      <w:bookmarkStart w:id="205" w:name="_Toc491243999"/>
      <w:bookmarkStart w:id="206" w:name="_Toc81544627"/>
      <w:r>
        <w:t xml:space="preserve">Table </w:t>
      </w:r>
      <w:fldSimple w:instr=" STYLEREF 1 \s ">
        <w:r w:rsidR="001D2A17">
          <w:rPr>
            <w:noProof/>
          </w:rPr>
          <w:t>3</w:t>
        </w:r>
      </w:fldSimple>
      <w:r w:rsidR="001D2A17">
        <w:noBreakHyphen/>
      </w:r>
      <w:fldSimple w:instr=" SEQ Table \* ARABIC \s 1 ">
        <w:r w:rsidR="001D2A17">
          <w:rPr>
            <w:noProof/>
          </w:rPr>
          <w:t>5</w:t>
        </w:r>
      </w:fldSimple>
      <w:bookmarkEnd w:id="202"/>
      <w:bookmarkEnd w:id="203"/>
      <w:r w:rsidR="00496814" w:rsidRPr="00496814">
        <w:rPr>
          <w:b w:val="0"/>
          <w:bCs w:val="0"/>
        </w:rPr>
        <w:br/>
      </w:r>
      <w:r w:rsidR="00496814" w:rsidRPr="00DB6489">
        <w:rPr>
          <w:bCs w:val="0"/>
        </w:rPr>
        <w:t>New England States’ Annual and Cumulative Total PV Nameplate Capacity Forecast, 2021 to 2030 (MW</w:t>
      </w:r>
      <w:r w:rsidR="00496814" w:rsidRPr="00DB6489">
        <w:rPr>
          <w:bCs w:val="0"/>
          <w:vertAlign w:val="subscript"/>
        </w:rPr>
        <w:t>AC</w:t>
      </w:r>
      <w:r w:rsidR="00496814" w:rsidRPr="00DB6489">
        <w:rPr>
          <w:bCs w:val="0"/>
        </w:rPr>
        <w:t>)</w:t>
      </w:r>
      <w:bookmarkEnd w:id="204"/>
      <w:bookmarkEnd w:id="205"/>
      <w:bookmarkEnd w:id="206"/>
    </w:p>
    <w:tbl>
      <w:tblPr>
        <w:tblW w:w="8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69"/>
        <w:gridCol w:w="962"/>
        <w:gridCol w:w="18"/>
        <w:gridCol w:w="965"/>
        <w:gridCol w:w="16"/>
        <w:gridCol w:w="966"/>
        <w:gridCol w:w="16"/>
        <w:gridCol w:w="981"/>
        <w:gridCol w:w="982"/>
        <w:gridCol w:w="982"/>
        <w:gridCol w:w="983"/>
      </w:tblGrid>
      <w:tr w:rsidR="00496814" w:rsidRPr="00496814" w:rsidTr="006E0ABA">
        <w:trPr>
          <w:trHeight w:val="600"/>
          <w:jc w:val="center"/>
        </w:trPr>
        <w:tc>
          <w:tcPr>
            <w:tcW w:w="1469" w:type="dxa"/>
            <w:vMerge w:val="restart"/>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Year</w:t>
            </w:r>
          </w:p>
        </w:tc>
        <w:tc>
          <w:tcPr>
            <w:tcW w:w="962" w:type="dxa"/>
            <w:vMerge w:val="restart"/>
            <w:shd w:val="clear" w:color="auto" w:fill="1795D2" w:themeFill="accent1"/>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Annual Sum of States</w:t>
            </w:r>
          </w:p>
        </w:tc>
        <w:tc>
          <w:tcPr>
            <w:tcW w:w="5909" w:type="dxa"/>
            <w:gridSpan w:val="9"/>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 xml:space="preserve">Annual Total Nameplate Capacity </w:t>
            </w:r>
            <w:r w:rsidRPr="00496814">
              <w:rPr>
                <w:rFonts w:ascii="Calibri" w:hAnsi="Calibri"/>
                <w:b/>
                <w:bCs/>
                <w:color w:val="FFFFFF" w:themeColor="background1"/>
                <w:szCs w:val="18"/>
              </w:rPr>
              <w:t>(MW</w:t>
            </w:r>
            <w:r w:rsidRPr="00496814">
              <w:rPr>
                <w:rFonts w:ascii="Calibri" w:hAnsi="Calibri"/>
                <w:b/>
                <w:bCs/>
                <w:color w:val="FFFFFF" w:themeColor="background1"/>
                <w:szCs w:val="18"/>
                <w:vertAlign w:val="subscript"/>
              </w:rPr>
              <w:t>AC</w:t>
            </w:r>
            <w:r w:rsidRPr="00496814">
              <w:rPr>
                <w:rFonts w:ascii="Calibri" w:hAnsi="Calibri"/>
                <w:b/>
                <w:bCs/>
                <w:color w:val="FFFFFF" w:themeColor="background1"/>
                <w:szCs w:val="18"/>
              </w:rPr>
              <w:t>)</w:t>
            </w:r>
          </w:p>
        </w:tc>
      </w:tr>
      <w:tr w:rsidR="00496814" w:rsidRPr="00496814" w:rsidTr="006E0ABA">
        <w:trPr>
          <w:trHeight w:val="300"/>
          <w:jc w:val="center"/>
        </w:trPr>
        <w:tc>
          <w:tcPr>
            <w:tcW w:w="1469" w:type="dxa"/>
            <w:vMerge/>
            <w:shd w:val="clear" w:color="auto" w:fill="1795D2" w:themeFill="accent1"/>
            <w:tcMar>
              <w:top w:w="0" w:type="dxa"/>
              <w:bottom w:w="0" w:type="dxa"/>
            </w:tcMar>
            <w:vAlign w:val="center"/>
            <w:hideMark/>
          </w:tcPr>
          <w:p w:rsidR="00496814" w:rsidRPr="00496814" w:rsidRDefault="00496814" w:rsidP="00496814">
            <w:pPr>
              <w:keepNext/>
              <w:keepLines/>
              <w:spacing w:after="0" w:line="240" w:lineRule="auto"/>
              <w:rPr>
                <w:rFonts w:asciiTheme="minorHAnsi" w:hAnsiTheme="minorHAnsi"/>
                <w:b/>
                <w:bCs/>
                <w:color w:val="FFFFFF" w:themeColor="background1"/>
                <w:sz w:val="18"/>
                <w:szCs w:val="18"/>
              </w:rPr>
            </w:pPr>
          </w:p>
        </w:tc>
        <w:tc>
          <w:tcPr>
            <w:tcW w:w="962" w:type="dxa"/>
            <w:vMerge/>
            <w:shd w:val="clear" w:color="auto" w:fill="1795D2" w:themeFill="accent1"/>
            <w:tcMar>
              <w:top w:w="0" w:type="dxa"/>
              <w:bottom w:w="0" w:type="dxa"/>
            </w:tcMar>
            <w:vAlign w:val="center"/>
            <w:hideMark/>
          </w:tcPr>
          <w:p w:rsidR="00496814" w:rsidRPr="00496814" w:rsidRDefault="00496814" w:rsidP="00496814">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CT</w:t>
            </w:r>
          </w:p>
        </w:tc>
        <w:tc>
          <w:tcPr>
            <w:tcW w:w="982"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MA</w:t>
            </w:r>
          </w:p>
        </w:tc>
        <w:tc>
          <w:tcPr>
            <w:tcW w:w="997"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ME</w:t>
            </w:r>
          </w:p>
        </w:tc>
        <w:tc>
          <w:tcPr>
            <w:tcW w:w="982"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NH</w:t>
            </w:r>
          </w:p>
        </w:tc>
        <w:tc>
          <w:tcPr>
            <w:tcW w:w="982"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RI</w:t>
            </w:r>
          </w:p>
        </w:tc>
        <w:tc>
          <w:tcPr>
            <w:tcW w:w="983"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VT</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Through 2020</w:t>
            </w:r>
          </w:p>
        </w:tc>
        <w:tc>
          <w:tcPr>
            <w:tcW w:w="980" w:type="dxa"/>
            <w:gridSpan w:val="2"/>
            <w:shd w:val="clear" w:color="auto" w:fill="auto"/>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3,995.9</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682.3</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2,502.3</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68.8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125.3</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223.8</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393.5</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2021</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794.1</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108.1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454.3</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138.8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19.1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49.1</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24.7</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2022</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849.1</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131.6</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430.4</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199.0</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18.1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46.5</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23.4</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2023</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844.9</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147.6</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209.2</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2024</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781.0</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201.7</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2025</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677.0</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97.8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2026</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544.1</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358.7</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2027</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417.5</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232.1</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2028</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402.6</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83.2</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225.1</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2029</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367.8</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55.4</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218.0</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2030</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358.9</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53.6</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211.0</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1795D2" w:themeFill="accent1"/>
            <w:noWrap/>
            <w:tcMar>
              <w:top w:w="0" w:type="dxa"/>
              <w:left w:w="108" w:type="dxa"/>
              <w:bottom w:w="0" w:type="dxa"/>
              <w:right w:w="108" w:type="dxa"/>
            </w:tcMa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Total</w:t>
            </w:r>
          </w:p>
        </w:tc>
        <w:tc>
          <w:tcPr>
            <w:tcW w:w="980" w:type="dxa"/>
            <w:gridSpan w:val="2"/>
            <w:shd w:val="clear" w:color="auto" w:fill="1795D2" w:themeFill="accent1"/>
            <w:tcMar>
              <w:top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10,032.9</w:t>
            </w:r>
          </w:p>
        </w:tc>
        <w:tc>
          <w:tcPr>
            <w:tcW w:w="981" w:type="dxa"/>
            <w:gridSpan w:val="2"/>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1,626.0</w:t>
            </w:r>
          </w:p>
        </w:tc>
        <w:tc>
          <w:tcPr>
            <w:tcW w:w="982" w:type="dxa"/>
            <w:gridSpan w:val="2"/>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5,851.5</w:t>
            </w:r>
          </w:p>
        </w:tc>
        <w:tc>
          <w:tcPr>
            <w:tcW w:w="981"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979.1</w:t>
            </w:r>
          </w:p>
        </w:tc>
        <w:tc>
          <w:tcPr>
            <w:tcW w:w="982"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299.4</w:t>
            </w:r>
          </w:p>
        </w:tc>
        <w:tc>
          <w:tcPr>
            <w:tcW w:w="982"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658.5</w:t>
            </w:r>
          </w:p>
        </w:tc>
        <w:tc>
          <w:tcPr>
            <w:tcW w:w="983"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618.4</w:t>
            </w:r>
          </w:p>
        </w:tc>
      </w:tr>
    </w:tbl>
    <w:p w:rsidR="00496814" w:rsidRPr="00496814" w:rsidRDefault="00496814" w:rsidP="00496814">
      <w:pPr>
        <w:spacing w:after="120" w:line="240" w:lineRule="auto"/>
        <w:rPr>
          <w:rFonts w:eastAsia="Times New Roman"/>
        </w:rPr>
      </w:pPr>
    </w:p>
    <w:p w:rsidR="00496814" w:rsidRPr="00496814" w:rsidRDefault="00D37EB1" w:rsidP="00496814">
      <w:pPr>
        <w:keepNext/>
        <w:spacing w:after="200" w:line="276" w:lineRule="auto"/>
      </w:pPr>
      <w:hyperlink w:anchor="Table_3_6" w:history="1">
        <w:r w:rsidR="00496814" w:rsidRPr="005B779C">
          <w:rPr>
            <w:rStyle w:val="Hyperlink"/>
          </w:rPr>
          <w:t>Table 3-6</w:t>
        </w:r>
      </w:hyperlink>
      <w:r w:rsidR="00496814" w:rsidRPr="00496814">
        <w:t xml:space="preserve"> shows the classification of the 2021 PV forecast into FCM, non-FCM EORs, and BTM PV. </w:t>
      </w:r>
    </w:p>
    <w:p w:rsidR="00496814" w:rsidRPr="00496814" w:rsidRDefault="0092247B" w:rsidP="001D69A5">
      <w:pPr>
        <w:pStyle w:val="Caption"/>
        <w:keepNext/>
      </w:pPr>
      <w:bookmarkStart w:id="207" w:name="_Ref491176226"/>
      <w:bookmarkStart w:id="208" w:name="_Toc491244000"/>
      <w:bookmarkStart w:id="209" w:name="_Toc396807618"/>
      <w:bookmarkStart w:id="210" w:name="_Toc81544628"/>
      <w:r>
        <w:t xml:space="preserve">Table </w:t>
      </w:r>
      <w:fldSimple w:instr=" STYLEREF 1 \s ">
        <w:r w:rsidR="001D2A17">
          <w:rPr>
            <w:noProof/>
          </w:rPr>
          <w:t>3</w:t>
        </w:r>
      </w:fldSimple>
      <w:r w:rsidR="001D2A17">
        <w:noBreakHyphen/>
      </w:r>
      <w:fldSimple w:instr=" SEQ Table \* ARABIC \s 1 ">
        <w:r w:rsidR="001D2A17">
          <w:rPr>
            <w:noProof/>
          </w:rPr>
          <w:t>6</w:t>
        </w:r>
      </w:fldSimple>
      <w:bookmarkEnd w:id="207"/>
      <w:r w:rsidR="00496814" w:rsidRPr="00496814">
        <w:rPr>
          <w:b w:val="0"/>
          <w:bCs w:val="0"/>
        </w:rPr>
        <w:br/>
      </w:r>
      <w:r w:rsidR="00496814" w:rsidRPr="00DB6489">
        <w:rPr>
          <w:bCs w:val="0"/>
        </w:rPr>
        <w:t>Cumulative New England PV Forecast for Each Classification of PV, 2021 to 2030 (MW</w:t>
      </w:r>
      <w:r w:rsidR="00496814" w:rsidRPr="00DB6489">
        <w:rPr>
          <w:bCs w:val="0"/>
          <w:vertAlign w:val="subscript"/>
        </w:rPr>
        <w:t>AC</w:t>
      </w:r>
      <w:r w:rsidR="00496814" w:rsidRPr="00DB6489">
        <w:rPr>
          <w:bCs w:val="0"/>
        </w:rPr>
        <w:t>)</w:t>
      </w:r>
      <w:bookmarkEnd w:id="208"/>
      <w:bookmarkEnd w:id="210"/>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39"/>
        <w:gridCol w:w="684"/>
        <w:gridCol w:w="684"/>
        <w:gridCol w:w="683"/>
        <w:gridCol w:w="683"/>
        <w:gridCol w:w="683"/>
        <w:gridCol w:w="683"/>
        <w:gridCol w:w="683"/>
        <w:gridCol w:w="683"/>
        <w:gridCol w:w="683"/>
        <w:gridCol w:w="683"/>
        <w:gridCol w:w="783"/>
      </w:tblGrid>
      <w:tr w:rsidR="00496814" w:rsidRPr="00496814" w:rsidTr="006E0ABA">
        <w:trPr>
          <w:jc w:val="center"/>
        </w:trPr>
        <w:tc>
          <w:tcPr>
            <w:tcW w:w="1739"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bookmarkStart w:id="211" w:name="Table_3_6"/>
            <w:r w:rsidRPr="00496814">
              <w:rPr>
                <w:rFonts w:asciiTheme="minorHAnsi" w:hAnsiTheme="minorHAnsi"/>
                <w:b/>
                <w:color w:val="FFFFFF" w:themeColor="background1"/>
                <w:sz w:val="18"/>
                <w:szCs w:val="18"/>
              </w:rPr>
              <w:t>PV Category</w:t>
            </w:r>
          </w:p>
        </w:tc>
        <w:tc>
          <w:tcPr>
            <w:tcW w:w="684"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Thru 2020</w:t>
            </w:r>
          </w:p>
        </w:tc>
        <w:tc>
          <w:tcPr>
            <w:tcW w:w="684"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2021</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2022</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2023</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2024</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2025</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2026</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2027</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2028</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2029</w:t>
            </w:r>
          </w:p>
        </w:tc>
        <w:tc>
          <w:tcPr>
            <w:tcW w:w="7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2030</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FCM PV</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872</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1,102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1,218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1,252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r>
      <w:tr w:rsidR="00496814" w:rsidRPr="00496814" w:rsidTr="006E0ABA">
        <w:trPr>
          <w:jc w:val="center"/>
        </w:trPr>
        <w:tc>
          <w:tcPr>
            <w:tcW w:w="1739" w:type="dxa"/>
            <w:shd w:val="clear" w:color="auto" w:fill="CCEAF9" w:themeFill="accent1" w:themeFillTint="33"/>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Non-FCM, Energy-Only PV</w:t>
            </w:r>
          </w:p>
        </w:tc>
        <w:tc>
          <w:tcPr>
            <w:tcW w:w="684"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760</w:t>
            </w:r>
          </w:p>
        </w:tc>
        <w:tc>
          <w:tcPr>
            <w:tcW w:w="684"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1,042</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1,420</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1,805</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2,183</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2,489</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2,711</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2,869</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3,023</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3,174</w:t>
            </w:r>
          </w:p>
        </w:tc>
        <w:tc>
          <w:tcPr>
            <w:tcW w:w="7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3,320</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Behind-the Meter PV</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2,363</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2,645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3,001</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3,427</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3,734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4,106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4,428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4,687</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4,935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5,153</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5,365</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b/>
                <w:sz w:val="18"/>
                <w:szCs w:val="18"/>
              </w:rPr>
            </w:pPr>
            <w:r w:rsidRPr="00496814">
              <w:rPr>
                <w:rFonts w:asciiTheme="minorHAnsi" w:hAnsiTheme="minorHAnsi"/>
                <w:b/>
                <w:sz w:val="18"/>
                <w:szCs w:val="18"/>
              </w:rPr>
              <w:t>Total</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3,996</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4,790</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5,639</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6,484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7,265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7,942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8,486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8,904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9,306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9,674</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10,033</w:t>
            </w:r>
          </w:p>
        </w:tc>
      </w:tr>
    </w:tbl>
    <w:bookmarkEnd w:id="211"/>
    <w:p w:rsidR="00496814" w:rsidRPr="00496814" w:rsidRDefault="00496814" w:rsidP="00496814">
      <w:pPr>
        <w:keepNext/>
        <w:spacing w:before="120" w:line="240" w:lineRule="auto"/>
        <w:ind w:left="86" w:right="446"/>
        <w:rPr>
          <w:rFonts w:eastAsia="Times New Roman"/>
        </w:rPr>
      </w:pPr>
      <w:r w:rsidRPr="00496814">
        <w:rPr>
          <w:rFonts w:ascii="Calibri" w:eastAsia="Times New Roman" w:hAnsi="Calibri" w:cs="Arial"/>
          <w:b/>
          <w:sz w:val="16"/>
          <w:szCs w:val="16"/>
        </w:rPr>
        <w:t>Notes:</w:t>
      </w:r>
      <w:r w:rsidRPr="00496814">
        <w:rPr>
          <w:rFonts w:ascii="Calibri" w:eastAsia="Times New Roman" w:hAnsi="Calibri" w:cs="Arial"/>
          <w:sz w:val="16"/>
          <w:szCs w:val="16"/>
        </w:rPr>
        <w:t xml:space="preserve"> Nameplate capacities listed are end-of-year values. The FCM category reflects the PV nameplate of the FCM-qualified resources. The FCM value is held constant for the summer of 2024 and beyond. The net load forecast reflects reductions of BTM PV.</w:t>
      </w:r>
    </w:p>
    <w:p w:rsidR="00496814" w:rsidRPr="00496814" w:rsidRDefault="00496814" w:rsidP="006B38CE">
      <w:pPr>
        <w:pStyle w:val="Heading3"/>
      </w:pPr>
      <w:bookmarkStart w:id="212" w:name="_Toc484957895"/>
      <w:bookmarkStart w:id="213" w:name="_Ref485727402"/>
      <w:bookmarkStart w:id="214" w:name="_Toc490323020"/>
      <w:bookmarkStart w:id="215" w:name="_Toc81544515"/>
      <w:r w:rsidRPr="00496814">
        <w:t xml:space="preserve">Forecasts of </w:t>
      </w:r>
      <w:r w:rsidR="000C4F75">
        <w:t>Behind-the Meter</w:t>
      </w:r>
      <w:r w:rsidR="000C4F75" w:rsidRPr="00496814">
        <w:t xml:space="preserve"> </w:t>
      </w:r>
      <w:r w:rsidR="000C4F75">
        <w:t>Photovoltaic</w:t>
      </w:r>
      <w:r w:rsidR="000C4F75" w:rsidRPr="00496814">
        <w:t xml:space="preserve"> </w:t>
      </w:r>
      <w:r w:rsidRPr="00496814">
        <w:t>Energy and Summer Peak Demand</w:t>
      </w:r>
      <w:r w:rsidR="00FC5F06">
        <w:t> </w:t>
      </w:r>
      <w:r w:rsidRPr="00496814">
        <w:t>Reductions</w:t>
      </w:r>
      <w:bookmarkEnd w:id="212"/>
      <w:bookmarkEnd w:id="213"/>
      <w:bookmarkEnd w:id="214"/>
      <w:bookmarkEnd w:id="215"/>
    </w:p>
    <w:p w:rsidR="00496814" w:rsidRPr="00496814" w:rsidRDefault="00496814" w:rsidP="00496814">
      <w:pPr>
        <w:spacing w:after="120" w:line="276" w:lineRule="auto"/>
      </w:pPr>
      <w:r w:rsidRPr="00496814">
        <w:t xml:space="preserve">Using the nameplate </w:t>
      </w:r>
      <w:r w:rsidR="000A3714">
        <w:t>BTM PV</w:t>
      </w:r>
      <w:r w:rsidRPr="00496814">
        <w:t xml:space="preserve"> forecast and other available data, the ISO develops forecasts of BTM PV energy and reductions in summer peak demand. Higher PV penetrations are associated with diminishing incremental demand reductions because they cause peak loads to occur later in the afternoon when PV output is </w:t>
      </w:r>
      <w:r w:rsidR="00EC4B5D">
        <w:t>lower</w:t>
      </w:r>
      <w:r w:rsidRPr="00496814">
        <w:t>.</w:t>
      </w:r>
      <w:r w:rsidRPr="00496814">
        <w:rPr>
          <w:vertAlign w:val="superscript"/>
        </w:rPr>
        <w:footnoteReference w:id="42"/>
      </w:r>
      <w:r w:rsidRPr="00496814">
        <w:t xml:space="preserve"> </w:t>
      </w:r>
      <w:r w:rsidRPr="005B779C">
        <w:rPr>
          <w:color w:val="0070C0"/>
          <w:u w:val="single"/>
        </w:rPr>
        <w:fldChar w:fldCharType="begin"/>
      </w:r>
      <w:r w:rsidRPr="005B779C">
        <w:rPr>
          <w:color w:val="0070C0"/>
          <w:u w:val="single"/>
        </w:rPr>
        <w:instrText xml:space="preserve"> REF _Ref491176513 \h  \* MERGEFORMAT </w:instrText>
      </w:r>
      <w:r w:rsidRPr="005B779C">
        <w:rPr>
          <w:color w:val="0070C0"/>
          <w:u w:val="single"/>
        </w:rPr>
      </w:r>
      <w:r w:rsidRPr="005B779C">
        <w:rPr>
          <w:color w:val="0070C0"/>
          <w:u w:val="single"/>
        </w:rPr>
        <w:fldChar w:fldCharType="separate"/>
      </w:r>
      <w:r w:rsidR="007A5925" w:rsidRPr="005B779C">
        <w:rPr>
          <w:bCs/>
          <w:color w:val="0070C0"/>
          <w:szCs w:val="18"/>
          <w:u w:val="single"/>
        </w:rPr>
        <w:t xml:space="preserve">Table </w:t>
      </w:r>
      <w:r w:rsidR="007A5925" w:rsidRPr="005B779C">
        <w:rPr>
          <w:bCs/>
          <w:noProof/>
          <w:color w:val="0070C0"/>
          <w:szCs w:val="18"/>
          <w:u w:val="single"/>
        </w:rPr>
        <w:t>3</w:t>
      </w:r>
      <w:r w:rsidR="007A5925" w:rsidRPr="005B779C">
        <w:rPr>
          <w:bCs/>
          <w:noProof/>
          <w:color w:val="0070C0"/>
          <w:szCs w:val="18"/>
          <w:u w:val="single"/>
        </w:rPr>
        <w:noBreakHyphen/>
      </w:r>
      <w:r w:rsidRPr="005B779C">
        <w:rPr>
          <w:color w:val="0070C0"/>
          <w:u w:val="single"/>
        </w:rPr>
        <w:fldChar w:fldCharType="end"/>
      </w:r>
      <w:r w:rsidR="000A3714" w:rsidRPr="005B779C">
        <w:rPr>
          <w:color w:val="0070C0"/>
          <w:u w:val="single"/>
        </w:rPr>
        <w:t>7</w:t>
      </w:r>
      <w:r w:rsidRPr="005B779C">
        <w:t xml:space="preserve"> sho</w:t>
      </w:r>
      <w:r w:rsidRPr="00496814">
        <w:t>ws the values of regional annual energy savings and summer peak demand reductions from the 2021 forecast of BTM PV.</w:t>
      </w:r>
      <w:r w:rsidRPr="00496814">
        <w:rPr>
          <w:rFonts w:ascii="Arial Narrow" w:eastAsia="Times New Roman" w:hAnsi="Arial Narrow" w:cs="Arial"/>
          <w:spacing w:val="-5"/>
        </w:rPr>
        <w:t xml:space="preserve"> </w:t>
      </w:r>
    </w:p>
    <w:p w:rsidR="00DB6489" w:rsidRDefault="00DB6489">
      <w:pPr>
        <w:spacing w:after="200" w:line="276" w:lineRule="auto"/>
        <w:rPr>
          <w:rFonts w:ascii="Calibri" w:hAnsi="Calibri"/>
          <w:b/>
          <w:bCs/>
          <w:szCs w:val="18"/>
        </w:rPr>
      </w:pPr>
      <w:bookmarkStart w:id="216" w:name="_Ref491176513"/>
      <w:bookmarkStart w:id="217" w:name="Table_3_7"/>
      <w:bookmarkStart w:id="218" w:name="_Toc491244001"/>
      <w:r>
        <w:br w:type="page"/>
      </w:r>
    </w:p>
    <w:p w:rsidR="00496814" w:rsidRPr="00496814" w:rsidRDefault="0092247B" w:rsidP="001D69A5">
      <w:pPr>
        <w:pStyle w:val="Caption"/>
      </w:pPr>
      <w:bookmarkStart w:id="219" w:name="_Toc81544629"/>
      <w:r>
        <w:t xml:space="preserve">Table </w:t>
      </w:r>
      <w:fldSimple w:instr=" STYLEREF 1 \s ">
        <w:r w:rsidR="001D2A17">
          <w:rPr>
            <w:noProof/>
          </w:rPr>
          <w:t>3</w:t>
        </w:r>
      </w:fldSimple>
      <w:r w:rsidR="001D2A17">
        <w:noBreakHyphen/>
      </w:r>
      <w:fldSimple w:instr=" SEQ Table \* ARABIC \s 1 ">
        <w:r w:rsidR="001D2A17">
          <w:rPr>
            <w:noProof/>
          </w:rPr>
          <w:t>7</w:t>
        </w:r>
      </w:fldSimple>
      <w:bookmarkEnd w:id="216"/>
      <w:bookmarkEnd w:id="217"/>
      <w:r w:rsidR="00496814" w:rsidRPr="00496814">
        <w:br/>
      </w:r>
      <w:r w:rsidR="00496814" w:rsidRPr="00DB6489">
        <w:t>Summary of BTM PV Forecast Annual Electric Energy Savings and Peak Demand Reductions</w:t>
      </w:r>
      <w:r w:rsidR="00496814" w:rsidRPr="00DB6489">
        <w:br/>
        <w:t>for New England and the States, 2021 and 2030 (GWh, MW)</w:t>
      </w:r>
      <w:bookmarkEnd w:id="218"/>
      <w:bookmarkEnd w:id="219"/>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tblGrid>
      <w:tr w:rsidR="00496814" w:rsidRPr="00496814" w:rsidTr="006E0ABA">
        <w:trPr>
          <w:trHeight w:val="829"/>
          <w:jc w:val="center"/>
        </w:trPr>
        <w:tc>
          <w:tcPr>
            <w:tcW w:w="1050" w:type="dxa"/>
            <w:vMerge w:val="restart"/>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State</w:t>
            </w:r>
          </w:p>
        </w:tc>
        <w:tc>
          <w:tcPr>
            <w:tcW w:w="2329" w:type="dxa"/>
            <w:gridSpan w:val="3"/>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Annual Energy Savings</w:t>
            </w:r>
          </w:p>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Summer Peak Demand Reductions</w:t>
            </w:r>
          </w:p>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(MW)</w:t>
            </w:r>
          </w:p>
        </w:tc>
      </w:tr>
      <w:tr w:rsidR="00496814" w:rsidRPr="00496814" w:rsidTr="006E0ABA">
        <w:trPr>
          <w:trHeight w:val="312"/>
          <w:jc w:val="center"/>
        </w:trPr>
        <w:tc>
          <w:tcPr>
            <w:tcW w:w="1050" w:type="dxa"/>
            <w:vMerge/>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7"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6"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6"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7" w:type="dxa"/>
            <w:shd w:val="clear" w:color="auto" w:fill="1795D2" w:themeFill="accent1"/>
            <w:noWrap/>
            <w:tcMar>
              <w:left w:w="29" w:type="dxa"/>
              <w:right w:w="29" w:type="dxa"/>
            </w:tcMar>
            <w:vAlign w:val="center"/>
            <w:hideMark/>
          </w:tcPr>
          <w:p w:rsidR="00496814" w:rsidRPr="00496814" w:rsidRDefault="00496814" w:rsidP="00496814">
            <w:pPr>
              <w:keepNext/>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755</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1,589</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8.6</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189</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252</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3.2</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94</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416</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18.0</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22</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66</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13.0</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1,658</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3,441</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8.5</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423</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555</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3.1</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149</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316</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8.7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39</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52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3.2</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106</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251</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10.1</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27</w:t>
            </w:r>
          </w:p>
        </w:tc>
        <w:tc>
          <w:tcPr>
            <w:tcW w:w="776"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39</w:t>
            </w:r>
          </w:p>
        </w:tc>
        <w:tc>
          <w:tcPr>
            <w:tcW w:w="777" w:type="dxa"/>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4.2</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sz w:val="18"/>
                <w:szCs w:val="18"/>
              </w:rPr>
            </w:pPr>
            <w:r w:rsidRPr="00496814">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502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720</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4.1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137</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122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cstheme="minorHAnsi"/>
                <w:sz w:val="18"/>
                <w:szCs w:val="18"/>
              </w:rPr>
            </w:pPr>
            <w:r w:rsidRPr="00496814">
              <w:rPr>
                <w:rFonts w:asciiTheme="minorHAnsi" w:hAnsiTheme="minorHAnsi"/>
                <w:sz w:val="18"/>
                <w:szCs w:val="18"/>
              </w:rPr>
              <w:t>-1.3</w:t>
            </w:r>
          </w:p>
        </w:tc>
      </w:tr>
      <w:tr w:rsidR="00496814" w:rsidRPr="00496814" w:rsidTr="006E0ABA">
        <w:trPr>
          <w:trHeight w:val="312"/>
          <w:jc w:val="center"/>
        </w:trPr>
        <w:tc>
          <w:tcPr>
            <w:tcW w:w="1050" w:type="dxa"/>
            <w:shd w:val="clear" w:color="auto" w:fill="1795D2" w:themeFill="accent1"/>
            <w:noWrap/>
            <w:tcMar>
              <w:left w:w="115" w:type="dxa"/>
              <w:right w:w="0" w:type="dxa"/>
            </w:tcMar>
            <w:vAlign w:val="center"/>
            <w:hideMark/>
          </w:tcPr>
          <w:p w:rsidR="00496814" w:rsidRPr="00496814" w:rsidRDefault="00496814" w:rsidP="00496814">
            <w:pPr>
              <w:keepNext/>
              <w:spacing w:after="0" w:line="240" w:lineRule="auto"/>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3,265</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6,733</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8.4</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836</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1,087</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496814">
            <w:pPr>
              <w:keepNext/>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3.0</w:t>
            </w:r>
          </w:p>
        </w:tc>
      </w:tr>
    </w:tbl>
    <w:p w:rsidR="00496814" w:rsidRPr="00496814" w:rsidRDefault="00496814" w:rsidP="00496814">
      <w:pPr>
        <w:keepNext/>
        <w:keepLines/>
        <w:spacing w:before="120" w:line="240" w:lineRule="auto"/>
        <w:ind w:left="1620" w:right="86"/>
        <w:rPr>
          <w:rFonts w:ascii="Calibri" w:hAnsi="Calibri" w:cs="Arial"/>
          <w:bCs/>
          <w:sz w:val="16"/>
          <w:szCs w:val="16"/>
        </w:rPr>
      </w:pPr>
      <w:r w:rsidRPr="00496814">
        <w:t xml:space="preserve"> </w:t>
      </w:r>
      <w:r w:rsidRPr="00496814">
        <w:rPr>
          <w:rFonts w:ascii="Calibri" w:hAnsi="Calibri" w:cs="Arial"/>
          <w:bCs/>
          <w:sz w:val="16"/>
          <w:szCs w:val="16"/>
        </w:rPr>
        <w:t>(a) “CAGR” stands for compound annual growth rate.</w:t>
      </w:r>
    </w:p>
    <w:p w:rsidR="00496814" w:rsidRPr="00496814" w:rsidRDefault="00496814" w:rsidP="006B38CE">
      <w:pPr>
        <w:pStyle w:val="Heading2"/>
      </w:pPr>
      <w:bookmarkStart w:id="220" w:name="_Ref418883457"/>
      <w:bookmarkStart w:id="221" w:name="_Ref418955548"/>
      <w:bookmarkStart w:id="222" w:name="_Toc484957896"/>
      <w:bookmarkStart w:id="223" w:name="_Toc490323021"/>
      <w:bookmarkStart w:id="224" w:name="_Toc81544516"/>
      <w:r w:rsidRPr="00496814">
        <w:t>The Net Demand Forecast</w:t>
      </w:r>
      <w:bookmarkEnd w:id="220"/>
      <w:bookmarkEnd w:id="221"/>
      <w:bookmarkEnd w:id="222"/>
      <w:bookmarkEnd w:id="223"/>
      <w:bookmarkEnd w:id="224"/>
    </w:p>
    <w:p w:rsidR="00496814" w:rsidRPr="00496814" w:rsidRDefault="00496814" w:rsidP="00496814">
      <w:r w:rsidRPr="00496814">
        <w:t>The net forecast is the gross demand forecast, inclusive of electrification, but lowered by the forecasted</w:t>
      </w:r>
      <w:r w:rsidR="000C4F75">
        <w:t xml:space="preserve"> behind-the-meter</w:t>
      </w:r>
      <w:r w:rsidRPr="00496814">
        <w:t xml:space="preserve"> </w:t>
      </w:r>
      <w:r w:rsidR="000C4F75">
        <w:t>(</w:t>
      </w:r>
      <w:r w:rsidRPr="00496814">
        <w:t>BTM</w:t>
      </w:r>
      <w:r w:rsidR="000C4F75">
        <w:t>) photovoltaic</w:t>
      </w:r>
      <w:r w:rsidRPr="00496814">
        <w:t xml:space="preserve"> </w:t>
      </w:r>
      <w:r w:rsidR="000C4F75">
        <w:t>(</w:t>
      </w:r>
      <w:r w:rsidRPr="00496814">
        <w:t>PV</w:t>
      </w:r>
      <w:r w:rsidR="000C4F75">
        <w:t>)</w:t>
      </w:r>
      <w:r w:rsidRPr="00496814">
        <w:t xml:space="preserve"> and </w:t>
      </w:r>
      <w:r w:rsidR="000C4F75">
        <w:t>energy efficiency (</w:t>
      </w:r>
      <w:r w:rsidRPr="00496814">
        <w:t>EE</w:t>
      </w:r>
      <w:r w:rsidR="000C4F75">
        <w:t>)</w:t>
      </w:r>
      <w:r w:rsidRPr="00496814">
        <w:t xml:space="preserve"> load reductions. The net forecast is detailed in </w:t>
      </w:r>
      <w:r w:rsidRPr="00AF47A4">
        <w:rPr>
          <w:color w:val="0070C0"/>
          <w:u w:val="single"/>
        </w:rPr>
        <w:fldChar w:fldCharType="begin"/>
      </w:r>
      <w:r w:rsidRPr="00AF47A4">
        <w:rPr>
          <w:color w:val="0070C0"/>
          <w:u w:val="single"/>
        </w:rPr>
        <w:instrText xml:space="preserve"> REF _Ref417651782 \h  \* MERGEFORMAT </w:instrText>
      </w:r>
      <w:r w:rsidRPr="00AF47A4">
        <w:rPr>
          <w:color w:val="0070C0"/>
          <w:u w:val="single"/>
        </w:rPr>
      </w:r>
      <w:r w:rsidRPr="00AF47A4">
        <w:rPr>
          <w:color w:val="0070C0"/>
          <w:u w:val="single"/>
        </w:rPr>
        <w:fldChar w:fldCharType="separate"/>
      </w:r>
      <w:r w:rsidR="007A5925" w:rsidRPr="00AF47A4">
        <w:rPr>
          <w:color w:val="0070C0"/>
          <w:u w:val="single"/>
        </w:rPr>
        <w:t>Figure 3</w:t>
      </w:r>
      <w:r w:rsidR="007A5925" w:rsidRPr="00AF47A4">
        <w:rPr>
          <w:color w:val="0070C0"/>
          <w:u w:val="single"/>
        </w:rPr>
        <w:noBreakHyphen/>
        <w:t>1</w:t>
      </w:r>
      <w:r w:rsidRPr="00AF47A4">
        <w:rPr>
          <w:color w:val="0070C0"/>
          <w:u w:val="single"/>
        </w:rPr>
        <w:fldChar w:fldCharType="end"/>
      </w:r>
      <w:r w:rsidRPr="00496814">
        <w:t xml:space="preserve">, </w:t>
      </w:r>
      <w:r w:rsidRPr="00AF47A4">
        <w:rPr>
          <w:color w:val="0070C0"/>
          <w:u w:val="single"/>
        </w:rPr>
        <w:fldChar w:fldCharType="begin"/>
      </w:r>
      <w:r w:rsidRPr="00AF47A4">
        <w:rPr>
          <w:color w:val="0070C0"/>
          <w:u w:val="single"/>
        </w:rPr>
        <w:instrText xml:space="preserve"> REF _Ref13484388 \h </w:instrText>
      </w:r>
      <w:r w:rsidR="000A3714" w:rsidRPr="00AF47A4">
        <w:rPr>
          <w:color w:val="0070C0"/>
          <w:u w:val="single"/>
        </w:rPr>
        <w:instrText xml:space="preserve"> \* MERGEFORMAT </w:instrText>
      </w:r>
      <w:r w:rsidRPr="00AF47A4">
        <w:rPr>
          <w:color w:val="0070C0"/>
          <w:u w:val="single"/>
        </w:rPr>
      </w:r>
      <w:r w:rsidRPr="00AF47A4">
        <w:rPr>
          <w:color w:val="0070C0"/>
          <w:u w:val="single"/>
        </w:rPr>
        <w:fldChar w:fldCharType="separate"/>
      </w:r>
      <w:r w:rsidR="007A5925" w:rsidRPr="00AF47A4">
        <w:rPr>
          <w:rFonts w:ascii="Calibri" w:hAnsi="Calibri"/>
          <w:bCs/>
          <w:color w:val="0070C0"/>
          <w:szCs w:val="18"/>
          <w:u w:val="single"/>
        </w:rPr>
        <w:t xml:space="preserve">Figure </w:t>
      </w:r>
      <w:r w:rsidR="007A5925" w:rsidRPr="00AF47A4">
        <w:rPr>
          <w:rFonts w:ascii="Calibri" w:hAnsi="Calibri"/>
          <w:bCs/>
          <w:noProof/>
          <w:color w:val="0070C0"/>
          <w:szCs w:val="18"/>
          <w:u w:val="single"/>
        </w:rPr>
        <w:t>3</w:t>
      </w:r>
      <w:r w:rsidR="007A5925" w:rsidRPr="00AF47A4">
        <w:rPr>
          <w:rFonts w:ascii="Calibri" w:hAnsi="Calibri"/>
          <w:bCs/>
          <w:color w:val="0070C0"/>
          <w:szCs w:val="18"/>
          <w:u w:val="single"/>
        </w:rPr>
        <w:noBreakHyphen/>
      </w:r>
      <w:r w:rsidRPr="00AF47A4">
        <w:rPr>
          <w:color w:val="0070C0"/>
          <w:u w:val="single"/>
        </w:rPr>
        <w:fldChar w:fldCharType="end"/>
      </w:r>
      <w:r w:rsidR="000A3714" w:rsidRPr="00AF47A4">
        <w:rPr>
          <w:color w:val="0070C0"/>
          <w:u w:val="single"/>
        </w:rPr>
        <w:t>2</w:t>
      </w:r>
      <w:r w:rsidRPr="00496814">
        <w:t xml:space="preserve">, and </w:t>
      </w:r>
      <w:r w:rsidRPr="00AF47A4">
        <w:rPr>
          <w:color w:val="0070C0"/>
          <w:u w:val="single"/>
        </w:rPr>
        <w:fldChar w:fldCharType="begin"/>
      </w:r>
      <w:r w:rsidRPr="00AF47A4">
        <w:rPr>
          <w:color w:val="0070C0"/>
          <w:u w:val="single"/>
        </w:rPr>
        <w:instrText xml:space="preserve"> REF _Ref7618013 \h  \* MERGEFORMAT </w:instrText>
      </w:r>
      <w:r w:rsidRPr="00AF47A4">
        <w:rPr>
          <w:color w:val="0070C0"/>
          <w:u w:val="single"/>
        </w:rPr>
      </w:r>
      <w:r w:rsidRPr="00AF47A4">
        <w:rPr>
          <w:color w:val="0070C0"/>
          <w:u w:val="single"/>
        </w:rPr>
        <w:fldChar w:fldCharType="separate"/>
      </w:r>
      <w:r w:rsidR="007A5925" w:rsidRPr="00AF47A4">
        <w:rPr>
          <w:bCs/>
          <w:color w:val="0070C0"/>
          <w:u w:val="single"/>
        </w:rPr>
        <w:t xml:space="preserve">Figure </w:t>
      </w:r>
      <w:r w:rsidR="007A5925" w:rsidRPr="00AF47A4">
        <w:rPr>
          <w:bCs/>
          <w:noProof/>
          <w:color w:val="0070C0"/>
          <w:u w:val="single"/>
        </w:rPr>
        <w:t>3</w:t>
      </w:r>
      <w:r w:rsidR="007A5925" w:rsidRPr="00AF47A4">
        <w:rPr>
          <w:bCs/>
          <w:noProof/>
          <w:color w:val="0070C0"/>
          <w:u w:val="single"/>
        </w:rPr>
        <w:noBreakHyphen/>
      </w:r>
      <w:r w:rsidRPr="00AF47A4">
        <w:rPr>
          <w:color w:val="0070C0"/>
          <w:u w:val="single"/>
        </w:rPr>
        <w:fldChar w:fldCharType="end"/>
      </w:r>
      <w:r w:rsidR="000A3714" w:rsidRPr="00AF47A4">
        <w:rPr>
          <w:color w:val="0070C0"/>
          <w:u w:val="single"/>
        </w:rPr>
        <w:t>3</w:t>
      </w:r>
      <w:r w:rsidR="000A3714">
        <w:t xml:space="preserve"> as well as </w:t>
      </w:r>
      <w:hyperlink w:anchor="Table_3_8" w:history="1">
        <w:r w:rsidR="00AF47A4" w:rsidRPr="00AF47A4">
          <w:rPr>
            <w:rStyle w:val="Hyperlink"/>
          </w:rPr>
          <w:t>T</w:t>
        </w:r>
        <w:r w:rsidR="000A3714" w:rsidRPr="00AF47A4">
          <w:rPr>
            <w:rStyle w:val="Hyperlink"/>
          </w:rPr>
          <w:t>able 3-8</w:t>
        </w:r>
      </w:hyperlink>
      <w:r w:rsidR="000A3714">
        <w:t xml:space="preserve"> and </w:t>
      </w:r>
      <w:hyperlink w:anchor="Table_3_9" w:history="1">
        <w:r w:rsidR="000A3714" w:rsidRPr="00AF47A4">
          <w:rPr>
            <w:rStyle w:val="Hyperlink"/>
          </w:rPr>
          <w:t>Table 3-9</w:t>
        </w:r>
      </w:hyperlink>
      <w:r w:rsidRPr="00496814">
        <w:t xml:space="preserve">. </w:t>
      </w:r>
    </w:p>
    <w:p w:rsidR="00496814" w:rsidRPr="00496814" w:rsidRDefault="00D37EB1" w:rsidP="00496814">
      <w:hyperlink w:anchor="Figure_3_1" w:history="1">
        <w:r w:rsidR="000A3714" w:rsidRPr="00AF47A4">
          <w:rPr>
            <w:rStyle w:val="Hyperlink"/>
          </w:rPr>
          <w:t>Figure 3-1</w:t>
        </w:r>
      </w:hyperlink>
      <w:r w:rsidR="000A3714">
        <w:t xml:space="preserve"> </w:t>
      </w:r>
      <w:r w:rsidR="00496814" w:rsidRPr="00496814">
        <w:t xml:space="preserve">shows </w:t>
      </w:r>
      <w:r w:rsidR="00EC4B5D">
        <w:t>that</w:t>
      </w:r>
      <w:r w:rsidR="00EC4B5D" w:rsidRPr="00496814">
        <w:t xml:space="preserve"> </w:t>
      </w:r>
      <w:r w:rsidR="00496814" w:rsidRPr="00496814">
        <w:t xml:space="preserve">EE and BTM PV significantly reduces the growth in gross annual energy. </w:t>
      </w:r>
      <w:r w:rsidR="000A3714" w:rsidRPr="004D78D8">
        <w:rPr>
          <w:color w:val="1795D2" w:themeColor="accent1"/>
          <w:u w:val="single"/>
        </w:rPr>
        <w:t>Figure 3-2</w:t>
      </w:r>
      <w:r w:rsidR="00496814" w:rsidRPr="00496814">
        <w:t xml:space="preserve"> shows how EE and BTM PV offsets all growth in the gross summer peak load forecast, making it mostly flat throughout the duration of the forecast horizon. </w:t>
      </w:r>
      <w:r w:rsidR="00BA49AE" w:rsidRPr="00AF47A4">
        <w:rPr>
          <w:color w:val="0070C0"/>
          <w:u w:val="single"/>
        </w:rPr>
        <w:fldChar w:fldCharType="begin"/>
      </w:r>
      <w:r w:rsidR="00BA49AE" w:rsidRPr="00AF47A4">
        <w:rPr>
          <w:color w:val="0070C0"/>
          <w:u w:val="single"/>
        </w:rPr>
        <w:instrText xml:space="preserve"> REF _Ref7618013 \h  \* MERGEFORMAT </w:instrText>
      </w:r>
      <w:r w:rsidR="00BA49AE" w:rsidRPr="00AF47A4">
        <w:rPr>
          <w:color w:val="0070C0"/>
          <w:u w:val="single"/>
        </w:rPr>
      </w:r>
      <w:r w:rsidR="00BA49AE" w:rsidRPr="00AF47A4">
        <w:rPr>
          <w:color w:val="0070C0"/>
          <w:u w:val="single"/>
        </w:rPr>
        <w:fldChar w:fldCharType="separate"/>
      </w:r>
      <w:r w:rsidR="00BA49AE" w:rsidRPr="00AF47A4">
        <w:rPr>
          <w:bCs/>
          <w:color w:val="0070C0"/>
          <w:u w:val="single"/>
        </w:rPr>
        <w:t xml:space="preserve">Figure </w:t>
      </w:r>
      <w:r w:rsidR="00BA49AE" w:rsidRPr="00AF47A4">
        <w:rPr>
          <w:bCs/>
          <w:noProof/>
          <w:color w:val="0070C0"/>
          <w:u w:val="single"/>
        </w:rPr>
        <w:t>3</w:t>
      </w:r>
      <w:r w:rsidR="00BA49AE" w:rsidRPr="00AF47A4">
        <w:rPr>
          <w:bCs/>
          <w:noProof/>
          <w:color w:val="0070C0"/>
          <w:u w:val="single"/>
        </w:rPr>
        <w:noBreakHyphen/>
      </w:r>
      <w:r w:rsidR="00BA49AE" w:rsidRPr="00AF47A4">
        <w:rPr>
          <w:color w:val="0070C0"/>
          <w:u w:val="single"/>
        </w:rPr>
        <w:fldChar w:fldCharType="end"/>
      </w:r>
      <w:r w:rsidR="00BA49AE" w:rsidRPr="00AF47A4">
        <w:rPr>
          <w:color w:val="0070C0"/>
          <w:u w:val="single"/>
        </w:rPr>
        <w:t>3</w:t>
      </w:r>
      <w:r w:rsidR="00496814" w:rsidRPr="00496814">
        <w:t xml:space="preserve"> shows that EE reduces the gross winter peak load, but that it continues to grow, especially in the later years as electrification begins to accelerate. The CAGR for the ISO’s net electric energy use is 1.1% for 2021 through 2030, 0% for the summer peak, and 0.8% for the winter peak.</w:t>
      </w:r>
    </w:p>
    <w:p w:rsidR="00496814" w:rsidRPr="00496814" w:rsidRDefault="00496814" w:rsidP="00496814">
      <w:pPr>
        <w:spacing w:after="0" w:line="240" w:lineRule="auto"/>
        <w:jc w:val="center"/>
      </w:pPr>
      <w:bookmarkStart w:id="225" w:name="Figure_3_1_top"/>
      <w:r w:rsidRPr="00496814">
        <w:rPr>
          <w:noProof/>
        </w:rPr>
        <w:drawing>
          <wp:inline distT="0" distB="0" distL="0" distR="0" wp14:anchorId="079A4BCD" wp14:editId="455AAF12">
            <wp:extent cx="3705225" cy="1914912"/>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723922" cy="1924575"/>
                    </a:xfrm>
                    <a:prstGeom prst="rect">
                      <a:avLst/>
                    </a:prstGeom>
                    <a:noFill/>
                    <a:ln w="3175">
                      <a:solidFill>
                        <a:srgbClr val="000000"/>
                      </a:solidFill>
                    </a:ln>
                  </pic:spPr>
                </pic:pic>
              </a:graphicData>
            </a:graphic>
          </wp:inline>
        </w:drawing>
      </w:r>
      <w:bookmarkEnd w:id="225"/>
    </w:p>
    <w:p w:rsidR="00496814" w:rsidRPr="00496814" w:rsidRDefault="00496814" w:rsidP="00496814">
      <w:pPr>
        <w:widowControl w:val="0"/>
        <w:spacing w:before="120" w:after="480" w:line="240" w:lineRule="auto"/>
        <w:ind w:left="1354" w:right="1354"/>
        <w:rPr>
          <w:rFonts w:ascii="Calibri" w:eastAsia="Times New Roman" w:hAnsi="Calibri"/>
          <w:b/>
          <w:szCs w:val="18"/>
        </w:rPr>
      </w:pPr>
      <w:bookmarkStart w:id="226" w:name="Figure_3_1"/>
      <w:bookmarkStart w:id="227" w:name="_Ref417651782"/>
      <w:bookmarkStart w:id="228" w:name="_Toc484957694"/>
      <w:bookmarkStart w:id="229" w:name="_Toc486233201"/>
      <w:r w:rsidRPr="00496814">
        <w:rPr>
          <w:rFonts w:ascii="Calibri" w:hAnsi="Calibri"/>
          <w:b/>
          <w:bCs/>
          <w:szCs w:val="18"/>
        </w:rPr>
        <w:t xml:space="preserve">Figure </w:t>
      </w:r>
      <w:r w:rsidRPr="00496814">
        <w:rPr>
          <w:rFonts w:ascii="Calibri" w:hAnsi="Calibri"/>
          <w:b/>
          <w:bCs/>
          <w:szCs w:val="18"/>
        </w:rPr>
        <w:fldChar w:fldCharType="begin"/>
      </w:r>
      <w:r w:rsidRPr="00496814">
        <w:rPr>
          <w:rFonts w:ascii="Calibri" w:hAnsi="Calibri"/>
          <w:b/>
          <w:bCs/>
          <w:szCs w:val="18"/>
        </w:rPr>
        <w:instrText xml:space="preserve"> STYLEREF 1 \s </w:instrText>
      </w:r>
      <w:r w:rsidRPr="00496814">
        <w:rPr>
          <w:rFonts w:ascii="Calibri" w:hAnsi="Calibri"/>
          <w:b/>
          <w:bCs/>
          <w:szCs w:val="18"/>
        </w:rPr>
        <w:fldChar w:fldCharType="separate"/>
      </w:r>
      <w:r w:rsidR="007A5925">
        <w:rPr>
          <w:rFonts w:ascii="Calibri" w:hAnsi="Calibri"/>
          <w:b/>
          <w:bCs/>
          <w:noProof/>
          <w:szCs w:val="18"/>
        </w:rPr>
        <w:t>3</w:t>
      </w:r>
      <w:r w:rsidRPr="00496814">
        <w:rPr>
          <w:rFonts w:ascii="Calibri" w:hAnsi="Calibri"/>
          <w:b/>
          <w:bCs/>
          <w:noProof/>
          <w:szCs w:val="18"/>
        </w:rPr>
        <w:fldChar w:fldCharType="end"/>
      </w:r>
      <w:r w:rsidRPr="00496814">
        <w:rPr>
          <w:rFonts w:ascii="Calibri" w:hAnsi="Calibri"/>
          <w:b/>
          <w:bCs/>
          <w:szCs w:val="18"/>
        </w:rPr>
        <w:noBreakHyphen/>
        <w:t>1</w:t>
      </w:r>
      <w:bookmarkEnd w:id="226"/>
      <w:r w:rsidRPr="00496814">
        <w:rPr>
          <w:rFonts w:ascii="Calibri" w:hAnsi="Calibri"/>
          <w:b/>
          <w:bCs/>
          <w:szCs w:val="18"/>
        </w:rPr>
        <w:t>:</w:t>
      </w:r>
      <w:bookmarkEnd w:id="227"/>
      <w:r w:rsidRPr="00496814">
        <w:rPr>
          <w:rFonts w:ascii="Calibri" w:eastAsia="Times New Roman" w:hAnsi="Calibri"/>
          <w:b/>
          <w:szCs w:val="18"/>
        </w:rPr>
        <w:t xml:space="preserve"> RSP21 gross annual energy-use forecast (blue); gross energy forecast minus BTM PV (orange); gross energy forecast net of EE and BTM PV (green) for 2021 to 2030 (MW)</w:t>
      </w:r>
      <w:bookmarkStart w:id="230" w:name="_Ref417651804"/>
      <w:bookmarkStart w:id="231" w:name="_Toc484957695"/>
      <w:bookmarkStart w:id="232" w:name="_Toc486233202"/>
      <w:bookmarkEnd w:id="228"/>
      <w:bookmarkEnd w:id="229"/>
    </w:p>
    <w:p w:rsidR="00496814" w:rsidRPr="00496814" w:rsidRDefault="00496814" w:rsidP="00997878">
      <w:pPr>
        <w:tabs>
          <w:tab w:val="left" w:pos="7920"/>
        </w:tabs>
        <w:spacing w:after="0" w:line="240" w:lineRule="auto"/>
        <w:ind w:left="1440" w:right="1354"/>
        <w:jc w:val="center"/>
        <w:rPr>
          <w:rFonts w:ascii="Calibri" w:hAnsi="Calibri"/>
          <w:b/>
          <w:bCs/>
          <w:szCs w:val="18"/>
        </w:rPr>
      </w:pPr>
      <w:bookmarkStart w:id="233" w:name="Figure_3_2_top"/>
      <w:r w:rsidRPr="00496814">
        <w:rPr>
          <w:noProof/>
        </w:rPr>
        <w:drawing>
          <wp:inline distT="0" distB="0" distL="0" distR="0" wp14:anchorId="42FB16D6" wp14:editId="35A7ECA7">
            <wp:extent cx="3931920" cy="2028481"/>
            <wp:effectExtent l="19050" t="19050" r="1143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931920" cy="2028481"/>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bookmarkEnd w:id="233"/>
    </w:p>
    <w:p w:rsidR="00496814" w:rsidRPr="00496814" w:rsidRDefault="00496814" w:rsidP="00496814">
      <w:pPr>
        <w:spacing w:before="120" w:line="240" w:lineRule="auto"/>
        <w:ind w:left="1530" w:right="1350"/>
        <w:rPr>
          <w:rFonts w:ascii="Calibri" w:hAnsi="Calibri"/>
          <w:b/>
          <w:szCs w:val="18"/>
        </w:rPr>
      </w:pPr>
      <w:bookmarkStart w:id="234" w:name="_Ref13484388"/>
      <w:bookmarkStart w:id="235" w:name="Figure_3_2"/>
      <w:r w:rsidRPr="00496814">
        <w:rPr>
          <w:rFonts w:ascii="Calibri" w:hAnsi="Calibri"/>
          <w:b/>
          <w:bCs/>
          <w:szCs w:val="18"/>
        </w:rPr>
        <w:t xml:space="preserve">Figure </w:t>
      </w:r>
      <w:r w:rsidRPr="00496814">
        <w:rPr>
          <w:rFonts w:ascii="Calibri" w:hAnsi="Calibri"/>
          <w:b/>
          <w:bCs/>
          <w:szCs w:val="18"/>
        </w:rPr>
        <w:fldChar w:fldCharType="begin"/>
      </w:r>
      <w:r w:rsidRPr="00496814">
        <w:rPr>
          <w:rFonts w:ascii="Calibri" w:hAnsi="Calibri"/>
          <w:b/>
          <w:bCs/>
          <w:szCs w:val="18"/>
        </w:rPr>
        <w:instrText xml:space="preserve"> STYLEREF 1 \s </w:instrText>
      </w:r>
      <w:r w:rsidRPr="00496814">
        <w:rPr>
          <w:rFonts w:ascii="Calibri" w:hAnsi="Calibri"/>
          <w:b/>
          <w:bCs/>
          <w:szCs w:val="18"/>
        </w:rPr>
        <w:fldChar w:fldCharType="separate"/>
      </w:r>
      <w:r w:rsidR="007A5925">
        <w:rPr>
          <w:rFonts w:ascii="Calibri" w:hAnsi="Calibri"/>
          <w:b/>
          <w:bCs/>
          <w:noProof/>
          <w:szCs w:val="18"/>
        </w:rPr>
        <w:t>3</w:t>
      </w:r>
      <w:r w:rsidRPr="00496814">
        <w:rPr>
          <w:rFonts w:ascii="Calibri" w:hAnsi="Calibri"/>
          <w:b/>
          <w:bCs/>
          <w:noProof/>
          <w:szCs w:val="18"/>
        </w:rPr>
        <w:fldChar w:fldCharType="end"/>
      </w:r>
      <w:r w:rsidRPr="00496814">
        <w:rPr>
          <w:rFonts w:ascii="Calibri" w:hAnsi="Calibri"/>
          <w:b/>
          <w:bCs/>
          <w:szCs w:val="18"/>
        </w:rPr>
        <w:noBreakHyphen/>
      </w:r>
      <w:bookmarkEnd w:id="230"/>
      <w:bookmarkEnd w:id="234"/>
      <w:r w:rsidRPr="00496814">
        <w:rPr>
          <w:rFonts w:ascii="Calibri" w:hAnsi="Calibri"/>
          <w:b/>
          <w:bCs/>
          <w:szCs w:val="18"/>
        </w:rPr>
        <w:t>2</w:t>
      </w:r>
      <w:bookmarkEnd w:id="235"/>
      <w:r w:rsidRPr="00496814">
        <w:rPr>
          <w:rFonts w:ascii="Calibri" w:hAnsi="Calibri"/>
          <w:b/>
          <w:szCs w:val="18"/>
        </w:rPr>
        <w:t>:</w:t>
      </w:r>
      <w:r w:rsidRPr="00AF47A4">
        <w:rPr>
          <w:rFonts w:ascii="Calibri" w:hAnsi="Calibri"/>
          <w:b/>
          <w:szCs w:val="18"/>
        </w:rPr>
        <w:t xml:space="preserve"> </w:t>
      </w:r>
      <w:r w:rsidR="00AF47A4">
        <w:rPr>
          <w:rFonts w:ascii="Calibri" w:hAnsi="Calibri"/>
          <w:b/>
          <w:szCs w:val="18"/>
        </w:rPr>
        <w:t>RSP21</w:t>
      </w:r>
      <w:r w:rsidR="00851952" w:rsidRPr="00AF47A4">
        <w:rPr>
          <w:rFonts w:ascii="Calibri" w:hAnsi="Calibri"/>
          <w:b/>
          <w:szCs w:val="18"/>
        </w:rPr>
        <w:t xml:space="preserve"> </w:t>
      </w:r>
      <w:r w:rsidRPr="00496814">
        <w:rPr>
          <w:rFonts w:ascii="Calibri" w:hAnsi="Calibri"/>
          <w:b/>
          <w:szCs w:val="18"/>
        </w:rPr>
        <w:t>gross summer peak demand forecast (90/10) (blue); gross demand forecast minus BTM PV (orange); and net of EE and BTM PV demand forecast (green) for 2021 to 2030 (MW)</w:t>
      </w:r>
      <w:bookmarkEnd w:id="231"/>
      <w:bookmarkEnd w:id="232"/>
    </w:p>
    <w:p w:rsidR="00496814" w:rsidRPr="00496814" w:rsidRDefault="00496814" w:rsidP="00496814">
      <w:pPr>
        <w:keepNext/>
        <w:keepLines/>
        <w:spacing w:after="0" w:line="240" w:lineRule="auto"/>
        <w:jc w:val="center"/>
        <w:rPr>
          <w:rFonts w:ascii="Calibri" w:hAnsi="Calibri"/>
          <w:b/>
          <w:bCs/>
          <w:szCs w:val="18"/>
        </w:rPr>
      </w:pPr>
      <w:bookmarkStart w:id="236" w:name="Figure_3_3_top"/>
      <w:r w:rsidRPr="00496814">
        <w:rPr>
          <w:noProof/>
        </w:rPr>
        <w:drawing>
          <wp:inline distT="0" distB="0" distL="0" distR="0" wp14:anchorId="062EA581" wp14:editId="468FE961">
            <wp:extent cx="3798257" cy="1973471"/>
            <wp:effectExtent l="19050" t="19050" r="1206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798257" cy="1973471"/>
                    </a:xfrm>
                    <a:prstGeom prst="rect">
                      <a:avLst/>
                    </a:prstGeom>
                    <a:noFill/>
                    <a:ln w="3175">
                      <a:solidFill>
                        <a:srgbClr val="000000"/>
                      </a:solidFill>
                    </a:ln>
                  </pic:spPr>
                </pic:pic>
              </a:graphicData>
            </a:graphic>
          </wp:inline>
        </w:drawing>
      </w:r>
      <w:bookmarkEnd w:id="236"/>
    </w:p>
    <w:p w:rsidR="00DB6489" w:rsidRDefault="00496814" w:rsidP="00496814">
      <w:pPr>
        <w:spacing w:before="120" w:line="240" w:lineRule="auto"/>
        <w:ind w:left="1526" w:right="1526"/>
        <w:rPr>
          <w:rFonts w:ascii="Calibri" w:hAnsi="Calibri"/>
          <w:b/>
          <w:bCs/>
          <w:szCs w:val="18"/>
        </w:rPr>
      </w:pPr>
      <w:bookmarkStart w:id="237" w:name="_Ref7618013"/>
      <w:bookmarkStart w:id="238" w:name="Figure_3_3"/>
      <w:r w:rsidRPr="00496814">
        <w:rPr>
          <w:rFonts w:ascii="Calibri" w:hAnsi="Calibri"/>
          <w:b/>
          <w:bCs/>
          <w:szCs w:val="18"/>
        </w:rPr>
        <w:t xml:space="preserve">Figure </w:t>
      </w:r>
      <w:r w:rsidRPr="00496814">
        <w:rPr>
          <w:rFonts w:ascii="Calibri" w:hAnsi="Calibri"/>
          <w:b/>
          <w:bCs/>
          <w:szCs w:val="18"/>
        </w:rPr>
        <w:fldChar w:fldCharType="begin"/>
      </w:r>
      <w:r w:rsidRPr="00496814">
        <w:rPr>
          <w:rFonts w:ascii="Calibri" w:hAnsi="Calibri"/>
          <w:b/>
          <w:bCs/>
          <w:szCs w:val="18"/>
        </w:rPr>
        <w:instrText xml:space="preserve"> STYLEREF 1 \s </w:instrText>
      </w:r>
      <w:r w:rsidRPr="00496814">
        <w:rPr>
          <w:rFonts w:ascii="Calibri" w:hAnsi="Calibri"/>
          <w:b/>
          <w:bCs/>
          <w:szCs w:val="18"/>
        </w:rPr>
        <w:fldChar w:fldCharType="separate"/>
      </w:r>
      <w:r w:rsidR="007A5925">
        <w:rPr>
          <w:rFonts w:ascii="Calibri" w:hAnsi="Calibri"/>
          <w:b/>
          <w:bCs/>
          <w:noProof/>
          <w:szCs w:val="18"/>
        </w:rPr>
        <w:t>3</w:t>
      </w:r>
      <w:r w:rsidRPr="00496814">
        <w:rPr>
          <w:rFonts w:ascii="Calibri" w:hAnsi="Calibri"/>
          <w:b/>
          <w:bCs/>
          <w:szCs w:val="18"/>
        </w:rPr>
        <w:fldChar w:fldCharType="end"/>
      </w:r>
      <w:r w:rsidRPr="00496814">
        <w:rPr>
          <w:rFonts w:ascii="Calibri" w:hAnsi="Calibri"/>
          <w:b/>
          <w:bCs/>
          <w:szCs w:val="18"/>
        </w:rPr>
        <w:noBreakHyphen/>
      </w:r>
      <w:bookmarkEnd w:id="237"/>
      <w:r w:rsidRPr="00496814">
        <w:rPr>
          <w:rFonts w:ascii="Calibri" w:hAnsi="Calibri"/>
          <w:b/>
          <w:bCs/>
          <w:szCs w:val="18"/>
        </w:rPr>
        <w:t>3</w:t>
      </w:r>
      <w:bookmarkEnd w:id="238"/>
      <w:r w:rsidRPr="00496814">
        <w:rPr>
          <w:rFonts w:ascii="Calibri" w:hAnsi="Calibri"/>
          <w:b/>
          <w:bCs/>
          <w:szCs w:val="18"/>
        </w:rPr>
        <w:t xml:space="preserve">: </w:t>
      </w:r>
      <w:r w:rsidR="00AF47A4" w:rsidRPr="00AF47A4">
        <w:rPr>
          <w:rFonts w:ascii="Calibri" w:hAnsi="Calibri"/>
          <w:b/>
          <w:bCs/>
          <w:szCs w:val="18"/>
        </w:rPr>
        <w:t>RSP21</w:t>
      </w:r>
      <w:r w:rsidR="00851952" w:rsidRPr="00AF47A4">
        <w:rPr>
          <w:rFonts w:ascii="Calibri" w:hAnsi="Calibri"/>
          <w:b/>
          <w:bCs/>
          <w:szCs w:val="18"/>
        </w:rPr>
        <w:t xml:space="preserve"> </w:t>
      </w:r>
      <w:r w:rsidRPr="00496814">
        <w:rPr>
          <w:rFonts w:ascii="Calibri" w:hAnsi="Calibri"/>
          <w:b/>
          <w:bCs/>
          <w:szCs w:val="18"/>
        </w:rPr>
        <w:t>gross winter peak demand forecast (90/10) (blue); net of EE (green) for 2021 to 2030 (MW</w:t>
      </w:r>
      <w:r w:rsidR="002E2A50">
        <w:rPr>
          <w:rFonts w:ascii="Calibri" w:hAnsi="Calibri"/>
          <w:b/>
          <w:bCs/>
          <w:szCs w:val="18"/>
        </w:rPr>
        <w:t>)</w:t>
      </w:r>
      <w:r w:rsidRPr="00496814">
        <w:rPr>
          <w:rFonts w:ascii="Calibri" w:hAnsi="Calibri"/>
          <w:b/>
          <w:bCs/>
          <w:szCs w:val="18"/>
        </w:rPr>
        <w:t xml:space="preserve"> </w:t>
      </w:r>
    </w:p>
    <w:p w:rsidR="00496814" w:rsidRPr="00496814" w:rsidRDefault="00496814" w:rsidP="00496814">
      <w:pPr>
        <w:spacing w:before="120" w:line="240" w:lineRule="auto"/>
        <w:ind w:left="1526" w:right="1526"/>
        <w:rPr>
          <w:rFonts w:ascii="Calibri" w:hAnsi="Calibri"/>
          <w:b/>
          <w:bCs/>
          <w:szCs w:val="18"/>
        </w:rPr>
      </w:pPr>
      <w:r w:rsidRPr="00AF47A4">
        <w:rPr>
          <w:rFonts w:ascii="Calibri" w:hAnsi="Calibri"/>
          <w:bCs/>
          <w:szCs w:val="18"/>
        </w:rPr>
        <w:t>[Note: BTM PV does not reduce winter peak demand]</w:t>
      </w:r>
    </w:p>
    <w:p w:rsidR="00496814" w:rsidRPr="00496814" w:rsidRDefault="00D37EB1" w:rsidP="00496814">
      <w:hyperlink w:anchor="Table_3_8" w:history="1">
        <w:r w:rsidR="00AF47A4" w:rsidRPr="00AF47A4">
          <w:rPr>
            <w:rStyle w:val="Hyperlink"/>
          </w:rPr>
          <w:t>Table 3-8</w:t>
        </w:r>
      </w:hyperlink>
      <w:r w:rsidR="00AF47A4">
        <w:t xml:space="preserve"> </w:t>
      </w:r>
      <w:r w:rsidR="00496814" w:rsidRPr="00496814">
        <w:t>shows the net load forecast for each of the New England states (</w:t>
      </w:r>
      <w:r w:rsidR="00851952">
        <w:t>megawatt hour (</w:t>
      </w:r>
      <w:r w:rsidR="00496814" w:rsidRPr="00496814">
        <w:t>MWh</w:t>
      </w:r>
      <w:r w:rsidR="00851952">
        <w:t>)</w:t>
      </w:r>
      <w:r w:rsidR="00496814" w:rsidRPr="00496814">
        <w:t xml:space="preserve"> and </w:t>
      </w:r>
      <w:r w:rsidR="00851952">
        <w:t>megawatt (</w:t>
      </w:r>
      <w:r w:rsidR="00496814" w:rsidRPr="00496814">
        <w:t>MW</w:t>
      </w:r>
      <w:r w:rsidR="00851952">
        <w:t>)</w:t>
      </w:r>
      <w:r w:rsidR="00496814" w:rsidRPr="00496814">
        <w:t xml:space="preserve">), and </w:t>
      </w:r>
      <w:hyperlink w:anchor="Table_3_9" w:history="1">
        <w:r w:rsidR="00AF47A4" w:rsidRPr="00AF47A4">
          <w:rPr>
            <w:rStyle w:val="Hyperlink"/>
          </w:rPr>
          <w:t>Table 3-9</w:t>
        </w:r>
      </w:hyperlink>
      <w:r w:rsidR="00496814" w:rsidRPr="00496814">
        <w:t xml:space="preserve"> shows the net load forecast for each of the </w:t>
      </w:r>
      <w:r w:rsidR="00851952" w:rsidRPr="00AF47A4">
        <w:t>Regional System Plan subareas</w:t>
      </w:r>
      <w:r w:rsidR="00496814" w:rsidRPr="00496814">
        <w:t xml:space="preserve">. </w:t>
      </w:r>
    </w:p>
    <w:p w:rsidR="00DB6489" w:rsidRDefault="00DB6489">
      <w:pPr>
        <w:spacing w:after="200" w:line="276" w:lineRule="auto"/>
        <w:rPr>
          <w:rFonts w:ascii="Calibri" w:hAnsi="Calibri"/>
          <w:b/>
          <w:bCs/>
          <w:szCs w:val="18"/>
        </w:rPr>
      </w:pPr>
      <w:bookmarkStart w:id="239" w:name="_Ref417652655"/>
      <w:bookmarkStart w:id="240" w:name="Table_3_8"/>
      <w:bookmarkStart w:id="241" w:name="_Toc484164910"/>
      <w:bookmarkStart w:id="242" w:name="_Toc491244003"/>
      <w:r>
        <w:br w:type="page"/>
      </w:r>
    </w:p>
    <w:p w:rsidR="00496814" w:rsidRPr="00DB6489" w:rsidRDefault="0092247B" w:rsidP="001D69A5">
      <w:pPr>
        <w:pStyle w:val="Caption"/>
      </w:pPr>
      <w:bookmarkStart w:id="243" w:name="_Toc81544630"/>
      <w:r>
        <w:t xml:space="preserve">Table </w:t>
      </w:r>
      <w:fldSimple w:instr=" STYLEREF 1 \s ">
        <w:r w:rsidR="001D2A17">
          <w:rPr>
            <w:noProof/>
          </w:rPr>
          <w:t>3</w:t>
        </w:r>
      </w:fldSimple>
      <w:r w:rsidR="001D2A17">
        <w:noBreakHyphen/>
      </w:r>
      <w:fldSimple w:instr=" SEQ Table \* ARABIC \s 1 ">
        <w:r w:rsidR="001D2A17">
          <w:rPr>
            <w:noProof/>
          </w:rPr>
          <w:t>8</w:t>
        </w:r>
      </w:fldSimple>
      <w:bookmarkEnd w:id="239"/>
      <w:bookmarkEnd w:id="240"/>
      <w:r w:rsidR="00496814" w:rsidRPr="00496814">
        <w:rPr>
          <w:b w:val="0"/>
          <w:bCs w:val="0"/>
        </w:rPr>
        <w:br/>
      </w:r>
      <w:r w:rsidR="00496814" w:rsidRPr="00DB6489">
        <w:rPr>
          <w:bCs w:val="0"/>
        </w:rPr>
        <w:t>State and Systemwide Net Forecasts of Annual and Peak Electric Energy Use,</w:t>
      </w:r>
      <w:r w:rsidR="00496814" w:rsidRPr="00DB6489">
        <w:rPr>
          <w:bCs w:val="0"/>
        </w:rPr>
        <w:br/>
        <w:t>2021/2022 and 2030/2031 (MWh, MW)</w:t>
      </w:r>
      <w:bookmarkEnd w:id="241"/>
      <w:bookmarkEnd w:id="242"/>
      <w:r w:rsidR="00496814" w:rsidRPr="00DB6489">
        <w:rPr>
          <w:bCs w:val="0"/>
          <w:vertAlign w:val="superscript"/>
        </w:rPr>
        <w:t>(a)</w:t>
      </w:r>
      <w:bookmarkEnd w:id="243"/>
    </w:p>
    <w:tbl>
      <w:tblPr>
        <w:tblW w:w="102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717"/>
        <w:gridCol w:w="810"/>
        <w:gridCol w:w="723"/>
        <w:gridCol w:w="646"/>
        <w:gridCol w:w="652"/>
        <w:gridCol w:w="652"/>
        <w:gridCol w:w="660"/>
        <w:gridCol w:w="717"/>
        <w:gridCol w:w="810"/>
        <w:gridCol w:w="810"/>
        <w:gridCol w:w="810"/>
        <w:gridCol w:w="810"/>
        <w:gridCol w:w="720"/>
      </w:tblGrid>
      <w:tr w:rsidR="00496814" w:rsidRPr="00496814" w:rsidTr="006E0ABA">
        <w:trPr>
          <w:cantSplit/>
          <w:jc w:val="center"/>
        </w:trPr>
        <w:tc>
          <w:tcPr>
            <w:tcW w:w="720"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Area</w:t>
            </w:r>
          </w:p>
        </w:tc>
        <w:tc>
          <w:tcPr>
            <w:tcW w:w="2250" w:type="dxa"/>
            <w:gridSpan w:val="3"/>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Energy</w:t>
            </w:r>
          </w:p>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(1,000 MWh)</w:t>
            </w:r>
          </w:p>
        </w:tc>
        <w:tc>
          <w:tcPr>
            <w:tcW w:w="3327" w:type="dxa"/>
            <w:gridSpan w:val="5"/>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Summer Peak Loads (MW)</w:t>
            </w:r>
          </w:p>
        </w:tc>
        <w:tc>
          <w:tcPr>
            <w:tcW w:w="3960" w:type="dxa"/>
            <w:gridSpan w:val="5"/>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Winter Peak Loads (MW)</w:t>
            </w:r>
          </w:p>
        </w:tc>
      </w:tr>
      <w:tr w:rsidR="00496814" w:rsidRPr="00496814" w:rsidTr="006E0ABA">
        <w:trPr>
          <w:cantSplit/>
          <w:jc w:val="center"/>
        </w:trPr>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p>
        </w:tc>
        <w:tc>
          <w:tcPr>
            <w:tcW w:w="2250" w:type="dxa"/>
            <w:gridSpan w:val="3"/>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p>
        </w:tc>
        <w:tc>
          <w:tcPr>
            <w:tcW w:w="1298"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50/50 Load</w:t>
            </w:r>
          </w:p>
        </w:tc>
        <w:tc>
          <w:tcPr>
            <w:tcW w:w="1312"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90/10 Load</w:t>
            </w:r>
          </w:p>
        </w:tc>
        <w:tc>
          <w:tcPr>
            <w:tcW w:w="717"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c>
          <w:tcPr>
            <w:tcW w:w="1620"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50/50 Load</w:t>
            </w:r>
          </w:p>
        </w:tc>
        <w:tc>
          <w:tcPr>
            <w:tcW w:w="1620"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90/10 Load</w:t>
            </w:r>
          </w:p>
        </w:tc>
        <w:tc>
          <w:tcPr>
            <w:tcW w:w="720"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r>
      <w:tr w:rsidR="00496814" w:rsidRPr="00496814" w:rsidTr="006E0ABA">
        <w:trPr>
          <w:cantSplit/>
          <w:jc w:val="center"/>
        </w:trPr>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p>
        </w:tc>
        <w:tc>
          <w:tcPr>
            <w:tcW w:w="717"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723"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c>
          <w:tcPr>
            <w:tcW w:w="646"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652"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652"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66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717"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2021/22</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2030/31</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2021/22</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2030/31</w:t>
            </w:r>
          </w:p>
        </w:tc>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CT</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28,642</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29,540</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6,355</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6,186</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6,792</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6,622</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4,931</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4,806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5,079</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4,954</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55"/>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ME</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12,300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14,571</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1,958</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2,133</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2,064</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2,253</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1,850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2,561</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1,886</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2,651</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3.9</w:t>
            </w: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MA</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55,619</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62,299</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1.3</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11,594</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11,418</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12,584</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12,492</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8,896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9,508</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9,238</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9,922</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55"/>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NH</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11,671</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13,440</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1.6</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2,287</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2,364</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2,423</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2,500</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1,898</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1,974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1,959</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2,042</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RI</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8,250</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8,601</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1,817</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1,879</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2,015</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2,100</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1,206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1,264</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1,240</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1,298</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70"/>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VT</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5,209</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5,509</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0.6</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801</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816</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834</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849</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928</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1,044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947</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1,071</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1.4</w:t>
            </w:r>
          </w:p>
        </w:tc>
      </w:tr>
      <w:tr w:rsidR="00496814" w:rsidRPr="00496814" w:rsidTr="006E0ABA">
        <w:trPr>
          <w:cantSplit/>
          <w:trHeight w:val="270"/>
          <w:jc w:val="center"/>
        </w:trPr>
        <w:tc>
          <w:tcPr>
            <w:tcW w:w="720" w:type="dxa"/>
            <w:shd w:val="clear" w:color="auto" w:fill="1795D2" w:themeFill="accent1"/>
            <w:noWrap/>
            <w:vAlign w:val="center"/>
          </w:tcPr>
          <w:p w:rsidR="00496814" w:rsidRPr="00496814" w:rsidRDefault="00496814" w:rsidP="00496814">
            <w:pPr>
              <w:keepNext/>
              <w:keepLines/>
              <w:spacing w:after="0" w:line="240" w:lineRule="auto"/>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ISO</w:t>
            </w:r>
            <w:r w:rsidRPr="00496814">
              <w:rPr>
                <w:rFonts w:asciiTheme="minorHAnsi" w:hAnsiTheme="minorHAnsi" w:cstheme="minorHAnsi"/>
                <w:b/>
                <w:color w:val="FFFFFF" w:themeColor="background1"/>
                <w:sz w:val="18"/>
                <w:szCs w:val="18"/>
                <w:vertAlign w:val="superscript"/>
              </w:rPr>
              <w:t>(c, d)</w:t>
            </w:r>
          </w:p>
        </w:tc>
        <w:tc>
          <w:tcPr>
            <w:tcW w:w="717"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121,692</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133,960</w:t>
            </w:r>
          </w:p>
        </w:tc>
        <w:tc>
          <w:tcPr>
            <w:tcW w:w="723"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1.1</w:t>
            </w:r>
          </w:p>
        </w:tc>
        <w:tc>
          <w:tcPr>
            <w:tcW w:w="646"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24,810</w:t>
            </w:r>
          </w:p>
        </w:tc>
        <w:tc>
          <w:tcPr>
            <w:tcW w:w="652"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24,796</w:t>
            </w:r>
          </w:p>
        </w:tc>
        <w:tc>
          <w:tcPr>
            <w:tcW w:w="652"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26,711</w:t>
            </w:r>
          </w:p>
        </w:tc>
        <w:tc>
          <w:tcPr>
            <w:tcW w:w="66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26,816</w:t>
            </w:r>
          </w:p>
        </w:tc>
        <w:tc>
          <w:tcPr>
            <w:tcW w:w="717"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0.0</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19,710</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21,158</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20,349</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21,939</w:t>
            </w:r>
          </w:p>
        </w:tc>
        <w:tc>
          <w:tcPr>
            <w:tcW w:w="72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0.8</w:t>
            </w:r>
          </w:p>
        </w:tc>
      </w:tr>
    </w:tbl>
    <w:p w:rsidR="00496814" w:rsidRPr="00FA3C46" w:rsidRDefault="00496814" w:rsidP="002F1C44">
      <w:pPr>
        <w:keepNext/>
        <w:keepLines/>
        <w:numPr>
          <w:ilvl w:val="0"/>
          <w:numId w:val="37"/>
        </w:numPr>
        <w:tabs>
          <w:tab w:val="left" w:pos="8820"/>
        </w:tabs>
        <w:spacing w:after="0" w:line="240" w:lineRule="auto"/>
        <w:ind w:left="-180" w:right="-810" w:hanging="270"/>
        <w:rPr>
          <w:rFonts w:asciiTheme="minorHAnsi" w:eastAsia="Times New Roman" w:hAnsiTheme="minorHAnsi" w:cstheme="minorHAnsi"/>
          <w:bCs/>
          <w:sz w:val="16"/>
          <w:szCs w:val="16"/>
        </w:rPr>
      </w:pPr>
      <w:r w:rsidRPr="00FA3C46">
        <w:rPr>
          <w:rFonts w:asciiTheme="minorHAnsi" w:eastAsia="Times New Roman" w:hAnsiTheme="minorHAnsi" w:cstheme="minorHAnsi"/>
          <w:sz w:val="16"/>
          <w:szCs w:val="16"/>
        </w:rPr>
        <w:t xml:space="preserve">The total load-zone projections and state load projections are similar to the </w:t>
      </w:r>
      <w:r w:rsidR="00851952" w:rsidRPr="00FA3C46">
        <w:rPr>
          <w:rFonts w:asciiTheme="minorHAnsi" w:eastAsia="Times New Roman" w:hAnsiTheme="minorHAnsi" w:cstheme="minorHAnsi"/>
          <w:sz w:val="16"/>
          <w:szCs w:val="16"/>
        </w:rPr>
        <w:t xml:space="preserve">regional system plan </w:t>
      </w:r>
      <w:r w:rsidRPr="00FA3C46">
        <w:rPr>
          <w:rFonts w:asciiTheme="minorHAnsi" w:eastAsia="Times New Roman" w:hAnsiTheme="minorHAnsi" w:cstheme="minorHAnsi"/>
          <w:sz w:val="16"/>
          <w:szCs w:val="16"/>
        </w:rPr>
        <w:t>subarea projections and are available in the ISO’s “</w:t>
      </w:r>
      <w:hyperlink r:id="rId129" w:history="1">
        <w:r w:rsidRPr="00FA3C46">
          <w:rPr>
            <w:rStyle w:val="Hyperlink"/>
            <w:rFonts w:asciiTheme="minorHAnsi" w:hAnsiTheme="minorHAnsi" w:cstheme="minorHAnsi"/>
            <w:sz w:val="16"/>
          </w:rPr>
          <w:t>2021 Forecast Data</w:t>
        </w:r>
      </w:hyperlink>
      <w:r w:rsidRPr="00FA3C46">
        <w:rPr>
          <w:rFonts w:asciiTheme="minorHAnsi" w:eastAsia="Times New Roman" w:hAnsiTheme="minorHAnsi" w:cstheme="minorHAnsi"/>
          <w:color w:val="000000"/>
          <w:sz w:val="16"/>
          <w:szCs w:val="16"/>
        </w:rPr>
        <w:t xml:space="preserve">” file. </w:t>
      </w:r>
      <w:r w:rsidRPr="00FA3C46">
        <w:rPr>
          <w:rFonts w:asciiTheme="minorHAnsi" w:eastAsia="Times New Roman" w:hAnsiTheme="minorHAnsi" w:cstheme="minorHAnsi"/>
          <w:sz w:val="16"/>
          <w:szCs w:val="16"/>
        </w:rPr>
        <w:t>Refer to tabs #2A-2C, “</w:t>
      </w:r>
      <w:r w:rsidRPr="00FA3C46">
        <w:rPr>
          <w:rFonts w:asciiTheme="minorHAnsi" w:eastAsia="Times New Roman" w:hAnsiTheme="minorHAnsi" w:cstheme="minorHAnsi"/>
          <w:bCs/>
          <w:sz w:val="16"/>
          <w:szCs w:val="16"/>
        </w:rPr>
        <w:t xml:space="preserve">ISO-NE Control Area, States, RSP Subareas, and </w:t>
      </w:r>
      <w:r w:rsidR="00851952" w:rsidRPr="00FA3C46">
        <w:rPr>
          <w:rFonts w:asciiTheme="minorHAnsi" w:eastAsia="Times New Roman" w:hAnsiTheme="minorHAnsi" w:cstheme="minorHAnsi"/>
          <w:bCs/>
          <w:sz w:val="16"/>
          <w:szCs w:val="16"/>
        </w:rPr>
        <w:t xml:space="preserve">standard market design </w:t>
      </w:r>
      <w:r w:rsidRPr="00FA3C46">
        <w:rPr>
          <w:rFonts w:asciiTheme="minorHAnsi" w:eastAsia="Times New Roman" w:hAnsiTheme="minorHAnsi" w:cstheme="minorHAnsi"/>
          <w:bCs/>
          <w:sz w:val="16"/>
          <w:szCs w:val="16"/>
        </w:rPr>
        <w:t>Load Zones.”</w:t>
      </w:r>
    </w:p>
    <w:p w:rsidR="00496814" w:rsidRPr="00496814" w:rsidRDefault="00851952" w:rsidP="002F1C44">
      <w:pPr>
        <w:keepNext/>
        <w:keepLines/>
        <w:numPr>
          <w:ilvl w:val="0"/>
          <w:numId w:val="37"/>
        </w:numPr>
        <w:spacing w:after="0" w:line="240" w:lineRule="auto"/>
        <w:ind w:left="-180" w:right="-450" w:hanging="270"/>
        <w:rPr>
          <w:rFonts w:asciiTheme="minorHAnsi" w:eastAsia="Times New Roman" w:hAnsiTheme="minorHAnsi" w:cs="Arial"/>
          <w:bCs/>
          <w:sz w:val="16"/>
          <w:szCs w:val="16"/>
        </w:rPr>
      </w:pPr>
      <w:r>
        <w:rPr>
          <w:rFonts w:asciiTheme="minorHAnsi" w:eastAsia="Times New Roman" w:hAnsiTheme="minorHAnsi" w:cs="Arial"/>
          <w:bCs/>
          <w:sz w:val="16"/>
          <w:szCs w:val="16"/>
        </w:rPr>
        <w:t>Compound Annual Growth Rate (CAGR)</w:t>
      </w:r>
      <w:r w:rsidRPr="00496814">
        <w:rPr>
          <w:rFonts w:asciiTheme="minorHAnsi" w:eastAsia="Times New Roman" w:hAnsiTheme="minorHAnsi" w:cs="Arial"/>
          <w:bCs/>
          <w:sz w:val="16"/>
          <w:szCs w:val="16"/>
        </w:rPr>
        <w:t xml:space="preserve"> </w:t>
      </w:r>
      <w:r w:rsidR="00496814" w:rsidRPr="00496814">
        <w:rPr>
          <w:rFonts w:asciiTheme="minorHAnsi" w:eastAsia="Times New Roman" w:hAnsiTheme="minorHAnsi" w:cs="Arial"/>
          <w:bCs/>
          <w:sz w:val="16"/>
          <w:szCs w:val="16"/>
        </w:rPr>
        <w:t>values shown for the summer and winter peak loads are for the 50/50 forecasts.</w:t>
      </w:r>
    </w:p>
    <w:p w:rsidR="00496814" w:rsidRPr="00496814" w:rsidRDefault="00496814" w:rsidP="001635F9">
      <w:pPr>
        <w:spacing w:after="0" w:line="240" w:lineRule="auto"/>
        <w:ind w:left="-180" w:right="-446" w:hanging="270"/>
        <w:rPr>
          <w:rFonts w:asciiTheme="minorHAnsi" w:hAnsiTheme="minorHAnsi" w:cs="Arial"/>
          <w:bCs/>
          <w:sz w:val="16"/>
          <w:szCs w:val="16"/>
        </w:rPr>
      </w:pPr>
      <w:r w:rsidRPr="00496814">
        <w:rPr>
          <w:rFonts w:asciiTheme="minorHAnsi" w:hAnsiTheme="minorHAnsi" w:cs="Arial"/>
          <w:bCs/>
          <w:sz w:val="16"/>
          <w:szCs w:val="16"/>
        </w:rPr>
        <w:t xml:space="preserve">(c) </w:t>
      </w:r>
      <w:r w:rsidRPr="00496814">
        <w:rPr>
          <w:rFonts w:asciiTheme="minorHAnsi" w:hAnsiTheme="minorHAnsi" w:cs="Arial"/>
          <w:bCs/>
          <w:sz w:val="16"/>
          <w:szCs w:val="16"/>
        </w:rPr>
        <w:tab/>
        <w:t xml:space="preserve">The net forecasts are not used in the development of ICR. </w:t>
      </w:r>
    </w:p>
    <w:p w:rsidR="00496814" w:rsidRPr="00496814" w:rsidRDefault="00496814" w:rsidP="001D69A5">
      <w:pPr>
        <w:spacing w:line="240" w:lineRule="auto"/>
        <w:ind w:left="-172" w:right="-446" w:hanging="274"/>
        <w:rPr>
          <w:rFonts w:asciiTheme="minorHAnsi" w:hAnsiTheme="minorHAnsi" w:cs="Arial"/>
          <w:bCs/>
          <w:sz w:val="16"/>
          <w:szCs w:val="16"/>
        </w:rPr>
      </w:pPr>
      <w:r w:rsidRPr="00496814">
        <w:rPr>
          <w:rFonts w:asciiTheme="minorHAnsi" w:hAnsiTheme="minorHAnsi" w:cs="Arial"/>
          <w:bCs/>
          <w:sz w:val="16"/>
          <w:szCs w:val="16"/>
        </w:rPr>
        <w:t xml:space="preserve">(d) </w:t>
      </w:r>
      <w:r w:rsidRPr="00496814">
        <w:rPr>
          <w:rFonts w:asciiTheme="minorHAnsi" w:hAnsiTheme="minorHAnsi" w:cs="Arial"/>
          <w:bCs/>
          <w:sz w:val="16"/>
          <w:szCs w:val="16"/>
        </w:rPr>
        <w:tab/>
        <w:t>Totals may not equal the sum because of rounding and may not exactly match the results for other tables in this section.</w:t>
      </w:r>
    </w:p>
    <w:p w:rsidR="00DB6489" w:rsidRDefault="00DB6489">
      <w:pPr>
        <w:spacing w:after="200" w:line="276" w:lineRule="auto"/>
        <w:rPr>
          <w:rFonts w:ascii="Calibri" w:hAnsi="Calibri"/>
          <w:b/>
          <w:bCs/>
          <w:szCs w:val="18"/>
        </w:rPr>
      </w:pPr>
      <w:bookmarkStart w:id="244" w:name="_Ref418891493"/>
      <w:bookmarkStart w:id="245" w:name="Table_3_9"/>
      <w:bookmarkStart w:id="246" w:name="_Toc484164911"/>
      <w:bookmarkStart w:id="247" w:name="_Toc491244004"/>
      <w:r>
        <w:br w:type="page"/>
      </w:r>
    </w:p>
    <w:p w:rsidR="00496814" w:rsidRPr="00DB6489" w:rsidRDefault="0092247B" w:rsidP="001D69A5">
      <w:pPr>
        <w:pStyle w:val="Caption"/>
        <w:rPr>
          <w:vertAlign w:val="superscript"/>
        </w:rPr>
      </w:pPr>
      <w:bookmarkStart w:id="248" w:name="_Toc81544631"/>
      <w:r w:rsidRPr="00DB6489">
        <w:t xml:space="preserve">Table </w:t>
      </w:r>
      <w:fldSimple w:instr=" STYLEREF 1 \s ">
        <w:r w:rsidR="001D2A17">
          <w:rPr>
            <w:noProof/>
          </w:rPr>
          <w:t>3</w:t>
        </w:r>
      </w:fldSimple>
      <w:r w:rsidR="001D2A17">
        <w:noBreakHyphen/>
      </w:r>
      <w:fldSimple w:instr=" SEQ Table \* ARABIC \s 1 ">
        <w:r w:rsidR="001D2A17">
          <w:rPr>
            <w:noProof/>
          </w:rPr>
          <w:t>9</w:t>
        </w:r>
      </w:fldSimple>
      <w:bookmarkEnd w:id="244"/>
      <w:bookmarkEnd w:id="245"/>
      <w:r w:rsidR="00496814" w:rsidRPr="00DB6489">
        <w:rPr>
          <w:bCs w:val="0"/>
        </w:rPr>
        <w:br/>
        <w:t>Forecast of Net Demand in RSP Subareas, 2021/2022 and 2030/2031 (GWh, MW)</w:t>
      </w:r>
      <w:r w:rsidR="00496814" w:rsidRPr="00DB6489">
        <w:rPr>
          <w:bCs w:val="0"/>
          <w:vertAlign w:val="superscript"/>
        </w:rPr>
        <w:t>(a)</w:t>
      </w:r>
      <w:bookmarkEnd w:id="246"/>
      <w:bookmarkEnd w:id="247"/>
      <w:bookmarkEnd w:id="248"/>
    </w:p>
    <w:tbl>
      <w:tblPr>
        <w:tblW w:w="10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172"/>
        <w:gridCol w:w="709"/>
        <w:gridCol w:w="711"/>
        <w:gridCol w:w="680"/>
        <w:gridCol w:w="742"/>
        <w:gridCol w:w="698"/>
        <w:gridCol w:w="724"/>
        <w:gridCol w:w="626"/>
        <w:gridCol w:w="630"/>
        <w:gridCol w:w="810"/>
        <w:gridCol w:w="810"/>
        <w:gridCol w:w="812"/>
        <w:gridCol w:w="810"/>
        <w:gridCol w:w="596"/>
      </w:tblGrid>
      <w:tr w:rsidR="00496814" w:rsidRPr="00496814" w:rsidTr="006E0ABA">
        <w:trPr>
          <w:cantSplit/>
          <w:jc w:val="center"/>
        </w:trPr>
        <w:tc>
          <w:tcPr>
            <w:tcW w:w="1172"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Area</w:t>
            </w:r>
          </w:p>
        </w:tc>
        <w:tc>
          <w:tcPr>
            <w:tcW w:w="2100" w:type="dxa"/>
            <w:gridSpan w:val="3"/>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Energy</w:t>
            </w:r>
          </w:p>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(1,000 MWh)</w:t>
            </w:r>
          </w:p>
        </w:tc>
        <w:tc>
          <w:tcPr>
            <w:tcW w:w="3420" w:type="dxa"/>
            <w:gridSpan w:val="5"/>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Summer Peak Loads (MW)</w:t>
            </w:r>
          </w:p>
        </w:tc>
        <w:tc>
          <w:tcPr>
            <w:tcW w:w="3838" w:type="dxa"/>
            <w:gridSpan w:val="5"/>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Winter Peak Loads (MW)</w:t>
            </w:r>
          </w:p>
        </w:tc>
      </w:tr>
      <w:tr w:rsidR="00496814" w:rsidRPr="00496814" w:rsidTr="006E0ABA">
        <w:trPr>
          <w:cantSplit/>
          <w:jc w:val="center"/>
        </w:trPr>
        <w:tc>
          <w:tcPr>
            <w:tcW w:w="1172"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p>
        </w:tc>
        <w:tc>
          <w:tcPr>
            <w:tcW w:w="2100" w:type="dxa"/>
            <w:gridSpan w:val="3"/>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50/50 Load</w:t>
            </w:r>
          </w:p>
        </w:tc>
        <w:tc>
          <w:tcPr>
            <w:tcW w:w="135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90/10 Load</w:t>
            </w:r>
          </w:p>
        </w:tc>
        <w:tc>
          <w:tcPr>
            <w:tcW w:w="630"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b/>
                <w:color w:val="FFFFFF" w:themeColor="background1"/>
                <w:sz w:val="18"/>
                <w:szCs w:val="18"/>
              </w:rPr>
              <w:t>CAGR</w:t>
            </w:r>
            <w:r w:rsidRPr="00496814">
              <w:rPr>
                <w:rFonts w:asciiTheme="majorHAnsi" w:hAnsiTheme="majorHAnsi"/>
                <w:b/>
                <w:color w:val="FFFFFF" w:themeColor="background1"/>
                <w:sz w:val="16"/>
                <w:szCs w:val="16"/>
                <w:vertAlign w:val="superscript"/>
              </w:rPr>
              <w:t>(b)</w:t>
            </w:r>
          </w:p>
        </w:tc>
        <w:tc>
          <w:tcPr>
            <w:tcW w:w="162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50/50 Load</w:t>
            </w:r>
          </w:p>
        </w:tc>
        <w:tc>
          <w:tcPr>
            <w:tcW w:w="1622"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90/10 Load</w:t>
            </w:r>
          </w:p>
        </w:tc>
        <w:tc>
          <w:tcPr>
            <w:tcW w:w="596"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b/>
                <w:color w:val="FFFFFF" w:themeColor="background1"/>
                <w:sz w:val="18"/>
                <w:szCs w:val="18"/>
              </w:rPr>
              <w:t>CAGR</w:t>
            </w:r>
            <w:r w:rsidRPr="00496814">
              <w:rPr>
                <w:rFonts w:asciiTheme="majorHAnsi" w:hAnsiTheme="majorHAnsi"/>
                <w:b/>
                <w:color w:val="FFFFFF" w:themeColor="background1"/>
                <w:sz w:val="16"/>
                <w:szCs w:val="16"/>
                <w:vertAlign w:val="superscript"/>
              </w:rPr>
              <w:t>(b)</w:t>
            </w:r>
          </w:p>
        </w:tc>
      </w:tr>
      <w:tr w:rsidR="00496814" w:rsidRPr="00496814" w:rsidTr="006E0ABA">
        <w:trPr>
          <w:cantSplit/>
          <w:jc w:val="center"/>
        </w:trPr>
        <w:tc>
          <w:tcPr>
            <w:tcW w:w="1172"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c>
          <w:tcPr>
            <w:tcW w:w="709"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711"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68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CAGR</w:t>
            </w:r>
            <w:r w:rsidRPr="00496814">
              <w:rPr>
                <w:rFonts w:asciiTheme="majorHAnsi" w:hAnsiTheme="majorHAnsi"/>
                <w:b/>
                <w:color w:val="FFFFFF" w:themeColor="background1"/>
                <w:sz w:val="16"/>
                <w:szCs w:val="16"/>
                <w:vertAlign w:val="superscript"/>
              </w:rPr>
              <w:t>(b)</w:t>
            </w:r>
          </w:p>
        </w:tc>
        <w:tc>
          <w:tcPr>
            <w:tcW w:w="742"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698"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724"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626"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630"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2021/22</w:t>
            </w: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2030/31</w:t>
            </w:r>
          </w:p>
        </w:tc>
        <w:tc>
          <w:tcPr>
            <w:tcW w:w="812"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2021/22</w:t>
            </w: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2030/31</w:t>
            </w:r>
          </w:p>
        </w:tc>
        <w:tc>
          <w:tcPr>
            <w:tcW w:w="596"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BHE</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1,751</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2,079</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278</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304</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293</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321</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264</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366</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269</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378</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ME</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5,930</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7,056</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928</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1,013</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978</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1,069</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1,253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1,297</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SME</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4,437</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5,255</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725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790</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764</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834</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656</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907</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668</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939</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NH</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9,905</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11,348</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1,928</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1,988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2,043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2,103</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1,683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1,664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1,740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VT</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6,631</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7,174</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1,094</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1,121</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1,145</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1,172</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1,151</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1,273</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1,308</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BOSTON</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26,096</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29,675</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5,453</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5,448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5,911</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5,949</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4,129</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4,423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4,288</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4,615</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CMA/NEMA</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7,202</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7,952</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1,490</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1,449</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1,617</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1,585</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1,160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1,229</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1,205</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1,282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0.6</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WMA</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8,494</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9,342</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1,696</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1,658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1,842</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1,816</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1,426</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1,519</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1,480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1,584</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0.7</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SEMA</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12,112</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13,364</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2,555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2,473</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2,779</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2,712</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1,927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2,064</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2,000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2,152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RI</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10,853</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11,539</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0.7</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2,389</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2,444</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2,633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2,714</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1,695</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1,665</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1,750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CT</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13,737</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14,119</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3,047</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2,965</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3,258</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3,175</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2,377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2,321</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2,449</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2,392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SWCT</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9,125</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9,382</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2,024</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1,965</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2,163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2,104</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1,574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1,532</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1,621</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NOR</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5,419</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5,675</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1,205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1,179</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1,287</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1,260</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917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893</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945</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920</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1795D2" w:themeFill="accent1"/>
            <w:noWrap/>
            <w:tcMar>
              <w:left w:w="58" w:type="dxa"/>
              <w:right w:w="29" w:type="dxa"/>
            </w:tcMar>
          </w:tcPr>
          <w:p w:rsidR="00496814" w:rsidRPr="00496814" w:rsidRDefault="00496814" w:rsidP="00496814">
            <w:pPr>
              <w:keepNext/>
              <w:keepLines/>
              <w:spacing w:after="0" w:line="240" w:lineRule="auto"/>
              <w:jc w:val="center"/>
              <w:rPr>
                <w:rFonts w:asciiTheme="minorHAnsi" w:hAnsiTheme="minorHAnsi" w:cstheme="minorHAnsi"/>
                <w:b/>
                <w:bCs/>
                <w:color w:val="FFFFFF"/>
                <w:sz w:val="18"/>
                <w:szCs w:val="18"/>
              </w:rPr>
            </w:pPr>
            <w:r w:rsidRPr="00496814">
              <w:rPr>
                <w:rFonts w:asciiTheme="minorHAnsi" w:hAnsiTheme="minorHAnsi" w:cstheme="minorHAnsi"/>
                <w:b/>
                <w:bCs/>
                <w:color w:val="FFFFFF"/>
                <w:sz w:val="18"/>
                <w:szCs w:val="18"/>
              </w:rPr>
              <w:t>ISO total</w:t>
            </w:r>
            <w:r w:rsidRPr="00496814">
              <w:rPr>
                <w:rFonts w:asciiTheme="minorHAnsi" w:hAnsiTheme="minorHAnsi" w:cstheme="minorHAnsi"/>
                <w:b/>
                <w:bCs/>
                <w:color w:val="FFFFFF"/>
                <w:sz w:val="18"/>
                <w:szCs w:val="18"/>
                <w:vertAlign w:val="superscript"/>
              </w:rPr>
              <w:t>(a, b)</w:t>
            </w:r>
          </w:p>
        </w:tc>
        <w:tc>
          <w:tcPr>
            <w:tcW w:w="709"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121,692</w:t>
            </w:r>
          </w:p>
        </w:tc>
        <w:tc>
          <w:tcPr>
            <w:tcW w:w="711"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133,960</w:t>
            </w:r>
          </w:p>
        </w:tc>
        <w:tc>
          <w:tcPr>
            <w:tcW w:w="68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1.1</w:t>
            </w:r>
          </w:p>
        </w:tc>
        <w:tc>
          <w:tcPr>
            <w:tcW w:w="742"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24,811</w:t>
            </w:r>
          </w:p>
        </w:tc>
        <w:tc>
          <w:tcPr>
            <w:tcW w:w="698"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24,796</w:t>
            </w:r>
          </w:p>
        </w:tc>
        <w:tc>
          <w:tcPr>
            <w:tcW w:w="724"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26,712</w:t>
            </w:r>
          </w:p>
        </w:tc>
        <w:tc>
          <w:tcPr>
            <w:tcW w:w="626"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26,816</w:t>
            </w:r>
          </w:p>
        </w:tc>
        <w:tc>
          <w:tcPr>
            <w:tcW w:w="63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0.0</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19,711</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21,158</w:t>
            </w:r>
          </w:p>
        </w:tc>
        <w:tc>
          <w:tcPr>
            <w:tcW w:w="812"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20,350</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21,938</w:t>
            </w:r>
          </w:p>
        </w:tc>
        <w:tc>
          <w:tcPr>
            <w:tcW w:w="596"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0.8</w:t>
            </w:r>
          </w:p>
        </w:tc>
      </w:tr>
    </w:tbl>
    <w:p w:rsidR="00496814" w:rsidRPr="00496814" w:rsidRDefault="00496814" w:rsidP="002F1C44">
      <w:pPr>
        <w:keepNext/>
        <w:keepLines/>
        <w:numPr>
          <w:ilvl w:val="0"/>
          <w:numId w:val="38"/>
        </w:numPr>
        <w:tabs>
          <w:tab w:val="left" w:pos="8820"/>
        </w:tabs>
        <w:spacing w:after="0" w:line="240" w:lineRule="auto"/>
        <w:ind w:left="-450" w:right="-810" w:hanging="270"/>
        <w:rPr>
          <w:rFonts w:asciiTheme="minorHAnsi" w:eastAsia="Times New Roman" w:hAnsiTheme="minorHAnsi" w:cs="Arial"/>
          <w:bCs/>
          <w:sz w:val="16"/>
          <w:szCs w:val="16"/>
        </w:rPr>
      </w:pPr>
      <w:r w:rsidRPr="00496814">
        <w:rPr>
          <w:rFonts w:asciiTheme="minorHAnsi" w:eastAsia="Times New Roman" w:hAnsiTheme="minorHAnsi" w:cs="Arial"/>
          <w:sz w:val="16"/>
          <w:szCs w:val="16"/>
        </w:rPr>
        <w:t>The total load-zone projections and state load projections are similar to the RSP subarea projections and are available in the ISO’s “</w:t>
      </w:r>
      <w:hyperlink r:id="rId130" w:history="1">
        <w:r w:rsidRPr="00496814">
          <w:rPr>
            <w:rFonts w:asciiTheme="minorHAnsi" w:eastAsia="Times New Roman" w:hAnsiTheme="minorHAnsi" w:cs="Arial"/>
            <w:color w:val="1795D2" w:themeColor="accent1"/>
            <w:sz w:val="16"/>
            <w:szCs w:val="16"/>
            <w:u w:val="single"/>
          </w:rPr>
          <w:t>2021 Forecast Data</w:t>
        </w:r>
      </w:hyperlink>
      <w:r w:rsidRPr="00496814">
        <w:rPr>
          <w:rFonts w:asciiTheme="minorHAnsi" w:eastAsia="Times New Roman" w:hAnsiTheme="minorHAnsi" w:cs="Arial"/>
          <w:color w:val="000000"/>
          <w:sz w:val="16"/>
          <w:szCs w:val="16"/>
        </w:rPr>
        <w:t xml:space="preserve">” file. </w:t>
      </w:r>
      <w:r w:rsidRPr="00496814">
        <w:rPr>
          <w:rFonts w:asciiTheme="minorHAnsi" w:eastAsia="Times New Roman" w:hAnsiTheme="minorHAnsi" w:cs="Arial"/>
          <w:sz w:val="16"/>
          <w:szCs w:val="16"/>
        </w:rPr>
        <w:t>Refer to tabs #2A-2C, “</w:t>
      </w:r>
      <w:r w:rsidRPr="00496814">
        <w:rPr>
          <w:rFonts w:asciiTheme="minorHAnsi" w:eastAsia="Times New Roman" w:hAnsiTheme="minorHAnsi" w:cs="Arial"/>
          <w:bCs/>
          <w:sz w:val="16"/>
          <w:szCs w:val="16"/>
        </w:rPr>
        <w:t>ISO-NE Control Area, States, RSP Subareas, and SMD Load Zones.”</w:t>
      </w:r>
    </w:p>
    <w:p w:rsidR="00496814" w:rsidRPr="00496814" w:rsidRDefault="00496814" w:rsidP="002F1C44">
      <w:pPr>
        <w:keepNext/>
        <w:keepLines/>
        <w:numPr>
          <w:ilvl w:val="0"/>
          <w:numId w:val="38"/>
        </w:numPr>
        <w:tabs>
          <w:tab w:val="left" w:pos="8820"/>
        </w:tabs>
        <w:spacing w:after="0" w:line="240" w:lineRule="auto"/>
        <w:ind w:left="-450" w:right="-720" w:hanging="270"/>
        <w:rPr>
          <w:rFonts w:asciiTheme="minorHAnsi" w:eastAsia="Times New Roman" w:hAnsiTheme="minorHAnsi" w:cs="Arial"/>
          <w:bCs/>
          <w:sz w:val="16"/>
          <w:szCs w:val="16"/>
        </w:rPr>
      </w:pPr>
      <w:r w:rsidRPr="00496814">
        <w:rPr>
          <w:rFonts w:asciiTheme="minorHAnsi" w:eastAsia="Times New Roman" w:hAnsiTheme="minorHAnsi" w:cs="Arial"/>
          <w:bCs/>
          <w:sz w:val="16"/>
          <w:szCs w:val="16"/>
        </w:rPr>
        <w:t>CAGR values shown for the summer and winter peak loads are for the 50/50 forecasts.</w:t>
      </w:r>
    </w:p>
    <w:p w:rsidR="00496814" w:rsidRPr="00496814" w:rsidRDefault="00496814" w:rsidP="001635F9">
      <w:pPr>
        <w:keepNext/>
        <w:keepLines/>
        <w:tabs>
          <w:tab w:val="left" w:pos="8820"/>
        </w:tabs>
        <w:spacing w:after="0" w:line="240" w:lineRule="auto"/>
        <w:ind w:left="-450" w:right="-720" w:hanging="270"/>
        <w:rPr>
          <w:rFonts w:asciiTheme="minorHAnsi" w:hAnsiTheme="minorHAnsi" w:cs="Arial"/>
          <w:bCs/>
          <w:sz w:val="16"/>
          <w:szCs w:val="16"/>
        </w:rPr>
      </w:pPr>
      <w:r w:rsidRPr="00496814">
        <w:rPr>
          <w:rFonts w:asciiTheme="minorHAnsi" w:hAnsiTheme="minorHAnsi" w:cs="Arial"/>
          <w:bCs/>
          <w:sz w:val="16"/>
          <w:szCs w:val="16"/>
        </w:rPr>
        <w:t xml:space="preserve">(c) </w:t>
      </w:r>
      <w:r w:rsidRPr="00496814">
        <w:rPr>
          <w:rFonts w:asciiTheme="minorHAnsi" w:hAnsiTheme="minorHAnsi" w:cs="Arial"/>
          <w:bCs/>
          <w:sz w:val="16"/>
          <w:szCs w:val="16"/>
        </w:rPr>
        <w:tab/>
        <w:t>The net forecasts are not used in the development of ICR.</w:t>
      </w:r>
    </w:p>
    <w:p w:rsidR="00496814" w:rsidRPr="00496814" w:rsidRDefault="00496814" w:rsidP="001635F9">
      <w:pPr>
        <w:tabs>
          <w:tab w:val="left" w:pos="8820"/>
        </w:tabs>
        <w:spacing w:after="0" w:line="240" w:lineRule="auto"/>
        <w:ind w:left="-450" w:right="-720" w:hanging="270"/>
        <w:rPr>
          <w:rFonts w:asciiTheme="minorHAnsi" w:hAnsiTheme="minorHAnsi" w:cs="Arial"/>
          <w:bCs/>
          <w:sz w:val="16"/>
          <w:szCs w:val="16"/>
        </w:rPr>
      </w:pPr>
      <w:r w:rsidRPr="00496814">
        <w:rPr>
          <w:rFonts w:asciiTheme="minorHAnsi" w:hAnsiTheme="minorHAnsi" w:cs="Arial"/>
          <w:bCs/>
          <w:sz w:val="16"/>
          <w:szCs w:val="16"/>
        </w:rPr>
        <w:t>(d)</w:t>
      </w:r>
      <w:r w:rsidRPr="00496814">
        <w:rPr>
          <w:rFonts w:asciiTheme="minorHAnsi" w:hAnsiTheme="minorHAnsi" w:cs="Arial"/>
          <w:bCs/>
          <w:sz w:val="16"/>
          <w:szCs w:val="16"/>
        </w:rPr>
        <w:tab/>
        <w:t>Totals may not equal the sum because of rounding and may not exactly match the results for other tables in this section.</w:t>
      </w:r>
    </w:p>
    <w:p w:rsidR="001635F9" w:rsidRDefault="001635F9" w:rsidP="00496814"/>
    <w:p w:rsidR="00496814" w:rsidRPr="00496814" w:rsidRDefault="00496814" w:rsidP="00496814">
      <w:r w:rsidRPr="00496814">
        <w:t>The net systemwide load factor (</w:t>
      </w:r>
      <w:r w:rsidRPr="00496814">
        <w:rPr>
          <w:iCs/>
        </w:rPr>
        <w:t>i.e.</w:t>
      </w:r>
      <w:r w:rsidRPr="00496814">
        <w:t>, the ratio of the average hourly load during a year to peak hourly load) based on the net 50/50 demand and annual energy forecasts increases over the forecast horizon from 56.0% to 61.7%. This increasing load factor is largely attributable to the anticipated impacts of electrification, which impact winter demand and energy use much more than summer, and are forecasted to cause the summer and winter peak demand to begin to converge over the foreca</w:t>
      </w:r>
      <w:r w:rsidRPr="00C95BA1">
        <w:t xml:space="preserve">st horizon. </w:t>
      </w:r>
      <w:hyperlink w:anchor="Figure_3_6" w:history="1">
        <w:r w:rsidRPr="00C95BA1">
          <w:rPr>
            <w:rStyle w:val="Hyperlink"/>
          </w:rPr>
          <w:t>Figure 3-6</w:t>
        </w:r>
      </w:hyperlink>
      <w:r w:rsidRPr="00C95BA1">
        <w:t xml:space="preserve"> illu</w:t>
      </w:r>
      <w:r w:rsidRPr="00496814">
        <w:t>strates the relationship between historical and forecasted summer and winter seasonal net peak demand over the period 1980-2030. The New England system was a winter</w:t>
      </w:r>
      <w:r w:rsidR="00AF47A4">
        <w:t xml:space="preserve"> </w:t>
      </w:r>
      <w:r w:rsidRPr="00496814">
        <w:t>peaking system until the late 1980s, after which time summer demand steadily increased due to the increasing use of air-conditioning across the region. Beyond the current 10-year planning horizon, increased electrification needed to achieve long-term decarbonization goals set by the states will likely cause the region to become a winter</w:t>
      </w:r>
      <w:r w:rsidR="00AF47A4">
        <w:t xml:space="preserve"> </w:t>
      </w:r>
      <w:r w:rsidRPr="00496814">
        <w:t>peaking system once again.</w:t>
      </w:r>
    </w:p>
    <w:p w:rsidR="00496814" w:rsidRPr="00496814" w:rsidRDefault="00496814" w:rsidP="00496814">
      <w:pPr>
        <w:keepNext/>
        <w:keepLines/>
        <w:spacing w:after="0" w:line="240" w:lineRule="auto"/>
        <w:jc w:val="center"/>
        <w:rPr>
          <w:rFonts w:ascii="Calibri" w:hAnsi="Calibri"/>
          <w:b/>
          <w:bCs/>
          <w:szCs w:val="18"/>
        </w:rPr>
      </w:pPr>
      <w:bookmarkStart w:id="249" w:name="Figure_3_4_top"/>
      <w:bookmarkStart w:id="250" w:name="Figure_3_6"/>
      <w:r w:rsidRPr="00496814">
        <w:rPr>
          <w:noProof/>
        </w:rPr>
        <w:drawing>
          <wp:inline distT="0" distB="0" distL="0" distR="0" wp14:anchorId="19F90BD4" wp14:editId="0247727A">
            <wp:extent cx="5925312" cy="2962656"/>
            <wp:effectExtent l="19050" t="19050" r="1841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5925312" cy="2962656"/>
                    </a:xfrm>
                    <a:prstGeom prst="rect">
                      <a:avLst/>
                    </a:prstGeom>
                    <a:noFill/>
                    <a:ln w="3175">
                      <a:solidFill>
                        <a:srgbClr val="000000"/>
                      </a:solidFill>
                    </a:ln>
                  </pic:spPr>
                </pic:pic>
              </a:graphicData>
            </a:graphic>
          </wp:inline>
        </w:drawing>
      </w:r>
      <w:bookmarkEnd w:id="249"/>
      <w:bookmarkEnd w:id="250"/>
    </w:p>
    <w:p w:rsidR="00496814" w:rsidRPr="00496814" w:rsidRDefault="00496814" w:rsidP="00496814">
      <w:pPr>
        <w:spacing w:before="120" w:line="240" w:lineRule="auto"/>
        <w:ind w:left="1526" w:right="1526"/>
        <w:rPr>
          <w:rFonts w:ascii="Calibri" w:hAnsi="Calibri"/>
          <w:szCs w:val="18"/>
        </w:rPr>
      </w:pPr>
      <w:bookmarkStart w:id="251" w:name="Figure_3_4"/>
      <w:r w:rsidRPr="00496814">
        <w:rPr>
          <w:rFonts w:ascii="Calibri" w:hAnsi="Calibri"/>
          <w:b/>
          <w:bCs/>
          <w:szCs w:val="18"/>
        </w:rPr>
        <w:t xml:space="preserve">Figure </w:t>
      </w:r>
      <w:r w:rsidRPr="00496814">
        <w:rPr>
          <w:rFonts w:ascii="Calibri" w:hAnsi="Calibri"/>
          <w:b/>
          <w:bCs/>
          <w:szCs w:val="18"/>
        </w:rPr>
        <w:fldChar w:fldCharType="begin"/>
      </w:r>
      <w:r w:rsidRPr="00496814">
        <w:rPr>
          <w:rFonts w:ascii="Calibri" w:hAnsi="Calibri"/>
          <w:b/>
          <w:bCs/>
          <w:szCs w:val="18"/>
        </w:rPr>
        <w:instrText xml:space="preserve"> STYLEREF 1 \s </w:instrText>
      </w:r>
      <w:r w:rsidRPr="00496814">
        <w:rPr>
          <w:rFonts w:ascii="Calibri" w:hAnsi="Calibri"/>
          <w:b/>
          <w:bCs/>
          <w:szCs w:val="18"/>
        </w:rPr>
        <w:fldChar w:fldCharType="separate"/>
      </w:r>
      <w:r w:rsidR="007A5925">
        <w:rPr>
          <w:rFonts w:ascii="Calibri" w:hAnsi="Calibri"/>
          <w:b/>
          <w:bCs/>
          <w:noProof/>
          <w:szCs w:val="18"/>
        </w:rPr>
        <w:t>3</w:t>
      </w:r>
      <w:r w:rsidRPr="00496814">
        <w:rPr>
          <w:rFonts w:ascii="Calibri" w:hAnsi="Calibri"/>
          <w:b/>
          <w:bCs/>
          <w:szCs w:val="18"/>
        </w:rPr>
        <w:fldChar w:fldCharType="end"/>
      </w:r>
      <w:r w:rsidRPr="00496814">
        <w:rPr>
          <w:rFonts w:ascii="Calibri" w:hAnsi="Calibri"/>
          <w:b/>
          <w:bCs/>
          <w:szCs w:val="18"/>
        </w:rPr>
        <w:noBreakHyphen/>
      </w:r>
      <w:bookmarkEnd w:id="251"/>
      <w:r w:rsidR="00AF47A4">
        <w:rPr>
          <w:rFonts w:ascii="Calibri" w:hAnsi="Calibri"/>
          <w:b/>
          <w:bCs/>
          <w:szCs w:val="18"/>
        </w:rPr>
        <w:t>6</w:t>
      </w:r>
      <w:r w:rsidRPr="00496814">
        <w:rPr>
          <w:rFonts w:ascii="Calibri" w:hAnsi="Calibri"/>
          <w:b/>
          <w:bCs/>
          <w:szCs w:val="18"/>
        </w:rPr>
        <w:t>: Historical and forecasted summer/winter season</w:t>
      </w:r>
      <w:r w:rsidR="002E2A50">
        <w:rPr>
          <w:rFonts w:ascii="Calibri" w:hAnsi="Calibri"/>
          <w:b/>
          <w:bCs/>
          <w:szCs w:val="18"/>
        </w:rPr>
        <w:t>al net peak demand, 1980-2030</w:t>
      </w:r>
    </w:p>
    <w:p w:rsidR="00496814" w:rsidRPr="00496814" w:rsidRDefault="00496814" w:rsidP="00496814">
      <w:pPr>
        <w:tabs>
          <w:tab w:val="left" w:pos="8820"/>
        </w:tabs>
        <w:spacing w:line="240" w:lineRule="auto"/>
        <w:ind w:right="-720"/>
      </w:pPr>
    </w:p>
    <w:p w:rsidR="00496814" w:rsidRPr="00496814" w:rsidRDefault="00496814" w:rsidP="00853CE5">
      <w:pPr>
        <w:pStyle w:val="Heading2"/>
      </w:pPr>
      <w:bookmarkStart w:id="252" w:name="_Toc396807619"/>
      <w:bookmarkStart w:id="253" w:name="_Toc484957897"/>
      <w:bookmarkStart w:id="254" w:name="_Toc490323022"/>
      <w:bookmarkStart w:id="255" w:name="_Ref12108126"/>
      <w:bookmarkStart w:id="256" w:name="_Toc81544517"/>
      <w:bookmarkEnd w:id="209"/>
      <w:r w:rsidRPr="00496814">
        <w:t>Summary of Key Findings of the Demand and Annual Energy</w:t>
      </w:r>
      <w:bookmarkEnd w:id="197"/>
      <w:bookmarkEnd w:id="252"/>
      <w:bookmarkEnd w:id="253"/>
      <w:bookmarkEnd w:id="254"/>
      <w:bookmarkEnd w:id="255"/>
      <w:r w:rsidR="00FC5F06">
        <w:t> </w:t>
      </w:r>
      <w:r w:rsidRPr="00496814">
        <w:t>Forecasts</w:t>
      </w:r>
      <w:bookmarkEnd w:id="256"/>
    </w:p>
    <w:p w:rsidR="00496814" w:rsidRPr="00496814" w:rsidRDefault="00496814" w:rsidP="00496814">
      <w:pPr>
        <w:spacing w:after="200" w:line="276" w:lineRule="auto"/>
      </w:pPr>
      <w:r w:rsidRPr="00496814">
        <w:t>The</w:t>
      </w:r>
      <w:r w:rsidR="00851952" w:rsidRPr="00851952">
        <w:t xml:space="preserve"> </w:t>
      </w:r>
      <w:r w:rsidR="00851952">
        <w:t xml:space="preserve">2021 Regional System Plan </w:t>
      </w:r>
      <w:r w:rsidRPr="00496814">
        <w:t xml:space="preserve">forecasts of annual energy use and peak loads are key inputs in establishing the system needs discussed throughout this </w:t>
      </w:r>
      <w:r w:rsidR="00851952">
        <w:t>regional system plan</w:t>
      </w:r>
      <w:r w:rsidRPr="00496814">
        <w:t>. The key points of the forecast are as follows:</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The 10-year net energy for load, accounting for EE, PV, and electrification, is projected to increase from 121,692 gigawatt-hours (GWh) in 2021 to 133,960 GWh in 2030, which represents an increase of 1.1% per year. The “50/50” net summer peak forecast is 24,810 megawatts (MW) for 2021, and remains steady at 24,796 MW for 2030. The “90/10” net summer peak forecast, which represents demand during a hotter summer heat wave, is 26,711 MW for 2021 and increases slightly to 26,816 MW in 2030.</w:t>
      </w:r>
      <w:r w:rsidRPr="00496814" w:rsidDel="00C02CC2">
        <w:rPr>
          <w:rFonts w:eastAsiaTheme="majorEastAsia"/>
          <w:vertAlign w:val="superscript"/>
        </w:rPr>
        <w:t xml:space="preserve"> </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 xml:space="preserve">The gross winter peak demand </w:t>
      </w:r>
      <w:r w:rsidRPr="00496814">
        <w:t xml:space="preserve">from 2021 through 2030 </w:t>
      </w:r>
      <w:r w:rsidRPr="00496814">
        <w:rPr>
          <w:rFonts w:eastAsia="Times New Roman"/>
          <w:color w:val="000000"/>
          <w:szCs w:val="24"/>
        </w:rPr>
        <w:t>grows at 1.3% per year, with expected demand savings from EE reducing annual peak demand growth to 0.8% per year. Much of the growth reflected in the winter demand forecast is a result of electrification initiatives throughout the region.</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The impacts of strategic electrification across the region, including consumer adoption of electrified light-duty vehicles and residential air-sourced heat pumps, are expected to add 6,080 GWh of annual energy, 675 MW of summer demand, and 2,422 MW of winter demand by 2030. Beyond the current 10-year planning horizon, increased electrification needed to achieve long-term decarbonization goals set by the states will likely cause the region to become a winter</w:t>
      </w:r>
      <w:r w:rsidR="00AF47A4">
        <w:rPr>
          <w:rFonts w:eastAsia="Times New Roman"/>
          <w:color w:val="000000"/>
          <w:szCs w:val="24"/>
        </w:rPr>
        <w:t xml:space="preserve"> </w:t>
      </w:r>
      <w:r w:rsidRPr="00496814">
        <w:rPr>
          <w:rFonts w:eastAsia="Times New Roman"/>
          <w:color w:val="000000"/>
          <w:szCs w:val="24"/>
        </w:rPr>
        <w:t>peaking system.</w:t>
      </w:r>
    </w:p>
    <w:p w:rsidR="00496814" w:rsidRPr="009649A9" w:rsidRDefault="00496814" w:rsidP="00496814">
      <w:pPr>
        <w:numPr>
          <w:ilvl w:val="0"/>
          <w:numId w:val="2"/>
        </w:numPr>
        <w:spacing w:after="120"/>
        <w:rPr>
          <w:rFonts w:eastAsia="Times New Roman"/>
          <w:szCs w:val="24"/>
        </w:rPr>
      </w:pPr>
      <w:r w:rsidRPr="00496814">
        <w:rPr>
          <w:rFonts w:eastAsia="Times New Roman"/>
          <w:color w:val="000000"/>
          <w:szCs w:val="24"/>
        </w:rPr>
        <w:t xml:space="preserve">Changes to the accounting for passive-demand resources implemented in the 2021 gross load forecast resulted in a significant share of historical EE installations becoming embedded as reductions to the gross load forecast. Additional summer peak demand savings from EE are expected to grow from 2,677 MW in 2021 to 4,294 MW in 2030. New England states’ annual investments in EE programs, which are also expected to help facilitate electrification initiatives taking shape across the </w:t>
      </w:r>
      <w:r w:rsidRPr="009649A9">
        <w:rPr>
          <w:rFonts w:eastAsia="Times New Roman"/>
          <w:szCs w:val="24"/>
        </w:rPr>
        <w:t>region, are expected to be more than $1 billion per year for 2021 through 2030</w:t>
      </w:r>
      <w:r w:rsidR="008F15DC" w:rsidRPr="009649A9">
        <w:rPr>
          <w:rFonts w:eastAsia="Times New Roman"/>
          <w:szCs w:val="24"/>
        </w:rPr>
        <w:t>. These investments</w:t>
      </w:r>
      <w:r w:rsidR="009649A9" w:rsidRPr="009649A9">
        <w:rPr>
          <w:rFonts w:eastAsia="Times New Roman"/>
          <w:szCs w:val="24"/>
        </w:rPr>
        <w:t xml:space="preserve"> </w:t>
      </w:r>
      <w:r w:rsidR="00DC17D9" w:rsidRPr="009649A9">
        <w:rPr>
          <w:rFonts w:eastAsia="Times New Roman"/>
          <w:szCs w:val="24"/>
        </w:rPr>
        <w:t>represent 32.2% and 20.1% of BTM PV nameplate capacity expected to be installed by the summer of those years, respectively</w:t>
      </w:r>
      <w:r w:rsidRPr="009649A9">
        <w:rPr>
          <w:rFonts w:eastAsia="Times New Roman"/>
          <w:szCs w:val="24"/>
        </w:rPr>
        <w:t>.</w:t>
      </w:r>
    </w:p>
    <w:p w:rsidR="00496814" w:rsidRPr="00496814" w:rsidRDefault="00496814" w:rsidP="00496814">
      <w:pPr>
        <w:numPr>
          <w:ilvl w:val="0"/>
          <w:numId w:val="3"/>
        </w:numPr>
        <w:spacing w:after="120"/>
        <w:rPr>
          <w:rFonts w:eastAsia="Times New Roman"/>
          <w:color w:val="000000"/>
          <w:szCs w:val="24"/>
        </w:rPr>
      </w:pPr>
      <w:r w:rsidRPr="00496814">
        <w:rPr>
          <w:rFonts w:eastAsia="Times New Roman"/>
          <w:color w:val="000000"/>
          <w:szCs w:val="24"/>
        </w:rPr>
        <w:t xml:space="preserve">All distribution-connected PV resources in the region reached 3,996 MWac </w:t>
      </w:r>
      <w:r w:rsidR="00933BD7">
        <w:rPr>
          <w:rFonts w:eastAsia="Times New Roman"/>
          <w:color w:val="000000"/>
          <w:szCs w:val="24"/>
        </w:rPr>
        <w:t>(megawatts of alternating current</w:t>
      </w:r>
      <w:r w:rsidR="00AF47A4">
        <w:rPr>
          <w:rFonts w:eastAsia="Times New Roman"/>
          <w:color w:val="000000"/>
          <w:szCs w:val="24"/>
        </w:rPr>
        <w:t xml:space="preserve"> [AC]</w:t>
      </w:r>
      <w:r w:rsidR="00933BD7">
        <w:rPr>
          <w:rFonts w:eastAsia="Times New Roman"/>
          <w:color w:val="000000"/>
          <w:szCs w:val="24"/>
        </w:rPr>
        <w:t>)</w:t>
      </w:r>
      <w:r w:rsidR="00933BD7" w:rsidRPr="00496814">
        <w:rPr>
          <w:rFonts w:eastAsia="Times New Roman"/>
          <w:color w:val="000000"/>
          <w:szCs w:val="24"/>
        </w:rPr>
        <w:t xml:space="preserve"> </w:t>
      </w:r>
      <w:r w:rsidRPr="00496814">
        <w:rPr>
          <w:rFonts w:eastAsia="Times New Roman"/>
          <w:color w:val="000000"/>
          <w:szCs w:val="24"/>
        </w:rPr>
        <w:t>in nameplate capacity by the end of 2020 and are expected to grow to 10,033 MWac by 2030, by which time approximately 53% are expected to be BTM PV. The estimated reductions in summer seasonal peak demand due to BTM PV are 836 MW in 2021 and 1,087 MW in 2030</w:t>
      </w:r>
      <w:r w:rsidR="00343F12">
        <w:rPr>
          <w:rFonts w:eastAsia="Times New Roman"/>
          <w:color w:val="000000"/>
          <w:szCs w:val="24"/>
        </w:rPr>
        <w:t>.</w:t>
      </w:r>
      <w:r w:rsidRPr="00496814">
        <w:rPr>
          <w:rFonts w:eastAsia="Times New Roman"/>
          <w:color w:val="000000"/>
          <w:szCs w:val="24"/>
        </w:rPr>
        <w:t xml:space="preserve"> BTM PV does not reduce winter peaks because they typically occur after the sun sets. </w:t>
      </w:r>
    </w:p>
    <w:p w:rsidR="00496814" w:rsidRDefault="00496814" w:rsidP="00DB59CF">
      <w:pPr>
        <w:rPr>
          <w:rFonts w:eastAsia="Times New Roman"/>
          <w:color w:val="000000"/>
          <w:szCs w:val="24"/>
        </w:rPr>
        <w:sectPr w:rsidR="00496814">
          <w:pgSz w:w="12240" w:h="15840"/>
          <w:pgMar w:top="1440" w:right="1440" w:bottom="1440" w:left="1440" w:header="720" w:footer="720" w:gutter="0"/>
          <w:cols w:space="720"/>
          <w:docGrid w:linePitch="360"/>
        </w:sectPr>
      </w:pPr>
      <w:r w:rsidRPr="00496814">
        <w:rPr>
          <w:rFonts w:eastAsia="Times New Roman"/>
          <w:color w:val="000000"/>
          <w:szCs w:val="24"/>
        </w:rPr>
        <w:t>The effects of heating electrification, transportation electrification, and growing penetrations of distributed PV will significantly change the region’s load characteristics, and are a key consideration as the New England grid evolves.</w:t>
      </w:r>
    </w:p>
    <w:p w:rsidR="00496814" w:rsidRPr="00496814" w:rsidRDefault="00496814" w:rsidP="003511BE">
      <w:pPr>
        <w:pStyle w:val="Heading1"/>
      </w:pPr>
      <w:bookmarkStart w:id="257" w:name="_Resource_Adequacy—Resources,_Capaci"/>
      <w:bookmarkStart w:id="258" w:name="_Ref78275947"/>
      <w:bookmarkStart w:id="259" w:name="_Toc81544518"/>
      <w:bookmarkEnd w:id="257"/>
      <w:r w:rsidRPr="00496814">
        <w:t>Resource Adequacy—Resources, Capacity, and Reserves</w:t>
      </w:r>
      <w:bookmarkEnd w:id="258"/>
      <w:bookmarkEnd w:id="259"/>
      <w:r w:rsidRPr="00496814">
        <w:t xml:space="preserve"> </w:t>
      </w:r>
    </w:p>
    <w:p w:rsidR="00496814" w:rsidRPr="00496814" w:rsidRDefault="00496814" w:rsidP="00496814">
      <w:r w:rsidRPr="00496814">
        <w:rPr>
          <w:rFonts w:ascii="Calibri" w:hAnsi="Calibri" w:cs="OpenSans-Bold"/>
          <w:b/>
          <w:bCs/>
          <w:noProof/>
          <w:color w:val="3D484C"/>
          <w:sz w:val="80"/>
          <w:szCs w:val="80"/>
        </w:rPr>
        <w:drawing>
          <wp:anchor distT="0" distB="182880" distL="182880" distR="182880" simplePos="0" relativeHeight="251667456" behindDoc="0" locked="0" layoutInCell="1" allowOverlap="1" wp14:anchorId="09FF571D" wp14:editId="23BDAE22">
            <wp:simplePos x="0" y="0"/>
            <wp:positionH relativeFrom="margin">
              <wp:align>right</wp:align>
            </wp:positionH>
            <wp:positionV relativeFrom="paragraph">
              <wp:posOffset>8890</wp:posOffset>
            </wp:positionV>
            <wp:extent cx="1600200" cy="1600200"/>
            <wp:effectExtent l="0" t="0" r="0" b="0"/>
            <wp:wrapSquare wrapText="bothSides"/>
            <wp:docPr id="48" name="Picture 4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The ISO’s system planning process identifies the amounts and locations of capacity resources the system needs for ensuring resource adequacy and how the region is meeting these needs through the </w:t>
      </w:r>
      <w:hyperlink r:id="rId134" w:history="1">
        <w:r w:rsidRPr="00F23919">
          <w:rPr>
            <w:rStyle w:val="Hyperlink"/>
          </w:rPr>
          <w:t>Forward Capacity Market</w:t>
        </w:r>
      </w:hyperlink>
      <w:r w:rsidRPr="00496814">
        <w:t xml:space="preserve"> (FCM) and the locational Forward Reserve Market (FRM). The amount of capacity the system requires in a given year is determined through the </w:t>
      </w:r>
      <w:hyperlink r:id="rId135" w:history="1">
        <w:r w:rsidRPr="00FA3C46">
          <w:rPr>
            <w:rStyle w:val="Hyperlink"/>
          </w:rPr>
          <w:t>Installed Capacity Requirement</w:t>
        </w:r>
      </w:hyperlink>
      <w:r w:rsidRPr="00496814">
        <w:t xml:space="preserve"> (ICR) calculation, which accounts for uncertainties, contingencies, and resource performance under a wide range of existing and future system conditions. The procurement of resources </w:t>
      </w:r>
      <w:r w:rsidR="00546615">
        <w:t xml:space="preserve">to </w:t>
      </w:r>
      <w:r w:rsidRPr="00496814">
        <w:t>provid</w:t>
      </w:r>
      <w:r w:rsidR="00546615">
        <w:t>e</w:t>
      </w:r>
      <w:r w:rsidRPr="00496814">
        <w:t xml:space="preserve"> operating reserves for the system and local areas addresses contingencies, such as unplanned outages. Collectively, the forecasts of future electricity demand (see </w:t>
      </w:r>
      <w:hyperlink w:anchor="_Forecasts_of_New" w:history="1">
        <w:r w:rsidRPr="00F23919">
          <w:rPr>
            <w:rStyle w:val="Hyperlink"/>
          </w:rPr>
          <w:t>Chapter 3</w:t>
        </w:r>
      </w:hyperlink>
      <w:r w:rsidRPr="00496814">
        <w:t xml:space="preserve">), the ICR calculation, the procurement of resources providing capacity and reserves, and the operable-capacity analyses that consider future scenarios of load forecasts and operating conditions are referred to as the resource-adequacy process. </w:t>
      </w:r>
    </w:p>
    <w:p w:rsidR="00496814" w:rsidRPr="00496814" w:rsidRDefault="00496814" w:rsidP="00496814">
      <w:r w:rsidRPr="00496814">
        <w:t>This section discusses the following topics:</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Requirements for resource adequacy over the 10-year planning period</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Analyses conducted to determine the systemwide and local-area needs for ensuring resource adequacy</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Results of the net operable-capacity assessments of the system under a variety of deterministic stressed-system conditions.</w:t>
      </w:r>
      <w:r w:rsidRPr="00496814">
        <w:rPr>
          <w:rFonts w:eastAsia="Times New Roman"/>
          <w:szCs w:val="24"/>
          <w:vertAlign w:val="superscript"/>
        </w:rPr>
        <w:footnoteReference w:id="43"/>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 xml:space="preserve">Resources being developed through policy </w:t>
      </w:r>
      <w:r w:rsidR="00546615">
        <w:rPr>
          <w:rFonts w:eastAsia="Times New Roman"/>
          <w:szCs w:val="24"/>
        </w:rPr>
        <w:t>initiatives</w:t>
      </w:r>
      <w:r w:rsidRPr="00496814">
        <w:rPr>
          <w:rFonts w:eastAsia="Times New Roman"/>
          <w:szCs w:val="24"/>
        </w:rPr>
        <w:t xml:space="preserve"> by the six New England states</w:t>
      </w:r>
    </w:p>
    <w:p w:rsidR="00496814" w:rsidRPr="00496814" w:rsidRDefault="00496814" w:rsidP="002F1C44">
      <w:pPr>
        <w:numPr>
          <w:ilvl w:val="0"/>
          <w:numId w:val="43"/>
        </w:numPr>
        <w:rPr>
          <w:rFonts w:eastAsia="Times New Roman"/>
          <w:szCs w:val="24"/>
        </w:rPr>
      </w:pPr>
      <w:r w:rsidRPr="00496814">
        <w:rPr>
          <w:rFonts w:eastAsia="Times New Roman"/>
          <w:szCs w:val="24"/>
        </w:rPr>
        <w:t xml:space="preserve">Proposed projects </w:t>
      </w:r>
      <w:r w:rsidR="00546615">
        <w:rPr>
          <w:rFonts w:eastAsia="Times New Roman"/>
          <w:szCs w:val="24"/>
        </w:rPr>
        <w:t>in</w:t>
      </w:r>
      <w:r w:rsidRPr="00496814">
        <w:rPr>
          <w:rFonts w:eastAsia="Times New Roman"/>
          <w:szCs w:val="24"/>
        </w:rPr>
        <w:t xml:space="preserve"> the ISO’s interconnection queue that can help meet the long-term needs of the system. </w:t>
      </w:r>
    </w:p>
    <w:p w:rsidR="00496814" w:rsidRPr="00496814" w:rsidRDefault="00496814" w:rsidP="00853CE5">
      <w:pPr>
        <w:pStyle w:val="Heading2"/>
      </w:pPr>
      <w:bookmarkStart w:id="260" w:name="_Ref327866184"/>
      <w:bookmarkStart w:id="261" w:name="_Toc334601025"/>
      <w:bookmarkStart w:id="262" w:name="_Toc365440992"/>
      <w:bookmarkStart w:id="263" w:name="_Toc396807621"/>
      <w:bookmarkStart w:id="264" w:name="_Toc481053247"/>
      <w:bookmarkStart w:id="265" w:name="_Toc490323024"/>
      <w:bookmarkStart w:id="266" w:name="_Toc81544519"/>
      <w:r w:rsidRPr="00496814">
        <w:t>Determining Systemwide and Local-Area Capacity Needs</w:t>
      </w:r>
      <w:bookmarkEnd w:id="260"/>
      <w:bookmarkEnd w:id="261"/>
      <w:bookmarkEnd w:id="262"/>
      <w:bookmarkEnd w:id="263"/>
      <w:bookmarkEnd w:id="264"/>
      <w:bookmarkEnd w:id="265"/>
      <w:bookmarkEnd w:id="266"/>
      <w:r w:rsidRPr="00496814">
        <w:t xml:space="preserve"> </w:t>
      </w:r>
    </w:p>
    <w:p w:rsidR="00496814" w:rsidRPr="00496814" w:rsidRDefault="00496814" w:rsidP="00496814">
      <w:r w:rsidRPr="00496814">
        <w:t>Capacity requirements form the basis for determining future systemwide needs. The planning process also determines the need for localized capacity, accounting for</w:t>
      </w:r>
      <w:r w:rsidR="00FC6844">
        <w:t xml:space="preserve"> the</w:t>
      </w:r>
      <w:r w:rsidRPr="00496814">
        <w:t xml:space="preserve"> export and import transmission capabilities (or limitations) of these </w:t>
      </w:r>
      <w:hyperlink r:id="rId136" w:history="1">
        <w:r w:rsidR="00933BD7" w:rsidRPr="00FA3C46">
          <w:rPr>
            <w:rStyle w:val="Hyperlink"/>
          </w:rPr>
          <w:t>capacity zones</w:t>
        </w:r>
      </w:hyperlink>
      <w:r w:rsidRPr="00496814">
        <w:t>. The annual Forward Capacity Auctions (FCAs) and annual and monthly reconfiguration auctions are intended to procure the needed capacity, systemwide and for identified Capacity Zones. This section provides the results of the systemwide and local-area analyses for the planning period.</w:t>
      </w:r>
    </w:p>
    <w:p w:rsidR="00496814" w:rsidRPr="00496814" w:rsidRDefault="00496814" w:rsidP="00853CE5">
      <w:pPr>
        <w:pStyle w:val="Heading3"/>
      </w:pPr>
      <w:bookmarkStart w:id="267" w:name="_Ref387673339"/>
      <w:bookmarkStart w:id="268" w:name="_Toc396807622"/>
      <w:bookmarkStart w:id="269" w:name="_Toc481053248"/>
      <w:bookmarkStart w:id="270" w:name="_Toc490323025"/>
      <w:bookmarkStart w:id="271" w:name="_Toc81544520"/>
      <w:r w:rsidRPr="00496814">
        <w:t>Systemwide Installed Capacity</w:t>
      </w:r>
      <w:r w:rsidR="00FC5F06">
        <w:t> </w:t>
      </w:r>
      <w:r w:rsidRPr="00496814">
        <w:t>Requirements</w:t>
      </w:r>
      <w:bookmarkEnd w:id="267"/>
      <w:bookmarkEnd w:id="268"/>
      <w:bookmarkEnd w:id="269"/>
      <w:bookmarkEnd w:id="270"/>
      <w:bookmarkEnd w:id="271"/>
    </w:p>
    <w:p w:rsidR="00496814" w:rsidRPr="00496814" w:rsidRDefault="00496814" w:rsidP="00496814">
      <w:r w:rsidRPr="00496814">
        <w:t>The ISO develops the</w:t>
      </w:r>
      <w:r w:rsidR="00933BD7">
        <w:t xml:space="preserve"> installed capacity requirements</w:t>
      </w:r>
      <w:r w:rsidRPr="00496814">
        <w:t xml:space="preserve"> </w:t>
      </w:r>
      <w:r w:rsidR="00933BD7">
        <w:t>(</w:t>
      </w:r>
      <w:r w:rsidRPr="00496814">
        <w:t>ICR</w:t>
      </w:r>
      <w:r w:rsidR="00933BD7">
        <w:t>)</w:t>
      </w:r>
      <w:r w:rsidRPr="00496814">
        <w:t xml:space="preserve"> in consultation with New England Power Pool (NEPOOL) and other interested parties through an extensive stakeholder process. The ISO vets the assumptions used to develop the ICR with the New England stakeholders, and the </w:t>
      </w:r>
      <w:hyperlink r:id="rId137" w:history="1">
        <w:r w:rsidRPr="00FA3C46">
          <w:rPr>
            <w:rStyle w:val="Hyperlink"/>
          </w:rPr>
          <w:t>Power Supply Planning Committee</w:t>
        </w:r>
      </w:hyperlink>
      <w:r w:rsidRPr="00496814">
        <w:t xml:space="preserve"> (PSPC) reviews the values developed by the ISO. Then the </w:t>
      </w:r>
      <w:hyperlink r:id="rId138" w:history="1">
        <w:r w:rsidRPr="00FA3C46">
          <w:rPr>
            <w:rStyle w:val="Hyperlink"/>
          </w:rPr>
          <w:t>Reliability Committee</w:t>
        </w:r>
      </w:hyperlink>
      <w:r w:rsidR="008600E6">
        <w:t xml:space="preserve"> (RC)</w:t>
      </w:r>
      <w:r w:rsidRPr="00496814">
        <w:t xml:space="preserve"> and the </w:t>
      </w:r>
      <w:hyperlink r:id="rId139" w:history="1">
        <w:r w:rsidRPr="00FA3C46">
          <w:rPr>
            <w:rStyle w:val="Hyperlink"/>
          </w:rPr>
          <w:t>Participants Committee</w:t>
        </w:r>
      </w:hyperlink>
      <w:r w:rsidRPr="00496814">
        <w:t xml:space="preserve"> </w:t>
      </w:r>
      <w:r w:rsidR="008600E6">
        <w:t xml:space="preserve">(PC) </w:t>
      </w:r>
      <w:r w:rsidRPr="00496814">
        <w:t xml:space="preserve">review, discuss, and vote on the values before </w:t>
      </w:r>
      <w:r w:rsidR="008B7334">
        <w:t xml:space="preserve">they are filed </w:t>
      </w:r>
      <w:r w:rsidRPr="00496814">
        <w:t>with FERC.</w:t>
      </w:r>
    </w:p>
    <w:p w:rsidR="00496814" w:rsidRPr="00496814" w:rsidRDefault="00496814" w:rsidP="00496814">
      <w:r w:rsidRPr="00496814">
        <w:t xml:space="preserve">This section of the </w:t>
      </w:r>
      <w:r w:rsidR="00933BD7">
        <w:t xml:space="preserve">2021 Regional System Plan (RSP21) </w:t>
      </w:r>
      <w:r w:rsidRPr="00496814">
        <w:t>discusses the established net ICR values for the 2021-2022 through 2024-2025 Capacity Commitment Periods (CCPs) and illustrates representative net ICR values for the 2026-2027 through 2030-2031 periods.</w:t>
      </w:r>
      <w:r w:rsidRPr="00496814">
        <w:rPr>
          <w:vertAlign w:val="superscript"/>
        </w:rPr>
        <w:footnoteReference w:id="44"/>
      </w:r>
      <w:r w:rsidRPr="00496814">
        <w:t xml:space="preserve"> The established net ICR values for the 2021-2022 through 2024-2025 CCPs reflect the latest ICR values approved by FERC and were developed using the </w:t>
      </w:r>
      <w:hyperlink r:id="rId140" w:history="1">
        <w:r w:rsidRPr="00963B61">
          <w:rPr>
            <w:rStyle w:val="Hyperlink"/>
            <w:i/>
          </w:rPr>
          <w:t>2020 Capacity, Energy, Loads, and Transmission</w:t>
        </w:r>
      </w:hyperlink>
      <w:r w:rsidRPr="00963B61">
        <w:rPr>
          <w:i/>
        </w:rPr>
        <w:t xml:space="preserve"> (CELT) Report</w:t>
      </w:r>
      <w:r w:rsidRPr="00496814">
        <w:t xml:space="preserve"> load data. The representative net ICR values for 2026-2027 through 2030-2031 are calculated using the same assumptions used to develop the net ICR for 2024-2025 except for the demand forecast net of behind-the-meter (BTM) photovoltaics (PV).</w:t>
      </w:r>
      <w:r w:rsidRPr="00496814">
        <w:rPr>
          <w:vertAlign w:val="superscript"/>
        </w:rPr>
        <w:footnoteReference w:id="45"/>
      </w:r>
      <w:r w:rsidRPr="00496814">
        <w:t xml:space="preserve"> The net demand forecast used to calculate the representative net ICR values is based on the 2021 CELT forecast.</w:t>
      </w:r>
      <w:r w:rsidRPr="00496814">
        <w:rPr>
          <w:vertAlign w:val="superscript"/>
        </w:rPr>
        <w:footnoteReference w:id="46"/>
      </w:r>
    </w:p>
    <w:p w:rsidR="00496814" w:rsidRPr="00496814" w:rsidRDefault="00496814" w:rsidP="00496814">
      <w:r w:rsidRPr="00496814">
        <w:t>The representative net ICR values do not indicate the definitive amount of capacity the region will purchase for that period, but provides stakeholders with a general forecast of the likely capacity needs of the region into the future based on current assumptions. The actual amount of capacity the region will purchase in an FCA, and subsequent reconfiguration auction</w:t>
      </w:r>
      <w:r w:rsidR="00546615">
        <w:t xml:space="preserve">s, will be based on the net ICR, the </w:t>
      </w:r>
      <w:r w:rsidRPr="00496814">
        <w:t>resulting demand curves</w:t>
      </w:r>
      <w:r w:rsidR="00546615">
        <w:t>, and submitted resource offers</w:t>
      </w:r>
      <w:r w:rsidRPr="00496814">
        <w:t xml:space="preserve">. </w:t>
      </w:r>
    </w:p>
    <w:p w:rsidR="00496814" w:rsidRDefault="00D37EB1" w:rsidP="00496814">
      <w:hyperlink w:anchor="Table_4_1" w:history="1">
        <w:r w:rsidR="00496814" w:rsidRPr="00D1725D">
          <w:rPr>
            <w:rStyle w:val="Hyperlink"/>
          </w:rPr>
          <w:t>Table 4-1</w:t>
        </w:r>
      </w:hyperlink>
      <w:r w:rsidR="00496814" w:rsidRPr="00496814">
        <w:t xml:space="preserve"> shows the actual and representative New England net ICRs for 2021-2022 to 2030-2031 and the resulting reserves expressed as a percentage of the </w:t>
      </w:r>
      <w:r w:rsidR="00496814" w:rsidRPr="00963B61">
        <w:rPr>
          <w:i/>
        </w:rPr>
        <w:t>2021 CELT Report</w:t>
      </w:r>
      <w:r w:rsidR="00496814" w:rsidRPr="00496814">
        <w:t xml:space="preserve"> forecast of the 50/50 peak demands.</w:t>
      </w:r>
      <w:r w:rsidR="00496814" w:rsidRPr="00496814">
        <w:rPr>
          <w:vertAlign w:val="superscript"/>
        </w:rPr>
        <w:footnoteReference w:id="47"/>
      </w:r>
      <w:r w:rsidR="00496814" w:rsidRPr="00496814">
        <w:t xml:space="preserve"> The percentage</w:t>
      </w:r>
      <w:r w:rsidR="00361719">
        <w:t xml:space="preserve"> of</w:t>
      </w:r>
      <w:r w:rsidR="00496814" w:rsidRPr="00496814">
        <w:t xml:space="preserve"> resulting reserves associated with the actual net ICRs would be approximately 5% lower if these requirements were expressed as a percentage of the 2020 CELT 50/50 peak demands</w:t>
      </w:r>
      <w:r w:rsidR="008B7334">
        <w:t xml:space="preserve"> as the 2021 CELT forecast is lower than the 2020 CELT forecast</w:t>
      </w:r>
      <w:r w:rsidR="00496814" w:rsidRPr="00496814">
        <w:t>.</w:t>
      </w:r>
      <w:r w:rsidR="00675F2B">
        <w:rPr>
          <w:rStyle w:val="FootnoteReference"/>
        </w:rPr>
        <w:footnoteReference w:id="48"/>
      </w:r>
      <w:r w:rsidR="00496814" w:rsidRPr="00496814">
        <w:t xml:space="preserve"> The 2020 CELT 50/50 peak demands are approximately 1,150 MW to 1,420 MW higher than the corresponding forecast in the </w:t>
      </w:r>
      <w:r w:rsidR="00496814" w:rsidRPr="00963B61">
        <w:rPr>
          <w:i/>
        </w:rPr>
        <w:t>2021 CELT Report</w:t>
      </w:r>
      <w:r w:rsidR="00496814" w:rsidRPr="00496814">
        <w:t xml:space="preserve">. The 50/50 peak forecast for the years shown in </w:t>
      </w:r>
      <w:hyperlink w:anchor="Table_4_1" w:history="1">
        <w:r w:rsidR="00496814" w:rsidRPr="00526AF5">
          <w:rPr>
            <w:rStyle w:val="Hyperlink"/>
          </w:rPr>
          <w:t>Table 4-1</w:t>
        </w:r>
      </w:hyperlink>
      <w:r w:rsidR="00496814" w:rsidRPr="00496814">
        <w:t xml:space="preserve"> is equal to the gross demand forecast minus reductions for BTM PV (see </w:t>
      </w:r>
      <w:hyperlink w:anchor="_Forecasts_of_New" w:history="1">
        <w:r w:rsidR="00496814" w:rsidRPr="00D1725D">
          <w:rPr>
            <w:rStyle w:val="Hyperlink"/>
          </w:rPr>
          <w:t>Chapter 3</w:t>
        </w:r>
      </w:hyperlink>
      <w:r w:rsidR="00496814" w:rsidRPr="00496814">
        <w:t>).</w:t>
      </w:r>
    </w:p>
    <w:p w:rsidR="00DB6489" w:rsidRPr="00496814" w:rsidRDefault="00DB6489" w:rsidP="00496814"/>
    <w:p w:rsidR="00496814" w:rsidRPr="00496814" w:rsidRDefault="00AB0EDC" w:rsidP="001D69A5">
      <w:pPr>
        <w:pStyle w:val="Caption"/>
      </w:pPr>
      <w:bookmarkStart w:id="272" w:name="Table_4_1"/>
      <w:bookmarkStart w:id="273" w:name="_Toc491244005"/>
      <w:bookmarkStart w:id="274" w:name="_Toc81544632"/>
      <w:r>
        <w:t xml:space="preserve">Table </w:t>
      </w:r>
      <w:fldSimple w:instr=" STYLEREF 1 \s ">
        <w:r w:rsidR="001D2A17">
          <w:rPr>
            <w:noProof/>
          </w:rPr>
          <w:t>4</w:t>
        </w:r>
      </w:fldSimple>
      <w:r w:rsidR="001D2A17">
        <w:noBreakHyphen/>
      </w:r>
      <w:fldSimple w:instr=" SEQ Table \* ARABIC \s 1 ">
        <w:r w:rsidR="001D2A17">
          <w:rPr>
            <w:noProof/>
          </w:rPr>
          <w:t>1</w:t>
        </w:r>
      </w:fldSimple>
      <w:bookmarkEnd w:id="272"/>
      <w:r w:rsidR="00496814" w:rsidRPr="00496814">
        <w:rPr>
          <w:b w:val="0"/>
          <w:bCs w:val="0"/>
        </w:rPr>
        <w:t xml:space="preserve"> </w:t>
      </w:r>
      <w:r w:rsidR="00496814" w:rsidRPr="00496814">
        <w:rPr>
          <w:b w:val="0"/>
          <w:bCs w:val="0"/>
        </w:rPr>
        <w:br/>
      </w:r>
      <w:r w:rsidR="00496814" w:rsidRPr="00DB6489">
        <w:rPr>
          <w:bCs w:val="0"/>
        </w:rPr>
        <w:t>Actual and Representative New England Net Installed Capacity Requirements</w:t>
      </w:r>
      <w:r w:rsidR="00496814" w:rsidRPr="00DB6489">
        <w:rPr>
          <w:bCs w:val="0"/>
        </w:rPr>
        <w:br/>
        <w:t>and Resulting Reserves (MW, %)</w:t>
      </w:r>
      <w:bookmarkEnd w:id="273"/>
      <w:bookmarkEnd w:id="274"/>
      <w:r w:rsidR="00496814" w:rsidRPr="00496814">
        <w:rPr>
          <w:b w:val="0"/>
          <w:bCs w:val="0"/>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496814" w:rsidRPr="00496814" w:rsidTr="006E0ABA">
        <w:trPr>
          <w:cantSplit/>
          <w:tblHeader/>
          <w:jc w:val="center"/>
        </w:trPr>
        <w:tc>
          <w:tcPr>
            <w:tcW w:w="1495"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Commitment Periods</w:t>
            </w:r>
          </w:p>
        </w:tc>
        <w:tc>
          <w:tcPr>
            <w:tcW w:w="2020"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2021 CELT Forecast</w:t>
            </w:r>
            <w:r w:rsidRPr="00496814">
              <w:rPr>
                <w:rFonts w:asciiTheme="minorHAnsi" w:hAnsiTheme="minorHAnsi" w:cstheme="minorHAnsi"/>
                <w:b/>
                <w:color w:val="FFFFFF" w:themeColor="background1"/>
                <w:sz w:val="18"/>
                <w:szCs w:val="18"/>
              </w:rPr>
              <w:br/>
              <w:t>50/50 Peak (MW)</w:t>
            </w:r>
            <w:r w:rsidRPr="00496814">
              <w:rPr>
                <w:rFonts w:asciiTheme="minorHAnsi" w:hAnsiTheme="minorHAnsi" w:cstheme="minorHAnsi"/>
                <w:b/>
                <w:color w:val="FFFFFF" w:themeColor="background1"/>
                <w:sz w:val="18"/>
                <w:szCs w:val="18"/>
                <w:vertAlign w:val="superscript"/>
              </w:rPr>
              <w:t>(a)</w:t>
            </w:r>
          </w:p>
        </w:tc>
        <w:tc>
          <w:tcPr>
            <w:tcW w:w="2019"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eastAsiaTheme="majorEastAsia"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Actual and Representative</w:t>
            </w:r>
            <w:r w:rsidRPr="00496814">
              <w:rPr>
                <w:rFonts w:asciiTheme="minorHAnsi" w:hAnsiTheme="minorHAnsi" w:cstheme="minorHAnsi"/>
                <w:b/>
                <w:color w:val="FFFFFF" w:themeColor="background1"/>
                <w:sz w:val="18"/>
                <w:szCs w:val="18"/>
              </w:rPr>
              <w:br/>
              <w:t>Future Net ICR</w:t>
            </w:r>
            <w:r w:rsidRPr="00496814" w:rsidDel="00A04777">
              <w:rPr>
                <w:rFonts w:asciiTheme="minorHAnsi" w:hAnsiTheme="minorHAnsi" w:cstheme="minorHAnsi"/>
                <w:b/>
                <w:color w:val="FFFFFF" w:themeColor="background1"/>
                <w:sz w:val="18"/>
                <w:szCs w:val="18"/>
                <w:vertAlign w:val="superscript"/>
              </w:rPr>
              <w:t xml:space="preserve"> </w:t>
            </w:r>
            <w:r w:rsidRPr="00496814">
              <w:rPr>
                <w:rFonts w:asciiTheme="minorHAnsi" w:hAnsiTheme="minorHAnsi" w:cstheme="minorHAnsi"/>
                <w:b/>
                <w:bCs/>
                <w:color w:val="FFFFFF" w:themeColor="background1"/>
                <w:sz w:val="18"/>
                <w:szCs w:val="18"/>
              </w:rPr>
              <w:t>(MW)</w:t>
            </w:r>
            <w:r w:rsidRPr="00496814">
              <w:rPr>
                <w:rFonts w:asciiTheme="minorHAnsi" w:hAnsiTheme="minorHAnsi" w:cstheme="minorHAnsi"/>
                <w:b/>
                <w:color w:val="FFFFFF" w:themeColor="background1"/>
                <w:sz w:val="18"/>
                <w:szCs w:val="18"/>
                <w:vertAlign w:val="superscript"/>
              </w:rPr>
              <w:t>(b)</w:t>
            </w:r>
          </w:p>
        </w:tc>
        <w:tc>
          <w:tcPr>
            <w:tcW w:w="2020"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Resulting Reserves</w:t>
            </w:r>
            <w:r w:rsidRPr="00496814">
              <w:rPr>
                <w:rFonts w:asciiTheme="minorHAnsi" w:hAnsiTheme="minorHAnsi" w:cstheme="minorHAnsi"/>
                <w:b/>
                <w:color w:val="FFFFFF" w:themeColor="background1"/>
                <w:sz w:val="18"/>
                <w:szCs w:val="18"/>
                <w:vertAlign w:val="superscript"/>
              </w:rPr>
              <w:br/>
            </w:r>
            <w:r w:rsidRPr="00496814">
              <w:rPr>
                <w:rFonts w:asciiTheme="minorHAnsi" w:hAnsiTheme="minorHAnsi" w:cstheme="minorHAnsi"/>
                <w:b/>
                <w:color w:val="FFFFFF" w:themeColor="background1"/>
                <w:sz w:val="18"/>
                <w:szCs w:val="18"/>
              </w:rPr>
              <w:t>(%)</w:t>
            </w:r>
            <w:r w:rsidRPr="00496814">
              <w:rPr>
                <w:rFonts w:asciiTheme="minorHAnsi" w:hAnsiTheme="minorHAnsi" w:cstheme="minorHAnsi"/>
                <w:b/>
                <w:color w:val="FFFFFF" w:themeColor="background1"/>
                <w:sz w:val="18"/>
                <w:szCs w:val="18"/>
                <w:vertAlign w:val="superscript"/>
              </w:rPr>
              <w:t>(c)</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2021-2022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27,487</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32,925</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19.8</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2022-2023</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27,645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32,765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18.5</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2023-2024</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27,747</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32,980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18.9</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2024-2025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27,885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33,270</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19.3</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2025-2026</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28,025</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808080" w:themeColor="background1" w:themeShade="80"/>
                <w:kern w:val="24"/>
                <w:sz w:val="18"/>
                <w:szCs w:val="18"/>
              </w:rPr>
              <w:t>TBD</w:t>
            </w:r>
            <w:r w:rsidRPr="00496814">
              <w:rPr>
                <w:rFonts w:asciiTheme="minorHAnsi" w:hAnsiTheme="minorHAnsi" w:cstheme="minorHAnsi"/>
                <w:b/>
                <w:bCs/>
                <w:color w:val="808080" w:themeColor="background1" w:themeShade="80"/>
                <w:kern w:val="24"/>
                <w:position w:val="7"/>
                <w:sz w:val="18"/>
                <w:szCs w:val="18"/>
                <w:vertAlign w:val="superscript"/>
              </w:rPr>
              <w:t>(d)</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808080" w:themeColor="background1" w:themeShade="80"/>
                <w:kern w:val="24"/>
                <w:sz w:val="18"/>
                <w:szCs w:val="18"/>
              </w:rPr>
              <w:t>TBD</w:t>
            </w:r>
            <w:r w:rsidRPr="00496814">
              <w:rPr>
                <w:rFonts w:asciiTheme="minorHAnsi" w:hAnsiTheme="minorHAnsi" w:cstheme="minorHAnsi"/>
                <w:b/>
                <w:bCs/>
                <w:color w:val="808080" w:themeColor="background1" w:themeShade="80"/>
                <w:kern w:val="24"/>
                <w:position w:val="7"/>
                <w:sz w:val="18"/>
                <w:szCs w:val="18"/>
                <w:vertAlign w:val="superscript"/>
              </w:rPr>
              <w:t>(d)</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2026-2027</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28,181</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757171"/>
                <w:kern w:val="24"/>
                <w:sz w:val="18"/>
                <w:szCs w:val="18"/>
              </w:rPr>
              <w:t>31,705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12.5</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2027-2028</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
                <w:sz w:val="18"/>
                <w:szCs w:val="18"/>
              </w:rPr>
            </w:pPr>
            <w:r w:rsidRPr="00496814">
              <w:rPr>
                <w:rFonts w:asciiTheme="minorHAnsi" w:hAnsiTheme="minorHAnsi" w:cstheme="minorHAnsi"/>
                <w:color w:val="62777F"/>
                <w:kern w:val="24"/>
                <w:sz w:val="18"/>
                <w:szCs w:val="18"/>
              </w:rPr>
              <w:t>28,358</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31,850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12.3</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2028-2029</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28,555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32,015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12.1</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2029-2030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
                <w:bCs/>
                <w:sz w:val="18"/>
                <w:szCs w:val="18"/>
              </w:rPr>
            </w:pPr>
            <w:r w:rsidRPr="00496814">
              <w:rPr>
                <w:rFonts w:asciiTheme="minorHAnsi" w:hAnsiTheme="minorHAnsi" w:cstheme="minorHAnsi"/>
                <w:color w:val="62777F"/>
                <w:kern w:val="24"/>
                <w:sz w:val="18"/>
                <w:szCs w:val="18"/>
              </w:rPr>
              <w:t>28,769</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11.9</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2030-2031</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
                <w:bCs/>
                <w:sz w:val="18"/>
                <w:szCs w:val="18"/>
              </w:rPr>
            </w:pPr>
            <w:r w:rsidRPr="00496814">
              <w:rPr>
                <w:rFonts w:asciiTheme="minorHAnsi" w:eastAsiaTheme="minorEastAsia" w:hAnsiTheme="minorHAnsi" w:cstheme="minorHAnsi"/>
                <w:color w:val="62777F"/>
                <w:kern w:val="24"/>
                <w:sz w:val="18"/>
                <w:szCs w:val="18"/>
              </w:rPr>
              <w:t>29,090</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32,400</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11.4</w:t>
            </w:r>
          </w:p>
        </w:tc>
      </w:tr>
    </w:tbl>
    <w:p w:rsidR="00496814" w:rsidRPr="00496814" w:rsidRDefault="00496814" w:rsidP="002F1C44">
      <w:pPr>
        <w:numPr>
          <w:ilvl w:val="0"/>
          <w:numId w:val="41"/>
        </w:numPr>
        <w:tabs>
          <w:tab w:val="num" w:pos="990"/>
        </w:tabs>
        <w:autoSpaceDE w:val="0"/>
        <w:autoSpaceDN w:val="0"/>
        <w:adjustRightInd w:val="0"/>
        <w:spacing w:before="120" w:after="0" w:line="240" w:lineRule="auto"/>
        <w:ind w:left="994" w:right="720" w:hanging="274"/>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 xml:space="preserve">The 2021 relevant CELT forecast 50/50 peak loads reflect the BTM load reductions from the PV forecast as described in </w:t>
      </w:r>
      <w:hyperlink w:anchor="_Forecasts_of_New" w:history="1">
        <w:r w:rsidRPr="00E76ADC">
          <w:rPr>
            <w:rStyle w:val="Hyperlink"/>
            <w:rFonts w:asciiTheme="minorHAnsi" w:eastAsia="Times New Roman" w:hAnsiTheme="minorHAnsi" w:cs="Arial"/>
            <w:sz w:val="16"/>
            <w:szCs w:val="16"/>
          </w:rPr>
          <w:t>Chapter 3</w:t>
        </w:r>
      </w:hyperlink>
      <w:r w:rsidRPr="00496814">
        <w:rPr>
          <w:rFonts w:asciiTheme="minorHAnsi" w:eastAsia="Times New Roman" w:hAnsiTheme="minorHAnsi" w:cs="Arial"/>
          <w:color w:val="000000"/>
          <w:sz w:val="16"/>
          <w:szCs w:val="16"/>
        </w:rPr>
        <w:t xml:space="preserve"> of this RSP. </w:t>
      </w:r>
    </w:p>
    <w:p w:rsidR="00496814" w:rsidRPr="00496814" w:rsidRDefault="00496814" w:rsidP="002F1C44">
      <w:pPr>
        <w:keepNext/>
        <w:keepLines/>
        <w:numPr>
          <w:ilvl w:val="0"/>
          <w:numId w:val="41"/>
        </w:numPr>
        <w:tabs>
          <w:tab w:val="num" w:pos="990"/>
        </w:tabs>
        <w:autoSpaceDE w:val="0"/>
        <w:autoSpaceDN w:val="0"/>
        <w:adjustRightInd w:val="0"/>
        <w:spacing w:after="0" w:line="240" w:lineRule="auto"/>
        <w:ind w:left="994" w:right="720" w:hanging="274"/>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Net ICR</w:t>
      </w:r>
      <w:r w:rsidR="00933BD7" w:rsidRPr="00496814">
        <w:rPr>
          <w:rFonts w:asciiTheme="minorHAnsi" w:eastAsia="Times New Roman" w:hAnsiTheme="minorHAnsi" w:cs="Arial"/>
          <w:color w:val="000000"/>
          <w:sz w:val="16"/>
          <w:szCs w:val="16"/>
        </w:rPr>
        <w:t xml:space="preserve"> </w:t>
      </w:r>
      <w:r w:rsidRPr="00496814">
        <w:rPr>
          <w:rFonts w:asciiTheme="minorHAnsi" w:eastAsia="Times New Roman" w:hAnsiTheme="minorHAnsi" w:cs="Arial"/>
          <w:color w:val="000000"/>
          <w:sz w:val="16"/>
          <w:szCs w:val="16"/>
        </w:rPr>
        <w:t xml:space="preserve">values for 2021-2022 to 2024-2025 are the latest values approved by FERC. These net ICR values were developed using </w:t>
      </w:r>
      <w:r w:rsidRPr="00963B61">
        <w:rPr>
          <w:rFonts w:asciiTheme="minorHAnsi" w:eastAsia="Times New Roman" w:hAnsiTheme="minorHAnsi" w:cs="Arial"/>
          <w:i/>
          <w:color w:val="000000"/>
          <w:sz w:val="16"/>
          <w:szCs w:val="16"/>
        </w:rPr>
        <w:t>2020 CELT Report</w:t>
      </w:r>
      <w:r w:rsidRPr="00496814">
        <w:rPr>
          <w:rFonts w:asciiTheme="minorHAnsi" w:eastAsia="Times New Roman" w:hAnsiTheme="minorHAnsi" w:cs="Arial"/>
          <w:color w:val="000000"/>
          <w:sz w:val="16"/>
          <w:szCs w:val="16"/>
        </w:rPr>
        <w:t xml:space="preserve"> loads.</w:t>
      </w:r>
    </w:p>
    <w:p w:rsidR="00496814" w:rsidRPr="00496814" w:rsidRDefault="00496814" w:rsidP="002F1C44">
      <w:pPr>
        <w:numPr>
          <w:ilvl w:val="0"/>
          <w:numId w:val="41"/>
        </w:numPr>
        <w:tabs>
          <w:tab w:val="num" w:pos="990"/>
        </w:tabs>
        <w:spacing w:after="0" w:line="240" w:lineRule="auto"/>
        <w:ind w:left="990" w:right="630" w:hanging="270"/>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 xml:space="preserve">The resulting reserves percentage are calculated using the </w:t>
      </w:r>
      <w:r w:rsidRPr="00963B61">
        <w:rPr>
          <w:rFonts w:asciiTheme="minorHAnsi" w:eastAsia="Times New Roman" w:hAnsiTheme="minorHAnsi" w:cs="Arial"/>
          <w:i/>
          <w:color w:val="000000"/>
          <w:sz w:val="16"/>
          <w:szCs w:val="16"/>
        </w:rPr>
        <w:t>2021 CELT Report</w:t>
      </w:r>
      <w:r w:rsidRPr="00496814">
        <w:rPr>
          <w:rFonts w:asciiTheme="minorHAnsi" w:eastAsia="Times New Roman" w:hAnsiTheme="minorHAnsi" w:cs="Arial"/>
          <w:color w:val="000000"/>
          <w:sz w:val="16"/>
          <w:szCs w:val="16"/>
        </w:rPr>
        <w:t xml:space="preserve"> loads. The resulting reserves percentage for 2021-2022 to 2024-2025, when calculated using their respective </w:t>
      </w:r>
      <w:r w:rsidRPr="00963B61">
        <w:rPr>
          <w:rFonts w:asciiTheme="minorHAnsi" w:eastAsia="Times New Roman" w:hAnsiTheme="minorHAnsi" w:cs="Arial"/>
          <w:i/>
          <w:color w:val="000000"/>
          <w:sz w:val="16"/>
          <w:szCs w:val="16"/>
        </w:rPr>
        <w:t>2020 CELT Report</w:t>
      </w:r>
      <w:r w:rsidRPr="00496814">
        <w:rPr>
          <w:rFonts w:asciiTheme="minorHAnsi" w:eastAsia="Times New Roman" w:hAnsiTheme="minorHAnsi" w:cs="Arial"/>
          <w:color w:val="000000"/>
          <w:sz w:val="16"/>
          <w:szCs w:val="16"/>
        </w:rPr>
        <w:t xml:space="preserve"> loads, ranged from 13.5% to 15.0%. (These values are not shown in the above table.) </w:t>
      </w:r>
    </w:p>
    <w:p w:rsidR="00496814" w:rsidRPr="00496814" w:rsidRDefault="00496814" w:rsidP="00496814">
      <w:pPr>
        <w:spacing w:after="0" w:line="240" w:lineRule="auto"/>
        <w:ind w:left="994" w:right="630" w:hanging="274"/>
      </w:pPr>
      <w:r w:rsidRPr="00496814">
        <w:rPr>
          <w:rFonts w:asciiTheme="minorHAnsi" w:eastAsia="Times New Roman" w:hAnsiTheme="minorHAnsi" w:cs="Arial"/>
          <w:color w:val="000000"/>
          <w:sz w:val="16"/>
          <w:szCs w:val="16"/>
        </w:rPr>
        <w:t xml:space="preserve">(d) </w:t>
      </w:r>
      <w:r w:rsidRPr="00496814">
        <w:rPr>
          <w:rFonts w:asciiTheme="minorHAnsi" w:eastAsia="Times New Roman" w:hAnsiTheme="minorHAnsi" w:cs="Arial"/>
          <w:color w:val="000000"/>
          <w:sz w:val="16"/>
          <w:szCs w:val="16"/>
        </w:rPr>
        <w:tab/>
        <w:t xml:space="preserve">As of the RSP21 publication date, the net ICR for 2025-2026 was under development and will be filed with FERC in November 2021. </w:t>
      </w:r>
    </w:p>
    <w:p w:rsidR="00496814" w:rsidRPr="00496814" w:rsidRDefault="00496814" w:rsidP="00496814"/>
    <w:p w:rsidR="00496814" w:rsidRPr="00496814" w:rsidRDefault="00496814" w:rsidP="00496814">
      <w:r w:rsidRPr="00496814">
        <w:t xml:space="preserve">As shown in </w:t>
      </w:r>
      <w:hyperlink w:anchor="Table_4_1" w:history="1">
        <w:r w:rsidRPr="004267A6">
          <w:rPr>
            <w:rStyle w:val="Hyperlink"/>
          </w:rPr>
          <w:t>Table 4-1</w:t>
        </w:r>
      </w:hyperlink>
      <w:r w:rsidRPr="00496814">
        <w:t xml:space="preserve"> above, the region’s actual net ICR increases from 32,925 MW in 2021-2022 to 33,270 MW in 2024-2025. These actual net ICR values are developed using the 2020 CELT load forecast. The representative future net ICR values for 2026-2027 through 2030-2031 range from 31,705 MW to 32,400 MW, which are between approximately 800 MW to 1,500 MW lower than the actual net ICR values calculated for 2021-2022 through 2024-2025. The representative future net ICR </w:t>
      </w:r>
      <w:r w:rsidR="003F6064">
        <w:t>for 2025-2026 will be</w:t>
      </w:r>
      <w:r w:rsidRPr="00496814">
        <w:t xml:space="preserve"> developed using the 2021 CELT load forecast, which is lower than the 2020 CELT forecast,</w:t>
      </w:r>
      <w:r w:rsidR="003F6064">
        <w:t xml:space="preserve"> </w:t>
      </w:r>
      <w:r w:rsidRPr="00496814">
        <w:t xml:space="preserve"> resulting in lower representative future net ICR as compared with the actual net ICR values. </w:t>
      </w:r>
    </w:p>
    <w:p w:rsidR="00496814" w:rsidRPr="00496814" w:rsidRDefault="00496814" w:rsidP="00853CE5">
      <w:pPr>
        <w:pStyle w:val="Heading3"/>
      </w:pPr>
      <w:bookmarkStart w:id="275" w:name="_Toc176244998"/>
      <w:bookmarkStart w:id="276" w:name="_Toc201669921"/>
      <w:bookmarkStart w:id="277" w:name="_Ref201985943"/>
      <w:bookmarkStart w:id="278" w:name="_Toc207531821"/>
      <w:bookmarkStart w:id="279" w:name="_Ref231194169"/>
      <w:bookmarkStart w:id="280" w:name="_Toc239157060"/>
      <w:bookmarkStart w:id="281" w:name="_Toc271632218"/>
      <w:bookmarkStart w:id="282" w:name="_Ref293769740"/>
      <w:bookmarkStart w:id="283" w:name="_Toc303086376"/>
      <w:bookmarkStart w:id="284" w:name="_Ref330138223"/>
      <w:bookmarkStart w:id="285" w:name="_Toc334601027"/>
      <w:bookmarkStart w:id="286" w:name="_Toc365440994"/>
      <w:bookmarkStart w:id="287" w:name="_Toc396807623"/>
      <w:bookmarkStart w:id="288" w:name="_Toc481053249"/>
      <w:bookmarkStart w:id="289" w:name="_Ref485807268"/>
      <w:bookmarkStart w:id="290" w:name="_Toc490323026"/>
      <w:bookmarkStart w:id="291" w:name="_Toc81544521"/>
      <w:r w:rsidRPr="00496814">
        <w:t>Local Resource Requirements and Limits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496814">
        <w:t xml:space="preserve"> </w:t>
      </w:r>
    </w:p>
    <w:p w:rsidR="00496814" w:rsidRPr="00496814" w:rsidRDefault="00496814" w:rsidP="00496814">
      <w:r w:rsidRPr="00496814">
        <w:t xml:space="preserve">While the </w:t>
      </w:r>
      <w:r w:rsidR="00A96D90">
        <w:t>i</w:t>
      </w:r>
      <w:r w:rsidR="00526AF5">
        <w:t xml:space="preserve">nstalled capacity requirements </w:t>
      </w:r>
      <w:r w:rsidRPr="00496814">
        <w:t xml:space="preserve">address New England’s total capacity requirement assuming the system overall has no transmission constraints, certain subareas are limited in their ability to import or export power. To address the impacts of these constraints on subarea reliability, </w:t>
      </w:r>
      <w:r w:rsidRPr="00C129D1">
        <w:t xml:space="preserve">before each </w:t>
      </w:r>
      <w:r w:rsidR="00A96D90">
        <w:t xml:space="preserve">Forward Capacity Market </w:t>
      </w:r>
      <w:r w:rsidRPr="00C129D1">
        <w:t>auction the</w:t>
      </w:r>
      <w:r w:rsidRPr="00496814">
        <w:t xml:space="preserve"> ISO determines the local sourcing requirement (LSR) and maximum capacity limit for certain subareas within New England.</w:t>
      </w:r>
      <w:r w:rsidRPr="00496814" w:rsidDel="00084843">
        <w:t xml:space="preserve"> </w:t>
      </w:r>
      <w:r w:rsidRPr="00496814">
        <w:t>A</w:t>
      </w:r>
      <w:r w:rsidR="008B3265">
        <w:t>n</w:t>
      </w:r>
      <w:r w:rsidRPr="00496814">
        <w:t xml:space="preserve"> LSR is the minimum amount of capacity that must be </w:t>
      </w:r>
      <w:r w:rsidRPr="00C129D1">
        <w:t>electrically located</w:t>
      </w:r>
      <w:r w:rsidRPr="00496814">
        <w:t xml:space="preserve"> within an import-constrained </w:t>
      </w:r>
      <w:r w:rsidR="00A96D90">
        <w:t>c</w:t>
      </w:r>
      <w:r w:rsidR="00A96D90" w:rsidRPr="00496814">
        <w:t xml:space="preserve">apacity </w:t>
      </w:r>
      <w:r w:rsidR="00A96D90">
        <w:t>z</w:t>
      </w:r>
      <w:r w:rsidR="00A96D90" w:rsidRPr="00496814">
        <w:t xml:space="preserve">one </w:t>
      </w:r>
      <w:r w:rsidRPr="00496814">
        <w:t>to meet the net ICR. A</w:t>
      </w:r>
      <w:r w:rsidR="00A96D90">
        <w:t xml:space="preserve"> maximum capacity limit (MCL) </w:t>
      </w:r>
      <w:r w:rsidRPr="00496814">
        <w:t xml:space="preserve">is the maximum amount of capacity electrically connected in an export-constrained </w:t>
      </w:r>
      <w:r w:rsidR="00A96D90">
        <w:t>c</w:t>
      </w:r>
      <w:r w:rsidR="00A96D90" w:rsidRPr="00496814">
        <w:t xml:space="preserve">apacity </w:t>
      </w:r>
      <w:r w:rsidR="00A96D90">
        <w:t>z</w:t>
      </w:r>
      <w:r w:rsidR="00A96D90" w:rsidRPr="00496814">
        <w:t xml:space="preserve">one </w:t>
      </w:r>
      <w:r w:rsidRPr="00496814">
        <w:t xml:space="preserve">used to meet the net ICR for the New England region. Before each </w:t>
      </w:r>
      <w:r w:rsidR="00A96D90">
        <w:t>Forward Capacity Auction</w:t>
      </w:r>
      <w:r w:rsidRPr="00496814">
        <w:t xml:space="preserve">, areas that meet certain objective criteria for zonal modeling are designated as </w:t>
      </w:r>
      <w:r w:rsidR="00A96D90">
        <w:t>c</w:t>
      </w:r>
      <w:r w:rsidR="00A96D90" w:rsidRPr="00496814">
        <w:t xml:space="preserve">apacity </w:t>
      </w:r>
      <w:r w:rsidR="00A96D90">
        <w:t>z</w:t>
      </w:r>
      <w:r w:rsidR="00A96D90" w:rsidRPr="00496814">
        <w:t xml:space="preserve">ones </w:t>
      </w:r>
      <w:r w:rsidRPr="00496814">
        <w:t>and assigned a</w:t>
      </w:r>
      <w:r w:rsidR="000053F4">
        <w:t>n</w:t>
      </w:r>
      <w:r w:rsidRPr="00496814">
        <w:t xml:space="preserve"> LSR or MCL.</w:t>
      </w:r>
      <w:r w:rsidRPr="00496814">
        <w:rPr>
          <w:vertAlign w:val="superscript"/>
        </w:rPr>
        <w:footnoteReference w:id="49"/>
      </w:r>
      <w:r w:rsidRPr="00496814">
        <w:t xml:space="preserve"> Annually, the ISO identifies and evaluates all the boundaries and interface transfer capabilities that could be relevant to FCA </w:t>
      </w:r>
      <w:r w:rsidR="00A96D90">
        <w:t>c</w:t>
      </w:r>
      <w:r w:rsidR="00A96D90" w:rsidRPr="00496814">
        <w:t xml:space="preserve">apacity </w:t>
      </w:r>
      <w:r w:rsidR="00A96D90">
        <w:t>z</w:t>
      </w:r>
      <w:r w:rsidR="00A96D90" w:rsidRPr="00496814">
        <w:t xml:space="preserve">one </w:t>
      </w:r>
      <w:r w:rsidRPr="00496814">
        <w:t>modeling. The review must focus on the actual constraints observed and expected on the New England system and directly consider submitted retirements and rejected de</w:t>
      </w:r>
      <w:r w:rsidR="00285ADB">
        <w:t>-</w:t>
      </w:r>
      <w:r w:rsidRPr="00496814">
        <w:t xml:space="preserve">list bids. This review is designed to be responsive to system changes, such as new transmission facilities and new capacity resources. For the 2021-2022 CCP, three </w:t>
      </w:r>
      <w:r w:rsidR="00A96D90">
        <w:t>c</w:t>
      </w:r>
      <w:r w:rsidR="00A96D90" w:rsidRPr="00496814">
        <w:t xml:space="preserve">apacity </w:t>
      </w:r>
      <w:r w:rsidR="00A96D90">
        <w:t>z</w:t>
      </w:r>
      <w:r w:rsidR="00A96D90" w:rsidRPr="00496814">
        <w:t xml:space="preserve">ones </w:t>
      </w:r>
      <w:r w:rsidRPr="00496814">
        <w:t xml:space="preserve">were reviewed as potential </w:t>
      </w:r>
      <w:r w:rsidR="00A96D90">
        <w:t>c</w:t>
      </w:r>
      <w:r w:rsidR="00A96D90" w:rsidRPr="00496814">
        <w:t xml:space="preserve">apacity </w:t>
      </w:r>
      <w:r w:rsidR="00A96D90">
        <w:t>z</w:t>
      </w:r>
      <w:r w:rsidR="00A96D90" w:rsidRPr="00496814">
        <w:t>ones</w:t>
      </w:r>
      <w:r w:rsidRPr="00496814">
        <w:t>: Southeast New England (SENE), Northern New England (NNE), and Rest-of-Pool (ROP). For CCPs 2022-2023, 2023-2024, 2024-2025 and 2025-2026,</w:t>
      </w:r>
      <w:r w:rsidRPr="00496814">
        <w:rPr>
          <w:vertAlign w:val="superscript"/>
        </w:rPr>
        <w:footnoteReference w:id="50"/>
      </w:r>
      <w:r w:rsidRPr="00496814">
        <w:t xml:space="preserve"> it was determined that the following </w:t>
      </w:r>
      <w:r w:rsidR="00A96D90">
        <w:t>c</w:t>
      </w:r>
      <w:r w:rsidRPr="00496814">
        <w:t xml:space="preserve">apacity </w:t>
      </w:r>
      <w:r w:rsidR="00A96D90">
        <w:t>z</w:t>
      </w:r>
      <w:r w:rsidRPr="00496814">
        <w:t xml:space="preserve">ones would be reviewed as potential </w:t>
      </w:r>
      <w:r w:rsidR="00A96D90">
        <w:t>c</w:t>
      </w:r>
      <w:r w:rsidRPr="00496814">
        <w:t xml:space="preserve">apacity </w:t>
      </w:r>
      <w:r w:rsidR="00A96D90">
        <w:t>z</w:t>
      </w:r>
      <w:r w:rsidRPr="00496814">
        <w:t>ones: SENE, NNE with the Maine Capacity Zone nested inside the NNE Zone, and ROP.</w:t>
      </w:r>
    </w:p>
    <w:p w:rsidR="00496814" w:rsidRPr="00496814" w:rsidRDefault="00D37EB1" w:rsidP="00496814">
      <w:hyperlink w:anchor="Table_4_2" w:history="1">
        <w:r w:rsidR="00496814" w:rsidRPr="007D73B1">
          <w:rPr>
            <w:rStyle w:val="Hyperlink"/>
          </w:rPr>
          <w:t>Table 4-2</w:t>
        </w:r>
      </w:hyperlink>
      <w:r w:rsidR="00496814" w:rsidRPr="00496814">
        <w:t xml:space="preserve"> tabulates the latest LSR and MCL values for the last four CCPs.</w:t>
      </w:r>
      <w:bookmarkStart w:id="292" w:name="_Toc176244999"/>
      <w:r w:rsidR="00496814" w:rsidRPr="00496814">
        <w:rPr>
          <w:vertAlign w:val="superscript"/>
        </w:rPr>
        <w:footnoteReference w:id="51"/>
      </w:r>
      <w:r w:rsidR="00496814" w:rsidRPr="00496814">
        <w:t xml:space="preserve"> </w:t>
      </w:r>
      <w:r w:rsidR="00675F2B">
        <w:t xml:space="preserve"> </w:t>
      </w:r>
      <w:r w:rsidR="00496814" w:rsidRPr="00496814">
        <w:t xml:space="preserve">The LSR and MCL values for 2025-2026 are under development and scheduled to be filed with FERC in November 2021. Future representative LSR and MCL values have not been developed because insufficient information exists for the ISO to determine </w:t>
      </w:r>
      <w:r w:rsidR="003A4ABE">
        <w:t>what</w:t>
      </w:r>
      <w:r w:rsidR="003A4ABE" w:rsidRPr="00496814">
        <w:t xml:space="preserve"> </w:t>
      </w:r>
      <w:r w:rsidR="00496814" w:rsidRPr="00496814">
        <w:t>future import and export Capacity Zones, if any, will be established.</w:t>
      </w:r>
    </w:p>
    <w:p w:rsidR="00496814" w:rsidRPr="00DB6489" w:rsidRDefault="00AB0EDC" w:rsidP="001D69A5">
      <w:pPr>
        <w:pStyle w:val="Caption"/>
        <w:rPr>
          <w:vertAlign w:val="superscript"/>
        </w:rPr>
      </w:pPr>
      <w:bookmarkStart w:id="293" w:name="Table_4_2"/>
      <w:bookmarkStart w:id="294" w:name="_Toc491244006"/>
      <w:bookmarkStart w:id="295" w:name="_Toc81544633"/>
      <w:r w:rsidRPr="00DB6489">
        <w:t xml:space="preserve">Table </w:t>
      </w:r>
      <w:fldSimple w:instr=" STYLEREF 1 \s ">
        <w:r w:rsidR="001D2A17">
          <w:rPr>
            <w:noProof/>
          </w:rPr>
          <w:t>4</w:t>
        </w:r>
      </w:fldSimple>
      <w:r w:rsidR="001D2A17">
        <w:noBreakHyphen/>
      </w:r>
      <w:fldSimple w:instr=" SEQ Table \* ARABIC \s 1 ">
        <w:r w:rsidR="001D2A17">
          <w:rPr>
            <w:noProof/>
          </w:rPr>
          <w:t>2</w:t>
        </w:r>
      </w:fldSimple>
      <w:bookmarkEnd w:id="293"/>
      <w:r w:rsidR="00496814" w:rsidRPr="00DB6489">
        <w:rPr>
          <w:bCs w:val="0"/>
        </w:rPr>
        <w:br/>
        <w:t>Actual LSRs and MCLs (MW)</w:t>
      </w:r>
      <w:r w:rsidR="00496814" w:rsidRPr="00DB6489">
        <w:rPr>
          <w:bCs w:val="0"/>
          <w:vertAlign w:val="superscript"/>
        </w:rPr>
        <w:t>(a)</w:t>
      </w:r>
      <w:bookmarkEnd w:id="294"/>
      <w:bookmarkEnd w:id="295"/>
    </w:p>
    <w:tbl>
      <w:tblPr>
        <w:tblW w:w="5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6"/>
        <w:gridCol w:w="996"/>
        <w:gridCol w:w="1146"/>
        <w:gridCol w:w="1079"/>
        <w:gridCol w:w="1213"/>
      </w:tblGrid>
      <w:tr w:rsidR="00496814" w:rsidRPr="00496814" w:rsidTr="006E0ABA">
        <w:trPr>
          <w:trHeight w:val="300"/>
          <w:jc w:val="center"/>
        </w:trPr>
        <w:tc>
          <w:tcPr>
            <w:tcW w:w="2092" w:type="dxa"/>
            <w:gridSpan w:val="2"/>
            <w:vMerge w:val="restart"/>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Capacity Commitment Period</w:t>
            </w:r>
          </w:p>
        </w:tc>
        <w:tc>
          <w:tcPr>
            <w:tcW w:w="114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LSR (MW)</w:t>
            </w:r>
            <w:r w:rsidRPr="00496814">
              <w:rPr>
                <w:rFonts w:ascii="Calibri" w:eastAsia="Times New Roman" w:hAnsi="Calibri" w:cs="Calibri"/>
                <w:b/>
                <w:bCs/>
                <w:color w:val="FFFFFF"/>
                <w:sz w:val="18"/>
                <w:szCs w:val="18"/>
                <w:vertAlign w:val="superscript"/>
              </w:rPr>
              <w:t>(b)</w:t>
            </w:r>
          </w:p>
        </w:tc>
        <w:tc>
          <w:tcPr>
            <w:tcW w:w="2292" w:type="dxa"/>
            <w:gridSpan w:val="2"/>
            <w:shd w:val="clear" w:color="000000" w:fill="1795D2"/>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MCL (MW)</w:t>
            </w:r>
            <w:r w:rsidRPr="00496814">
              <w:rPr>
                <w:rFonts w:ascii="Calibri" w:eastAsia="Times New Roman" w:hAnsi="Calibri" w:cs="Calibri"/>
                <w:b/>
                <w:bCs/>
                <w:color w:val="FFFFFF"/>
                <w:sz w:val="18"/>
                <w:szCs w:val="18"/>
                <w:vertAlign w:val="superscript"/>
              </w:rPr>
              <w:t>(b)</w:t>
            </w:r>
          </w:p>
        </w:tc>
      </w:tr>
      <w:tr w:rsidR="00496814" w:rsidRPr="00496814" w:rsidTr="006E0ABA">
        <w:trPr>
          <w:trHeight w:val="480"/>
          <w:jc w:val="center"/>
        </w:trPr>
        <w:tc>
          <w:tcPr>
            <w:tcW w:w="2092" w:type="dxa"/>
            <w:gridSpan w:val="2"/>
            <w:vMerge/>
            <w:vAlign w:val="center"/>
            <w:hideMark/>
          </w:tcPr>
          <w:p w:rsidR="00496814" w:rsidRPr="00496814" w:rsidRDefault="00496814" w:rsidP="00496814">
            <w:pPr>
              <w:keepNext/>
              <w:keepLines/>
              <w:spacing w:after="0" w:line="240" w:lineRule="auto"/>
              <w:rPr>
                <w:rFonts w:ascii="Calibri" w:eastAsia="Times New Roman" w:hAnsi="Calibri" w:cs="Calibri"/>
                <w:b/>
                <w:bCs/>
                <w:color w:val="FFFFFF"/>
                <w:sz w:val="18"/>
                <w:szCs w:val="18"/>
              </w:rPr>
            </w:pPr>
          </w:p>
        </w:tc>
        <w:tc>
          <w:tcPr>
            <w:tcW w:w="114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SENE</w:t>
            </w:r>
            <w:r w:rsidRPr="00496814">
              <w:rPr>
                <w:rFonts w:ascii="Calibri" w:eastAsia="Times New Roman" w:hAnsi="Calibri" w:cs="Calibri"/>
                <w:b/>
                <w:bCs/>
                <w:color w:val="FFFFFF"/>
                <w:sz w:val="18"/>
                <w:szCs w:val="18"/>
                <w:vertAlign w:val="superscript"/>
              </w:rPr>
              <w:t>(c)</w:t>
            </w:r>
          </w:p>
        </w:tc>
        <w:tc>
          <w:tcPr>
            <w:tcW w:w="1079" w:type="dxa"/>
            <w:shd w:val="clear" w:color="000000" w:fill="1795D2"/>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Maine</w:t>
            </w:r>
            <w:r w:rsidRPr="00496814">
              <w:rPr>
                <w:rFonts w:ascii="Calibri" w:eastAsia="Times New Roman" w:hAnsi="Calibri" w:cs="Calibri"/>
                <w:b/>
                <w:bCs/>
                <w:color w:val="FFFFFF"/>
                <w:sz w:val="18"/>
                <w:szCs w:val="18"/>
                <w:vertAlign w:val="superscript"/>
              </w:rPr>
              <w:t>(d)</w:t>
            </w:r>
            <w:r w:rsidRPr="00496814">
              <w:rPr>
                <w:rFonts w:ascii="Calibri" w:eastAsia="Times New Roman" w:hAnsi="Calibri" w:cs="Calibri"/>
                <w:b/>
                <w:bCs/>
                <w:color w:val="FFFFFF"/>
                <w:sz w:val="18"/>
                <w:szCs w:val="18"/>
              </w:rPr>
              <w:t xml:space="preserve"> </w:t>
            </w:r>
          </w:p>
        </w:tc>
        <w:tc>
          <w:tcPr>
            <w:tcW w:w="1213"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NNE</w:t>
            </w:r>
            <w:r w:rsidRPr="00496814">
              <w:rPr>
                <w:rFonts w:ascii="Calibri" w:eastAsia="Times New Roman" w:hAnsi="Calibri" w:cs="Calibri"/>
                <w:b/>
                <w:bCs/>
                <w:color w:val="FFFFFF"/>
                <w:sz w:val="18"/>
                <w:szCs w:val="18"/>
                <w:vertAlign w:val="superscript"/>
              </w:rPr>
              <w:t>(c)</w:t>
            </w:r>
          </w:p>
        </w:tc>
      </w:tr>
      <w:tr w:rsidR="00496814" w:rsidRPr="00496814" w:rsidTr="006E0ABA">
        <w:trPr>
          <w:trHeight w:val="300"/>
          <w:jc w:val="center"/>
        </w:trPr>
        <w:tc>
          <w:tcPr>
            <w:tcW w:w="10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2021-2022</w:t>
            </w:r>
          </w:p>
        </w:tc>
        <w:tc>
          <w:tcPr>
            <w:tcW w:w="9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12</w:t>
            </w:r>
          </w:p>
        </w:tc>
        <w:tc>
          <w:tcPr>
            <w:tcW w:w="1146"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9,511</w:t>
            </w:r>
          </w:p>
        </w:tc>
        <w:tc>
          <w:tcPr>
            <w:tcW w:w="1079" w:type="dxa"/>
            <w:shd w:val="clear" w:color="000000" w:fill="FFFFFF"/>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N/A</w:t>
            </w:r>
          </w:p>
        </w:tc>
        <w:tc>
          <w:tcPr>
            <w:tcW w:w="1213"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8,695</w:t>
            </w:r>
          </w:p>
        </w:tc>
      </w:tr>
      <w:tr w:rsidR="00496814" w:rsidRPr="00496814" w:rsidTr="006E0ABA">
        <w:trPr>
          <w:trHeight w:val="300"/>
          <w:jc w:val="center"/>
        </w:trPr>
        <w:tc>
          <w:tcPr>
            <w:tcW w:w="10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2022-2023</w:t>
            </w:r>
          </w:p>
        </w:tc>
        <w:tc>
          <w:tcPr>
            <w:tcW w:w="9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13</w:t>
            </w:r>
          </w:p>
        </w:tc>
        <w:tc>
          <w:tcPr>
            <w:tcW w:w="114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9,633</w:t>
            </w:r>
          </w:p>
        </w:tc>
        <w:tc>
          <w:tcPr>
            <w:tcW w:w="1079" w:type="dxa"/>
            <w:shd w:val="clear" w:color="000000" w:fill="CCEAF9"/>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N/A</w:t>
            </w:r>
          </w:p>
        </w:tc>
        <w:tc>
          <w:tcPr>
            <w:tcW w:w="1213"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8,740</w:t>
            </w:r>
          </w:p>
        </w:tc>
      </w:tr>
      <w:tr w:rsidR="00496814" w:rsidRPr="00496814" w:rsidTr="006E0ABA">
        <w:trPr>
          <w:trHeight w:val="300"/>
          <w:jc w:val="center"/>
        </w:trPr>
        <w:tc>
          <w:tcPr>
            <w:tcW w:w="10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2023-2024</w:t>
            </w:r>
          </w:p>
        </w:tc>
        <w:tc>
          <w:tcPr>
            <w:tcW w:w="9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14</w:t>
            </w:r>
          </w:p>
        </w:tc>
        <w:tc>
          <w:tcPr>
            <w:tcW w:w="1146"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9,798</w:t>
            </w:r>
          </w:p>
        </w:tc>
        <w:tc>
          <w:tcPr>
            <w:tcW w:w="1079" w:type="dxa"/>
            <w:shd w:val="clear" w:color="000000" w:fill="FFFFFF"/>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4,295</w:t>
            </w:r>
          </w:p>
        </w:tc>
        <w:tc>
          <w:tcPr>
            <w:tcW w:w="1213"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8,800</w:t>
            </w:r>
          </w:p>
        </w:tc>
      </w:tr>
      <w:tr w:rsidR="00496814" w:rsidRPr="00496814" w:rsidTr="006E0ABA">
        <w:trPr>
          <w:trHeight w:val="300"/>
          <w:jc w:val="center"/>
        </w:trPr>
        <w:tc>
          <w:tcPr>
            <w:tcW w:w="10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2024-2025</w:t>
            </w:r>
          </w:p>
        </w:tc>
        <w:tc>
          <w:tcPr>
            <w:tcW w:w="9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15</w:t>
            </w:r>
          </w:p>
        </w:tc>
        <w:tc>
          <w:tcPr>
            <w:tcW w:w="114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10,305</w:t>
            </w:r>
          </w:p>
        </w:tc>
        <w:tc>
          <w:tcPr>
            <w:tcW w:w="1079" w:type="dxa"/>
            <w:shd w:val="clear" w:color="000000" w:fill="CCEAF9"/>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4,145</w:t>
            </w:r>
          </w:p>
        </w:tc>
        <w:tc>
          <w:tcPr>
            <w:tcW w:w="1213"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8,680</w:t>
            </w:r>
          </w:p>
        </w:tc>
      </w:tr>
    </w:tbl>
    <w:p w:rsidR="00526AF5" w:rsidRDefault="00526AF5"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Arial"/>
          <w:sz w:val="16"/>
          <w:szCs w:val="16"/>
        </w:rPr>
      </w:pP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(a) </w:t>
      </w:r>
      <w:r w:rsidR="00526AF5" w:rsidRPr="00FA3C46">
        <w:rPr>
          <w:rFonts w:asciiTheme="minorHAnsi" w:eastAsia="Times New Roman" w:hAnsiTheme="minorHAnsi" w:cstheme="minorHAnsi"/>
          <w:sz w:val="16"/>
          <w:szCs w:val="16"/>
        </w:rPr>
        <w:tab/>
      </w:r>
      <w:r w:rsidRPr="00FA3C46">
        <w:rPr>
          <w:rFonts w:asciiTheme="minorHAnsi" w:eastAsia="Times New Roman" w:hAnsiTheme="minorHAnsi" w:cstheme="minorHAnsi"/>
          <w:sz w:val="16"/>
          <w:szCs w:val="16"/>
        </w:rPr>
        <w:t>Source: “Summary of Historical Installed Capacity Requirements and Related Values Tables” in “</w:t>
      </w:r>
      <w:hyperlink r:id="rId141" w:history="1">
        <w:r w:rsidRPr="00FA3C46">
          <w:rPr>
            <w:rStyle w:val="Hyperlink"/>
            <w:rFonts w:asciiTheme="minorHAnsi" w:hAnsiTheme="minorHAnsi" w:cstheme="minorHAnsi"/>
            <w:sz w:val="16"/>
          </w:rPr>
          <w:t>Summary of the ICR and Related Values and Associated Assumptions</w:t>
        </w:r>
      </w:hyperlink>
      <w:r w:rsidRPr="00FA3C46">
        <w:rPr>
          <w:rFonts w:asciiTheme="minorHAnsi" w:eastAsia="Times New Roman" w:hAnsiTheme="minorHAnsi" w:cstheme="minorHAnsi"/>
          <w:sz w:val="16"/>
          <w:szCs w:val="16"/>
        </w:rPr>
        <w:t>” spreadsheet. These are the latest values filed with FERC.</w:t>
      </w: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(b) </w:t>
      </w:r>
      <w:r w:rsidRPr="00FA3C46">
        <w:rPr>
          <w:rFonts w:asciiTheme="minorHAnsi" w:eastAsia="Times New Roman" w:hAnsiTheme="minorHAnsi" w:cstheme="minorHAnsi"/>
          <w:sz w:val="16"/>
          <w:szCs w:val="16"/>
        </w:rPr>
        <w:tab/>
        <w:t>LSR and MCL values were calculated only for Capacity Zones triggered to be modeled in that CCP.</w:t>
      </w:r>
      <w:bookmarkStart w:id="296" w:name="_Ref173230243"/>
      <w:bookmarkStart w:id="297" w:name="_Toc176245001"/>
      <w:bookmarkStart w:id="298" w:name="_Toc201669924"/>
      <w:bookmarkStart w:id="299" w:name="_Ref201977716"/>
      <w:bookmarkStart w:id="300" w:name="_Ref201977766"/>
      <w:bookmarkStart w:id="301" w:name="_Ref202091737"/>
      <w:bookmarkStart w:id="302" w:name="_Ref204270095"/>
      <w:bookmarkStart w:id="303" w:name="_Toc207531824"/>
      <w:bookmarkStart w:id="304" w:name="_Ref231035150"/>
      <w:bookmarkStart w:id="305" w:name="_Ref231139658"/>
      <w:bookmarkStart w:id="306" w:name="_Ref231186544"/>
      <w:bookmarkStart w:id="307" w:name="_Toc239157061"/>
      <w:bookmarkStart w:id="308" w:name="_Ref266110745"/>
      <w:bookmarkStart w:id="309" w:name="_Ref266616294"/>
      <w:bookmarkStart w:id="310" w:name="_Ref266712567"/>
      <w:bookmarkStart w:id="311" w:name="_Toc271632219"/>
      <w:bookmarkStart w:id="312" w:name="_Ref293762973"/>
      <w:bookmarkStart w:id="313" w:name="_Ref296343987"/>
      <w:bookmarkStart w:id="314" w:name="_Ref296345985"/>
      <w:bookmarkStart w:id="315" w:name="_Ref296346661"/>
      <w:bookmarkStart w:id="316" w:name="_Ref297196157"/>
      <w:bookmarkStart w:id="317" w:name="_Ref297214066"/>
      <w:bookmarkStart w:id="318" w:name="_Ref297231757"/>
      <w:bookmarkStart w:id="319" w:name="_Ref298081054"/>
      <w:bookmarkStart w:id="320" w:name="_Toc303086377"/>
      <w:bookmarkStart w:id="321" w:name="_Toc334601028"/>
      <w:bookmarkStart w:id="322" w:name="_Toc365440995"/>
      <w:bookmarkStart w:id="323" w:name="_Ref354577349"/>
      <w:bookmarkStart w:id="324" w:name="_Ref388452282"/>
      <w:bookmarkStart w:id="325" w:name="_Ref388801529"/>
      <w:bookmarkStart w:id="326" w:name="_Ref388869264"/>
      <w:bookmarkStart w:id="327" w:name="_Toc396807624"/>
      <w:bookmarkStart w:id="328" w:name="_Toc481053251"/>
      <w:bookmarkEnd w:id="292"/>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(c) </w:t>
      </w:r>
      <w:r w:rsidRPr="00FA3C46">
        <w:rPr>
          <w:rFonts w:asciiTheme="minorHAnsi" w:eastAsia="Times New Roman" w:hAnsiTheme="minorHAnsi" w:cstheme="minorHAnsi"/>
          <w:sz w:val="16"/>
          <w:szCs w:val="16"/>
        </w:rPr>
        <w:tab/>
        <w:t>The SENE Capacity Zone is the aggregation of the Northeast Massachusetts (NEMA)/Boston and Southeast Massachusetts/Rhode Island (SEMA/RI) Load Zones. The NNE Capacity Zone is the aggregation of the Maine, New Hampshire, and Vermont Load Zones.</w:t>
      </w: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(d) </w:t>
      </w:r>
      <w:r w:rsidRPr="00FA3C46">
        <w:rPr>
          <w:rFonts w:asciiTheme="minorHAnsi" w:eastAsia="Times New Roman" w:hAnsiTheme="minorHAnsi" w:cstheme="minorHAnsi"/>
          <w:sz w:val="16"/>
          <w:szCs w:val="16"/>
        </w:rPr>
        <w:tab/>
        <w:t>The Maine Capacity Zone is nested within the NNE Capacity Zone.</w:t>
      </w:r>
    </w:p>
    <w:p w:rsidR="00496814" w:rsidRPr="00496814" w:rsidRDefault="00496814" w:rsidP="00853CE5">
      <w:pPr>
        <w:pStyle w:val="Heading3"/>
      </w:pPr>
      <w:bookmarkStart w:id="329" w:name="_Toc490323027"/>
      <w:bookmarkStart w:id="330" w:name="_Ref490324272"/>
      <w:bookmarkStart w:id="331" w:name="_Ref490324949"/>
      <w:bookmarkStart w:id="332" w:name="_Ref490324988"/>
      <w:bookmarkStart w:id="333" w:name="_Ref491174411"/>
      <w:bookmarkStart w:id="334" w:name="_Ref491174539"/>
      <w:bookmarkStart w:id="335" w:name="_Ref10720490"/>
      <w:bookmarkStart w:id="336" w:name="_Ref10817563"/>
      <w:bookmarkStart w:id="337" w:name="_Ref11515320"/>
      <w:bookmarkStart w:id="338" w:name="_Ref11658329"/>
      <w:bookmarkStart w:id="339" w:name="_Ref11823371"/>
      <w:bookmarkStart w:id="340" w:name="_Ref12539683"/>
      <w:bookmarkStart w:id="341" w:name="_Toc81544522"/>
      <w:r w:rsidRPr="00496814">
        <w:t>Import Capabilities</w:t>
      </w:r>
      <w:bookmarkEnd w:id="341"/>
    </w:p>
    <w:p w:rsidR="00496814" w:rsidRPr="00496814" w:rsidRDefault="00496814" w:rsidP="00496814">
      <w:r w:rsidRPr="00496814">
        <w:t>Interconnections with neighboring regions provide opportunities for exchanging capacity, energy, reserves, and mutual assistance during capacity-shortage conditions. Capacity imports help New England meet</w:t>
      </w:r>
      <w:r w:rsidR="00526AF5">
        <w:t xml:space="preserve"> ICR</w:t>
      </w:r>
      <w:r w:rsidRPr="00496814">
        <w:t xml:space="preserve"> and </w:t>
      </w:r>
      <w:r w:rsidR="003A4ABE">
        <w:t>enhance</w:t>
      </w:r>
      <w:r w:rsidR="003A4ABE" w:rsidRPr="00496814">
        <w:t xml:space="preserve"> </w:t>
      </w:r>
      <w:r w:rsidRPr="00496814">
        <w:t xml:space="preserve">competition in the </w:t>
      </w:r>
      <w:r w:rsidR="002278AA" w:rsidRPr="00FF45B8">
        <w:t>capacity and energy markets</w:t>
      </w:r>
      <w:r w:rsidRPr="00496814">
        <w:t>. The tie-reliability benefits from the interconnections also can lower the ICR. Additionally, imports provide resource diversity and can lower regional generation emissions, especially imports of energy from renewable resources.</w:t>
      </w:r>
    </w:p>
    <w:p w:rsidR="00496814" w:rsidRPr="00496814" w:rsidRDefault="00496814" w:rsidP="00496814">
      <w:r w:rsidRPr="00496814">
        <w:t xml:space="preserve">The ISO’s planning studies use the energy and capacity import capabilities </w:t>
      </w:r>
      <w:r w:rsidR="0032013D">
        <w:t>(</w:t>
      </w:r>
      <w:r w:rsidRPr="00496814">
        <w:t xml:space="preserve">shown in </w:t>
      </w:r>
      <w:hyperlink w:anchor="Table_4_3" w:history="1">
        <w:r w:rsidRPr="00CB6090">
          <w:rPr>
            <w:rStyle w:val="Hyperlink"/>
          </w:rPr>
          <w:t>Table 4-3</w:t>
        </w:r>
      </w:hyperlink>
      <w:r w:rsidR="0032013D">
        <w:t>)</w:t>
      </w:r>
      <w:r w:rsidRPr="00496814">
        <w:t xml:space="preserve"> of the 13 interconnections New England has with neighboring power systems in the United States and Eastern Canada.</w:t>
      </w:r>
    </w:p>
    <w:p w:rsidR="00496814" w:rsidRPr="00496814" w:rsidRDefault="00AB0EDC" w:rsidP="001D69A5">
      <w:pPr>
        <w:pStyle w:val="Caption"/>
        <w:rPr>
          <w:rFonts w:asciiTheme="minorHAnsi" w:hAnsiTheme="minorHAnsi"/>
          <w:sz w:val="18"/>
        </w:rPr>
      </w:pPr>
      <w:bookmarkStart w:id="342" w:name="Table_4_3"/>
      <w:bookmarkStart w:id="343" w:name="_Ref418951058"/>
      <w:bookmarkStart w:id="344" w:name="_Toc429063573"/>
      <w:bookmarkStart w:id="345" w:name="_Toc5276474"/>
      <w:bookmarkStart w:id="346" w:name="_Toc81544634"/>
      <w:r>
        <w:t xml:space="preserve">Table </w:t>
      </w:r>
      <w:fldSimple w:instr=" STYLEREF 1 \s ">
        <w:r w:rsidR="001D2A17">
          <w:rPr>
            <w:noProof/>
          </w:rPr>
          <w:t>4</w:t>
        </w:r>
      </w:fldSimple>
      <w:r w:rsidR="001D2A17">
        <w:noBreakHyphen/>
      </w:r>
      <w:fldSimple w:instr=" SEQ Table \* ARABIC \s 1 ">
        <w:r w:rsidR="001D2A17">
          <w:rPr>
            <w:noProof/>
          </w:rPr>
          <w:t>3</w:t>
        </w:r>
      </w:fldSimple>
      <w:bookmarkEnd w:id="342"/>
      <w:r w:rsidR="00496814" w:rsidRPr="00496814">
        <w:rPr>
          <w:b w:val="0"/>
          <w:bCs w:val="0"/>
        </w:rPr>
        <w:t xml:space="preserve"> </w:t>
      </w:r>
      <w:bookmarkEnd w:id="343"/>
      <w:r w:rsidR="00496814" w:rsidRPr="00496814">
        <w:rPr>
          <w:b w:val="0"/>
          <w:bCs w:val="0"/>
        </w:rPr>
        <w:br/>
      </w:r>
      <w:r w:rsidR="00496814" w:rsidRPr="00DB6489">
        <w:rPr>
          <w:rFonts w:asciiTheme="minorHAnsi" w:hAnsiTheme="minorHAnsi"/>
          <w:bCs w:val="0"/>
          <w:sz w:val="18"/>
        </w:rPr>
        <w:t>Assumed External Interface Import Capability, Summer 2021 to Summer 2030 (MW)</w:t>
      </w:r>
      <w:r w:rsidR="00496814" w:rsidRPr="00DB6489">
        <w:rPr>
          <w:rFonts w:asciiTheme="minorHAnsi" w:hAnsiTheme="minorHAnsi"/>
          <w:bCs w:val="0"/>
          <w:sz w:val="18"/>
          <w:vertAlign w:val="superscript"/>
        </w:rPr>
        <w:t>(a)</w:t>
      </w:r>
      <w:bookmarkEnd w:id="344"/>
      <w:bookmarkEnd w:id="345"/>
      <w:bookmarkEnd w:id="346"/>
      <w:r w:rsidR="00496814" w:rsidRPr="00DB6489">
        <w:rPr>
          <w:rFonts w:asciiTheme="minorHAnsi" w:hAnsiTheme="minorHAnsi"/>
          <w:bCs w:val="0"/>
          <w:sz w:val="18"/>
          <w:vertAlign w:val="superscript"/>
        </w:rPr>
        <w:t xml:space="preserve"> </w:t>
      </w:r>
    </w:p>
    <w:tbl>
      <w:tblPr>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496814" w:rsidRPr="00496814" w:rsidTr="006E0ABA">
        <w:trPr>
          <w:jc w:val="center"/>
        </w:trPr>
        <w:tc>
          <w:tcPr>
            <w:tcW w:w="3020" w:type="dxa"/>
            <w:shd w:val="clear" w:color="auto" w:fill="1795D2" w:themeFill="accent1"/>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Interconnection</w:t>
            </w:r>
          </w:p>
        </w:tc>
        <w:tc>
          <w:tcPr>
            <w:tcW w:w="1712" w:type="dxa"/>
            <w:shd w:val="clear" w:color="auto" w:fill="1795D2" w:themeFill="accent1"/>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Import Type</w:t>
            </w:r>
          </w:p>
        </w:tc>
        <w:tc>
          <w:tcPr>
            <w:tcW w:w="1870" w:type="dxa"/>
            <w:shd w:val="clear" w:color="auto" w:fill="1795D2" w:themeFill="accent1"/>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Assumed Import Capability</w:t>
            </w:r>
          </w:p>
        </w:tc>
      </w:tr>
      <w:tr w:rsidR="00496814" w:rsidRPr="00496814" w:rsidTr="006E0ABA">
        <w:trPr>
          <w:jc w:val="center"/>
        </w:trPr>
        <w:tc>
          <w:tcPr>
            <w:tcW w:w="3020" w:type="dxa"/>
            <w:vMerge w:val="restart"/>
            <w:shd w:val="clear" w:color="auto" w:fill="auto"/>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New York–New England AC</w:t>
            </w:r>
          </w:p>
        </w:tc>
        <w:tc>
          <w:tcPr>
            <w:tcW w:w="1712" w:type="dxa"/>
            <w:shd w:val="clear" w:color="auto" w:fill="auto"/>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(b)</w:t>
            </w:r>
          </w:p>
        </w:tc>
        <w:tc>
          <w:tcPr>
            <w:tcW w:w="1870" w:type="dxa"/>
            <w:shd w:val="clear" w:color="auto" w:fill="auto"/>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r w:rsidR="00496814" w:rsidRPr="00496814" w:rsidTr="006E0ABA">
        <w:trPr>
          <w:jc w:val="center"/>
        </w:trPr>
        <w:tc>
          <w:tcPr>
            <w:tcW w:w="3020" w:type="dxa"/>
            <w:vMerge w:val="restart"/>
            <w:shd w:val="clear" w:color="auto" w:fill="CCEAF9" w:themeFill="accent1" w:themeFillTint="33"/>
            <w:vAlign w:val="center"/>
          </w:tcPr>
          <w:p w:rsidR="00496814" w:rsidRDefault="00496814" w:rsidP="00496814">
            <w:pPr>
              <w:keepNext/>
              <w:keepLines/>
              <w:widowControl w:val="0"/>
              <w:spacing w:after="0" w:line="240" w:lineRule="auto"/>
              <w:rPr>
                <w:rFonts w:asciiTheme="minorHAnsi" w:eastAsia="Times New Roman" w:hAnsiTheme="minorHAnsi"/>
                <w:b/>
                <w:color w:val="62777F" w:themeColor="text1"/>
                <w:sz w:val="18"/>
                <w:szCs w:val="18"/>
              </w:rPr>
            </w:pPr>
            <w:r w:rsidRPr="00496814">
              <w:rPr>
                <w:rFonts w:asciiTheme="minorHAnsi" w:eastAsia="Times New Roman" w:hAnsiTheme="minorHAnsi"/>
                <w:b/>
                <w:color w:val="62777F" w:themeColor="text1"/>
                <w:sz w:val="18"/>
                <w:szCs w:val="18"/>
              </w:rPr>
              <w:t>Cross-Sound Cable</w:t>
            </w:r>
          </w:p>
          <w:p w:rsidR="00C45F2C" w:rsidRPr="00496814" w:rsidRDefault="000444D6" w:rsidP="00496814">
            <w:pPr>
              <w:keepNext/>
              <w:keepLines/>
              <w:widowControl w:val="0"/>
              <w:spacing w:after="0" w:line="240" w:lineRule="auto"/>
              <w:rPr>
                <w:rFonts w:asciiTheme="minorHAnsi" w:eastAsia="Times New Roman" w:hAnsiTheme="minorHAnsi"/>
                <w:color w:val="62777F" w:themeColor="text1"/>
                <w:sz w:val="18"/>
                <w:szCs w:val="18"/>
              </w:rPr>
            </w:pPr>
            <w:r w:rsidRPr="00526AF5">
              <w:rPr>
                <w:rFonts w:asciiTheme="minorHAnsi" w:eastAsia="Times New Roman" w:hAnsiTheme="minorHAnsi"/>
                <w:b/>
                <w:color w:val="62777F" w:themeColor="text1"/>
                <w:sz w:val="18"/>
                <w:szCs w:val="18"/>
              </w:rPr>
              <w:t>(New York–New England)</w:t>
            </w: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(c)</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330</w:t>
            </w:r>
          </w:p>
        </w:tc>
      </w:tr>
      <w:tr w:rsidR="00496814" w:rsidRPr="00496814" w:rsidTr="006E0ABA">
        <w:trPr>
          <w:jc w:val="center"/>
        </w:trPr>
        <w:tc>
          <w:tcPr>
            <w:tcW w:w="3020" w:type="dxa"/>
            <w:vMerge/>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0</w:t>
            </w:r>
          </w:p>
        </w:tc>
      </w:tr>
      <w:tr w:rsidR="00496814" w:rsidRPr="00496814" w:rsidTr="006E0ABA">
        <w:trPr>
          <w:jc w:val="center"/>
        </w:trPr>
        <w:tc>
          <w:tcPr>
            <w:tcW w:w="3020" w:type="dxa"/>
            <w:vMerge w:val="restart"/>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Maritimes–New England</w:t>
            </w: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(d)</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1,000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700</w:t>
            </w:r>
          </w:p>
        </w:tc>
      </w:tr>
      <w:tr w:rsidR="00496814" w:rsidRPr="00496814" w:rsidTr="006E0ABA">
        <w:trPr>
          <w:jc w:val="center"/>
        </w:trPr>
        <w:tc>
          <w:tcPr>
            <w:tcW w:w="3020" w:type="dxa"/>
            <w:vMerge w:val="restart"/>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Québec–New England (Highgate)</w:t>
            </w:r>
            <w:r w:rsidRPr="00496814">
              <w:rPr>
                <w:rFonts w:asciiTheme="minorHAnsi" w:eastAsia="Times New Roman" w:hAnsiTheme="minorHAnsi"/>
                <w:b/>
                <w:color w:val="62777F" w:themeColor="text1"/>
                <w:sz w:val="18"/>
                <w:szCs w:val="18"/>
                <w:vertAlign w:val="superscript"/>
              </w:rPr>
              <w:t>(e)</w:t>
            </w: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217</w:t>
            </w:r>
          </w:p>
        </w:tc>
      </w:tr>
      <w:tr w:rsidR="00496814" w:rsidRPr="00496814" w:rsidTr="006E0ABA">
        <w:trPr>
          <w:jc w:val="center"/>
        </w:trPr>
        <w:tc>
          <w:tcPr>
            <w:tcW w:w="3020" w:type="dxa"/>
            <w:vMerge/>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200</w:t>
            </w:r>
          </w:p>
        </w:tc>
      </w:tr>
      <w:tr w:rsidR="00496814" w:rsidRPr="00496814" w:rsidTr="006E0ABA">
        <w:trPr>
          <w:jc w:val="center"/>
        </w:trPr>
        <w:tc>
          <w:tcPr>
            <w:tcW w:w="3020" w:type="dxa"/>
            <w:vMerge w:val="restart"/>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Québec–New England (Phase II)</w:t>
            </w: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(f)</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2,000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bl>
    <w:p w:rsidR="00496814" w:rsidRPr="00496814" w:rsidRDefault="00496814" w:rsidP="00496814">
      <w:pPr>
        <w:keepNext/>
        <w:keepLines/>
        <w:spacing w:before="120"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(a) </w:t>
      </w:r>
      <w:r w:rsidRPr="00496814">
        <w:rPr>
          <w:rFonts w:asciiTheme="minorHAnsi" w:hAnsiTheme="minorHAnsi"/>
          <w:sz w:val="16"/>
          <w:szCs w:val="16"/>
        </w:rPr>
        <w:tab/>
        <w:t xml:space="preserve">Limits are for the summer period. These limits may not include possible simultaneous impacts and should not be considered “firm.” </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(b) </w:t>
      </w:r>
      <w:r w:rsidRPr="00496814">
        <w:rPr>
          <w:rFonts w:asciiTheme="minorHAnsi" w:hAnsiTheme="minorHAnsi"/>
          <w:sz w:val="16"/>
          <w:szCs w:val="16"/>
        </w:rPr>
        <w:tab/>
        <w:t>The AC import capabilities do not include the Cross-Sound Cable (CSC) and the Northport–Norwalk Cable. Simultaneously importing into New England and Connecticut can lower the New York to New England AC capability.</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(c) </w:t>
      </w:r>
      <w:r w:rsidRPr="00496814">
        <w:rPr>
          <w:rFonts w:asciiTheme="minorHAnsi" w:hAnsiTheme="minorHAnsi"/>
          <w:sz w:val="16"/>
          <w:szCs w:val="16"/>
        </w:rPr>
        <w:tab/>
        <w:t>Import capability on the CSC is dependent on the level of local generation in Connecticut.</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(d) </w:t>
      </w:r>
      <w:r w:rsidRPr="00496814">
        <w:rPr>
          <w:rFonts w:asciiTheme="minorHAnsi" w:hAnsiTheme="minorHAnsi"/>
          <w:sz w:val="16"/>
          <w:szCs w:val="16"/>
        </w:rPr>
        <w:tab/>
        <w:t>The electrical limit of the Maritimes (New Brunswick)–New England tie is 1,000 MW. When adjusted for the ability to deliver capacity to the greater New England control area, the New Brunswick–New England transfer capability becomes 700 MW.</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(e) </w:t>
      </w:r>
      <w:r w:rsidRPr="00496814">
        <w:rPr>
          <w:rFonts w:asciiTheme="minorHAnsi" w:hAnsiTheme="minorHAnsi"/>
          <w:sz w:val="16"/>
          <w:szCs w:val="16"/>
        </w:rPr>
        <w:tab/>
        <w:t>The capability listing for the Highgate facility is for the New England AC side of the Highgate terminal.</w:t>
      </w:r>
    </w:p>
    <w:p w:rsidR="00496814" w:rsidRPr="00FA3C46" w:rsidRDefault="00496814" w:rsidP="00496814">
      <w:pPr>
        <w:spacing w:after="0" w:line="240" w:lineRule="auto"/>
        <w:ind w:left="1440" w:right="1080" w:hanging="274"/>
        <w:rPr>
          <w:rFonts w:asciiTheme="minorHAnsi" w:hAnsiTheme="minorHAnsi" w:cstheme="minorHAnsi"/>
          <w:sz w:val="16"/>
          <w:szCs w:val="16"/>
        </w:rPr>
      </w:pPr>
      <w:r w:rsidRPr="00FA3C46">
        <w:rPr>
          <w:rFonts w:asciiTheme="minorHAnsi" w:hAnsiTheme="minorHAnsi" w:cstheme="minorHAnsi"/>
          <w:sz w:val="16"/>
          <w:szCs w:val="16"/>
        </w:rPr>
        <w:t xml:space="preserve">(f) </w:t>
      </w:r>
      <w:r w:rsidRPr="00FA3C46">
        <w:rPr>
          <w:rFonts w:asciiTheme="minorHAnsi" w:hAnsiTheme="minorHAnsi" w:cstheme="minorHAnsi"/>
          <w:sz w:val="16"/>
          <w:szCs w:val="16"/>
        </w:rPr>
        <w:tab/>
        <w:t xml:space="preserve">Because of the need to protect for the loss of the Phase II DC tie (rated at 2,000 MW) 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w:t>
      </w:r>
      <w:hyperlink r:id="rId142" w:history="1">
        <w:r w:rsidRPr="00FA3C46">
          <w:rPr>
            <w:rStyle w:val="Hyperlink"/>
            <w:rFonts w:asciiTheme="minorHAnsi" w:hAnsiTheme="minorHAnsi" w:cstheme="minorHAnsi"/>
            <w:sz w:val="16"/>
          </w:rPr>
          <w:t>Operations Report: Single-Source Contingency</w:t>
        </w:r>
      </w:hyperlink>
      <w:r w:rsidRPr="00FA3C46">
        <w:rPr>
          <w:rFonts w:asciiTheme="minorHAnsi" w:hAnsiTheme="minorHAnsi" w:cstheme="minorHAnsi"/>
          <w:sz w:val="16"/>
          <w:szCs w:val="16"/>
        </w:rPr>
        <w:t xml:space="preserve"> webpage. </w:t>
      </w:r>
    </w:p>
    <w:p w:rsidR="00496814" w:rsidRPr="00496814" w:rsidRDefault="00496814" w:rsidP="00496814">
      <w:pPr>
        <w:spacing w:before="120"/>
      </w:pPr>
      <w:r w:rsidRPr="00496814">
        <w:t xml:space="preserve">Historically, New England experienced net capacity and energy imports. The ISO expects this trend to continue, given the amount of import </w:t>
      </w:r>
      <w:r w:rsidR="00A8239B">
        <w:t>c</w:t>
      </w:r>
      <w:r w:rsidR="00A8239B" w:rsidRPr="00496814">
        <w:t xml:space="preserve">apacity </w:t>
      </w:r>
      <w:r w:rsidR="00A8239B">
        <w:t>s</w:t>
      </w:r>
      <w:r w:rsidR="00A8239B" w:rsidRPr="00496814">
        <w:t xml:space="preserve">upply </w:t>
      </w:r>
      <w:r w:rsidR="00A8239B">
        <w:t>o</w:t>
      </w:r>
      <w:r w:rsidR="00A8239B" w:rsidRPr="00496814">
        <w:t>bligatio</w:t>
      </w:r>
      <w:r w:rsidR="00A8239B" w:rsidRPr="00526AF5">
        <w:t>ns</w:t>
      </w:r>
      <w:r w:rsidRPr="00526AF5">
        <w:t xml:space="preserve"> </w:t>
      </w:r>
      <w:r w:rsidR="008F39DF" w:rsidRPr="00526AF5">
        <w:t xml:space="preserve">(see </w:t>
      </w:r>
      <w:hyperlink w:anchor="Table_4_4" w:history="1">
        <w:r w:rsidR="00526AF5" w:rsidRPr="00526AF5">
          <w:rPr>
            <w:rStyle w:val="Hyperlink"/>
          </w:rPr>
          <w:t>Table 4-4</w:t>
        </w:r>
      </w:hyperlink>
      <w:r w:rsidR="00526AF5">
        <w:t xml:space="preserve"> and </w:t>
      </w:r>
      <w:hyperlink w:anchor="Table_4_5" w:history="1">
        <w:r w:rsidR="00526AF5" w:rsidRPr="00526AF5">
          <w:rPr>
            <w:rStyle w:val="Hyperlink"/>
          </w:rPr>
          <w:t>Table 4-5</w:t>
        </w:r>
      </w:hyperlink>
      <w:r w:rsidR="00526AF5">
        <w:t>)</w:t>
      </w:r>
      <w:r w:rsidR="008F39DF" w:rsidRPr="00526AF5">
        <w:t xml:space="preserve"> </w:t>
      </w:r>
      <w:r w:rsidRPr="00526AF5">
        <w:t>re</w:t>
      </w:r>
      <w:r w:rsidRPr="00496814">
        <w:t xml:space="preserve">sulting from the </w:t>
      </w:r>
      <w:r w:rsidR="00A8239B">
        <w:t>Forward Capacity Auctions</w:t>
      </w:r>
      <w:r w:rsidR="00A8239B" w:rsidRPr="00496814">
        <w:t xml:space="preserve"> </w:t>
      </w:r>
      <w:r w:rsidRPr="00496814">
        <w:t xml:space="preserve">and the number of tie-line projects in the ISO’s interconnection queue, which could provide additional opportunities for importing energy from neighboring power systems. </w:t>
      </w:r>
    </w:p>
    <w:p w:rsidR="00496814" w:rsidRPr="00496814" w:rsidRDefault="00496814" w:rsidP="00853CE5">
      <w:pPr>
        <w:pStyle w:val="Heading3"/>
      </w:pPr>
      <w:bookmarkStart w:id="347" w:name="_Toc81544523"/>
      <w:r w:rsidRPr="00496814">
        <w:t>Capacity Supply Obligations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496814">
        <w:t xml:space="preserve"> </w:t>
      </w:r>
      <w:bookmarkEnd w:id="323"/>
      <w:r w:rsidRPr="00496814">
        <w:t>from the Forward Capacity Auctions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7"/>
      <w:r w:rsidRPr="00496814">
        <w:t xml:space="preserve"> </w:t>
      </w:r>
    </w:p>
    <w:bookmarkStart w:id="348" w:name="_Toc201669927"/>
    <w:bookmarkStart w:id="349" w:name="_Ref202089312"/>
    <w:bookmarkStart w:id="350" w:name="_Toc207531827"/>
    <w:bookmarkStart w:id="351" w:name="_Ref327800904"/>
    <w:p w:rsidR="00496814" w:rsidRPr="00496814" w:rsidRDefault="00CB6090" w:rsidP="00496814">
      <w:r>
        <w:fldChar w:fldCharType="begin"/>
      </w:r>
      <w:r>
        <w:instrText xml:space="preserve"> HYPERLINK  \l "Table_4_4" </w:instrText>
      </w:r>
      <w:r>
        <w:fldChar w:fldCharType="separate"/>
      </w:r>
      <w:r w:rsidR="00496814" w:rsidRPr="00CB6090">
        <w:rPr>
          <w:rStyle w:val="Hyperlink"/>
        </w:rPr>
        <w:t>Table 4-4</w:t>
      </w:r>
      <w:r>
        <w:fldChar w:fldCharType="end"/>
      </w:r>
      <w:r w:rsidR="00496814" w:rsidRPr="00496814">
        <w:t xml:space="preserve"> illustrates the results of the past four </w:t>
      </w:r>
      <w:r w:rsidR="00A8239B">
        <w:t>Forward Capacity Auctions (FCA)</w:t>
      </w:r>
      <w:r w:rsidR="003A4ABE">
        <w:t>,</w:t>
      </w:r>
      <w:r w:rsidR="00496814" w:rsidRPr="00496814">
        <w:t xml:space="preserve"> for </w:t>
      </w:r>
      <w:r w:rsidR="00A8239B">
        <w:t>Capacity Commitment Period</w:t>
      </w:r>
      <w:r w:rsidR="00A8239B" w:rsidRPr="00496814">
        <w:t xml:space="preserve">s </w:t>
      </w:r>
      <w:r w:rsidR="00496814" w:rsidRPr="00496814">
        <w:t>2021-2022 (FCA 12) through 2024-2025 (FCA 15)</w:t>
      </w:r>
      <w:r w:rsidR="003A4ABE">
        <w:t>,</w:t>
      </w:r>
      <w:r w:rsidR="00496814" w:rsidRPr="00496814">
        <w:t xml:space="preserve"> and provides the </w:t>
      </w:r>
      <w:r w:rsidR="00A8239B">
        <w:t>capacity supply obligation (</w:t>
      </w:r>
      <w:r w:rsidR="00496814" w:rsidRPr="00496814">
        <w:t>CSO</w:t>
      </w:r>
      <w:r w:rsidR="00A8239B">
        <w:t>)</w:t>
      </w:r>
      <w:r w:rsidR="00496814" w:rsidRPr="00496814">
        <w:t xml:space="preserve"> totals at the conclusion of each auction. This table also includes some details on the types of CSOs procured, including self-supply obligation values that reflect bilateral capacity arrangements as well as import CSOs from neighboring balancing </w:t>
      </w:r>
      <w:r w:rsidR="003A4ABE">
        <w:t>authorities</w:t>
      </w:r>
      <w:r w:rsidR="00496814" w:rsidRPr="00496814">
        <w:t>.</w:t>
      </w:r>
    </w:p>
    <w:p w:rsidR="00496814" w:rsidRPr="00496814" w:rsidRDefault="00AB0EDC" w:rsidP="00FA3C46">
      <w:pPr>
        <w:pStyle w:val="Caption"/>
        <w:keepNext/>
        <w:keepLines/>
      </w:pPr>
      <w:bookmarkStart w:id="352" w:name="Table_4_4"/>
      <w:bookmarkStart w:id="353" w:name="_Ref8316526"/>
      <w:bookmarkStart w:id="354" w:name="_Toc81544635"/>
      <w:r>
        <w:t xml:space="preserve">Table </w:t>
      </w:r>
      <w:fldSimple w:instr=" STYLEREF 1 \s ">
        <w:r w:rsidR="001D2A17">
          <w:rPr>
            <w:noProof/>
          </w:rPr>
          <w:t>4</w:t>
        </w:r>
      </w:fldSimple>
      <w:r w:rsidR="001D2A17">
        <w:noBreakHyphen/>
      </w:r>
      <w:fldSimple w:instr=" SEQ Table \* ARABIC \s 1 ">
        <w:r w:rsidR="001D2A17">
          <w:rPr>
            <w:noProof/>
          </w:rPr>
          <w:t>4</w:t>
        </w:r>
      </w:fldSimple>
      <w:bookmarkEnd w:id="352"/>
      <w:r w:rsidR="00496814" w:rsidRPr="00496814">
        <w:rPr>
          <w:b w:val="0"/>
          <w:bCs w:val="0"/>
        </w:rPr>
        <w:t xml:space="preserve"> </w:t>
      </w:r>
      <w:bookmarkEnd w:id="353"/>
      <w:r w:rsidR="00496814" w:rsidRPr="00496814">
        <w:rPr>
          <w:b w:val="0"/>
          <w:bCs w:val="0"/>
        </w:rPr>
        <w:br/>
      </w:r>
      <w:r w:rsidR="00496814" w:rsidRPr="00DB6489">
        <w:rPr>
          <w:rFonts w:cs="Arial"/>
          <w:bCs w:val="0"/>
        </w:rPr>
        <w:t>Summary of the FCA Capacity Supply Obligations at the Conclusion of Each Auction (MW)</w:t>
      </w:r>
      <w:r w:rsidR="00496814" w:rsidRPr="00DB6489">
        <w:rPr>
          <w:rFonts w:cs="Arial"/>
          <w:bCs w:val="0"/>
          <w:vertAlign w:val="superscript"/>
        </w:rPr>
        <w:t>(a)</w:t>
      </w:r>
      <w:bookmarkEnd w:id="354"/>
    </w:p>
    <w:tbl>
      <w:tblPr>
        <w:tblW w:w="7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71"/>
        <w:gridCol w:w="944"/>
        <w:gridCol w:w="944"/>
        <w:gridCol w:w="872"/>
        <w:gridCol w:w="953"/>
        <w:gridCol w:w="1190"/>
        <w:gridCol w:w="946"/>
        <w:gridCol w:w="900"/>
      </w:tblGrid>
      <w:tr w:rsidR="00496814" w:rsidRPr="00496814" w:rsidTr="006E0ABA">
        <w:trPr>
          <w:cantSplit/>
          <w:trHeight w:val="694"/>
          <w:tblHeader/>
          <w:jc w:val="center"/>
        </w:trPr>
        <w:tc>
          <w:tcPr>
            <w:tcW w:w="1171"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Commitment Period</w:t>
            </w:r>
          </w:p>
        </w:tc>
        <w:tc>
          <w:tcPr>
            <w:tcW w:w="944" w:type="dxa"/>
            <w:shd w:val="clear" w:color="auto" w:fill="1795D2" w:themeFill="accent1"/>
            <w:vAlign w:val="center"/>
          </w:tcPr>
          <w:p w:rsidR="00496814" w:rsidRPr="00496814" w:rsidRDefault="00496814" w:rsidP="00FA3C46">
            <w:pPr>
              <w:keepNext/>
              <w:keepLines/>
              <w:spacing w:before="20" w:after="2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FCA</w:t>
            </w:r>
          </w:p>
        </w:tc>
        <w:tc>
          <w:tcPr>
            <w:tcW w:w="944"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ICR</w:t>
            </w:r>
          </w:p>
        </w:tc>
        <w:tc>
          <w:tcPr>
            <w:tcW w:w="872"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HQICC</w:t>
            </w:r>
          </w:p>
        </w:tc>
        <w:tc>
          <w:tcPr>
            <w:tcW w:w="953"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Net ICR</w:t>
            </w:r>
            <w:r w:rsidRPr="00496814">
              <w:rPr>
                <w:rFonts w:asciiTheme="minorHAnsi" w:hAnsiTheme="minorHAnsi" w:cs="Arial"/>
                <w:b/>
                <w:color w:val="FFFFFF" w:themeColor="background1"/>
                <w:sz w:val="18"/>
                <w:szCs w:val="18"/>
                <w:vertAlign w:val="superscript"/>
              </w:rPr>
              <w:t>(b)</w:t>
            </w:r>
          </w:p>
        </w:tc>
        <w:tc>
          <w:tcPr>
            <w:tcW w:w="1190"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Capacity Supply Obligation</w:t>
            </w:r>
            <w:r w:rsidRPr="00496814">
              <w:rPr>
                <w:rFonts w:asciiTheme="minorHAnsi" w:hAnsiTheme="minorHAnsi" w:cs="Arial"/>
                <w:b/>
                <w:color w:val="FFFFFF" w:themeColor="background1"/>
                <w:sz w:val="18"/>
                <w:szCs w:val="18"/>
                <w:vertAlign w:val="superscript"/>
              </w:rPr>
              <w:t>(c)</w:t>
            </w:r>
          </w:p>
        </w:tc>
        <w:tc>
          <w:tcPr>
            <w:tcW w:w="946"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Self-Supply Obligation</w:t>
            </w:r>
          </w:p>
        </w:tc>
        <w:tc>
          <w:tcPr>
            <w:tcW w:w="900" w:type="dxa"/>
            <w:shd w:val="clear" w:color="auto" w:fill="1795D2" w:themeFill="accent1"/>
            <w:tcMar>
              <w:top w:w="0" w:type="dxa"/>
              <w:bottom w:w="0" w:type="dxa"/>
            </w:tcMar>
            <w:vAlign w:val="center"/>
          </w:tcPr>
          <w:p w:rsidR="00496814" w:rsidRPr="00496814" w:rsidRDefault="00496814" w:rsidP="00FA3C46">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Import Capacity Supply Obligation</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2021-2022</w:t>
            </w:r>
          </w:p>
        </w:tc>
        <w:tc>
          <w:tcPr>
            <w:tcW w:w="944" w:type="dxa"/>
            <w:tcBorders>
              <w:top w:val="single" w:sz="8" w:space="0" w:color="62777F"/>
              <w:left w:val="single" w:sz="8" w:space="0" w:color="62777F"/>
              <w:bottom w:val="single" w:sz="8" w:space="0" w:color="62777F"/>
              <w:right w:val="single" w:sz="8" w:space="0" w:color="62777F"/>
            </w:tcBorders>
            <w:shd w:val="clear" w:color="auto" w:fill="auto"/>
            <w:vAlign w:val="center"/>
          </w:tcPr>
          <w:p w:rsidR="00496814" w:rsidRPr="00496814" w:rsidRDefault="00496814" w:rsidP="00496814">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12</w:t>
            </w:r>
          </w:p>
        </w:tc>
        <w:tc>
          <w:tcPr>
            <w:tcW w:w="944" w:type="dxa"/>
            <w:tcBorders>
              <w:top w:val="single" w:sz="8" w:space="0" w:color="62777F"/>
              <w:left w:val="single" w:sz="8" w:space="0" w:color="62777F"/>
              <w:bottom w:val="single" w:sz="8" w:space="0" w:color="62777F"/>
              <w:right w:val="single" w:sz="8" w:space="0" w:color="62777F"/>
            </w:tcBorders>
            <w:shd w:val="clear" w:color="auto" w:fill="auto"/>
            <w:noWrap/>
            <w:tcMar>
              <w:top w:w="58" w:type="dxa"/>
              <w:bottom w:w="58"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34,683</w:t>
            </w:r>
          </w:p>
        </w:tc>
        <w:tc>
          <w:tcPr>
            <w:tcW w:w="872"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958</w:t>
            </w:r>
          </w:p>
        </w:tc>
        <w:tc>
          <w:tcPr>
            <w:tcW w:w="953"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33,725</w:t>
            </w:r>
          </w:p>
        </w:tc>
        <w:tc>
          <w:tcPr>
            <w:tcW w:w="119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34,828</w:t>
            </w:r>
          </w:p>
        </w:tc>
        <w:tc>
          <w:tcPr>
            <w:tcW w:w="946"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1,644</w:t>
            </w:r>
          </w:p>
        </w:tc>
        <w:tc>
          <w:tcPr>
            <w:tcW w:w="90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1,217</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2022-2023</w:t>
            </w:r>
          </w:p>
        </w:tc>
        <w:tc>
          <w:tcPr>
            <w:tcW w:w="944" w:type="dxa"/>
            <w:tcBorders>
              <w:top w:val="single" w:sz="8" w:space="0" w:color="62777F"/>
              <w:left w:val="single" w:sz="8" w:space="0" w:color="62777F"/>
              <w:bottom w:val="single" w:sz="8" w:space="0" w:color="62777F"/>
              <w:right w:val="single" w:sz="8" w:space="0" w:color="62777F"/>
            </w:tcBorders>
            <w:shd w:val="clear" w:color="auto" w:fill="DFE4E6"/>
            <w:vAlign w:val="center"/>
          </w:tcPr>
          <w:p w:rsidR="00496814" w:rsidRPr="00496814" w:rsidRDefault="00496814" w:rsidP="00496814">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13</w:t>
            </w:r>
          </w:p>
        </w:tc>
        <w:tc>
          <w:tcPr>
            <w:tcW w:w="944" w:type="dxa"/>
            <w:tcBorders>
              <w:top w:val="single" w:sz="8" w:space="0" w:color="62777F"/>
              <w:left w:val="single" w:sz="8" w:space="0" w:color="62777F"/>
              <w:bottom w:val="single" w:sz="8" w:space="0" w:color="62777F"/>
              <w:right w:val="single" w:sz="8" w:space="0" w:color="62777F"/>
            </w:tcBorders>
            <w:shd w:val="clear" w:color="auto" w:fill="DFE4E6"/>
            <w:noWrap/>
            <w:tcMar>
              <w:top w:w="58" w:type="dxa"/>
              <w:bottom w:w="58"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34,719</w:t>
            </w:r>
          </w:p>
        </w:tc>
        <w:tc>
          <w:tcPr>
            <w:tcW w:w="872"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969</w:t>
            </w:r>
          </w:p>
        </w:tc>
        <w:tc>
          <w:tcPr>
            <w:tcW w:w="953"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33,750</w:t>
            </w:r>
          </w:p>
        </w:tc>
        <w:tc>
          <w:tcPr>
            <w:tcW w:w="119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34,839</w:t>
            </w:r>
          </w:p>
        </w:tc>
        <w:tc>
          <w:tcPr>
            <w:tcW w:w="946"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1,696</w:t>
            </w:r>
          </w:p>
        </w:tc>
        <w:tc>
          <w:tcPr>
            <w:tcW w:w="90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1,188</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2023-2024</w:t>
            </w:r>
          </w:p>
        </w:tc>
        <w:tc>
          <w:tcPr>
            <w:tcW w:w="944" w:type="dxa"/>
            <w:tcBorders>
              <w:top w:val="single" w:sz="8" w:space="0" w:color="62777F"/>
              <w:left w:val="single" w:sz="8" w:space="0" w:color="62777F"/>
              <w:bottom w:val="single" w:sz="8" w:space="0" w:color="62777F"/>
              <w:right w:val="single" w:sz="8" w:space="0" w:color="62777F"/>
            </w:tcBorders>
            <w:shd w:val="clear" w:color="auto" w:fill="auto"/>
            <w:vAlign w:val="center"/>
          </w:tcPr>
          <w:p w:rsidR="00496814" w:rsidRPr="00496814" w:rsidRDefault="00496814" w:rsidP="00496814">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14</w:t>
            </w:r>
          </w:p>
        </w:tc>
        <w:tc>
          <w:tcPr>
            <w:tcW w:w="944" w:type="dxa"/>
            <w:tcBorders>
              <w:top w:val="single" w:sz="8" w:space="0" w:color="62777F"/>
              <w:left w:val="single" w:sz="8" w:space="0" w:color="62777F"/>
              <w:bottom w:val="single" w:sz="8" w:space="0" w:color="62777F"/>
              <w:right w:val="single" w:sz="8" w:space="0" w:color="62777F"/>
            </w:tcBorders>
            <w:shd w:val="clear" w:color="auto" w:fill="auto"/>
            <w:noWrap/>
            <w:tcMar>
              <w:top w:w="58" w:type="dxa"/>
              <w:bottom w:w="58"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33,431</w:t>
            </w:r>
          </w:p>
        </w:tc>
        <w:tc>
          <w:tcPr>
            <w:tcW w:w="872"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941</w:t>
            </w:r>
          </w:p>
        </w:tc>
        <w:tc>
          <w:tcPr>
            <w:tcW w:w="953"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
                <w:bCs/>
                <w:sz w:val="18"/>
                <w:szCs w:val="18"/>
              </w:rPr>
            </w:pPr>
            <w:r w:rsidRPr="00496814">
              <w:rPr>
                <w:rFonts w:ascii="Calibri" w:hAnsi="Calibri" w:cs="Calibri"/>
                <w:color w:val="62777F"/>
                <w:kern w:val="24"/>
                <w:sz w:val="18"/>
                <w:szCs w:val="18"/>
              </w:rPr>
              <w:t>32,490</w:t>
            </w:r>
          </w:p>
        </w:tc>
        <w:tc>
          <w:tcPr>
            <w:tcW w:w="119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33,966</w:t>
            </w:r>
          </w:p>
        </w:tc>
        <w:tc>
          <w:tcPr>
            <w:tcW w:w="946"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eastAsiaTheme="minorEastAsia" w:hAnsi="Calibri" w:cstheme="minorBidi"/>
                <w:color w:val="62777F"/>
                <w:kern w:val="24"/>
                <w:sz w:val="18"/>
                <w:szCs w:val="18"/>
              </w:rPr>
              <w:t>1,524</w:t>
            </w:r>
          </w:p>
        </w:tc>
        <w:tc>
          <w:tcPr>
            <w:tcW w:w="90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1,059</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2024-2025</w:t>
            </w:r>
          </w:p>
        </w:tc>
        <w:tc>
          <w:tcPr>
            <w:tcW w:w="944" w:type="dxa"/>
            <w:tcBorders>
              <w:top w:val="single" w:sz="8" w:space="0" w:color="62777F"/>
              <w:left w:val="single" w:sz="8" w:space="0" w:color="62777F"/>
              <w:bottom w:val="single" w:sz="8" w:space="0" w:color="62777F"/>
              <w:right w:val="single" w:sz="8" w:space="0" w:color="62777F"/>
            </w:tcBorders>
            <w:shd w:val="clear" w:color="auto" w:fill="DFE4E6"/>
            <w:vAlign w:val="center"/>
          </w:tcPr>
          <w:p w:rsidR="00496814" w:rsidRPr="00496814" w:rsidRDefault="00496814" w:rsidP="00496814">
            <w:pPr>
              <w:keepNext/>
              <w:keepLines/>
              <w:spacing w:before="20" w:after="20" w:line="240" w:lineRule="auto"/>
              <w:ind w:right="144"/>
              <w:jc w:val="center"/>
              <w:rPr>
                <w:rFonts w:ascii="Calibri" w:hAnsi="Calibri" w:cs="Calibri"/>
                <w:sz w:val="18"/>
                <w:szCs w:val="18"/>
              </w:rPr>
            </w:pPr>
            <w:r w:rsidRPr="00496814">
              <w:rPr>
                <w:rFonts w:ascii="Calibri" w:hAnsi="Calibri" w:cs="Calibri"/>
                <w:color w:val="62777F"/>
                <w:kern w:val="24"/>
                <w:sz w:val="18"/>
                <w:szCs w:val="18"/>
              </w:rPr>
              <w:t>15</w:t>
            </w:r>
          </w:p>
        </w:tc>
        <w:tc>
          <w:tcPr>
            <w:tcW w:w="944" w:type="dxa"/>
            <w:tcBorders>
              <w:top w:val="single" w:sz="8" w:space="0" w:color="62777F"/>
              <w:left w:val="single" w:sz="8" w:space="0" w:color="62777F"/>
              <w:bottom w:val="single" w:sz="8" w:space="0" w:color="62777F"/>
              <w:right w:val="single" w:sz="8" w:space="0" w:color="62777F"/>
            </w:tcBorders>
            <w:shd w:val="clear" w:color="auto" w:fill="DFE4E6"/>
            <w:noWrap/>
            <w:tcMar>
              <w:top w:w="58" w:type="dxa"/>
              <w:bottom w:w="58"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34,153</w:t>
            </w:r>
          </w:p>
        </w:tc>
        <w:tc>
          <w:tcPr>
            <w:tcW w:w="872"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883</w:t>
            </w:r>
          </w:p>
        </w:tc>
        <w:tc>
          <w:tcPr>
            <w:tcW w:w="953"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33,270</w:t>
            </w:r>
          </w:p>
        </w:tc>
        <w:tc>
          <w:tcPr>
            <w:tcW w:w="119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34,621</w:t>
            </w:r>
          </w:p>
        </w:tc>
        <w:tc>
          <w:tcPr>
            <w:tcW w:w="946"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eastAsiaTheme="minorEastAsia" w:hAnsi="Calibri" w:cstheme="minorBidi"/>
                <w:color w:val="62777F"/>
                <w:kern w:val="24"/>
                <w:sz w:val="18"/>
                <w:szCs w:val="18"/>
              </w:rPr>
              <w:t>1,478</w:t>
            </w:r>
          </w:p>
        </w:tc>
        <w:tc>
          <w:tcPr>
            <w:tcW w:w="90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496814">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1,487</w:t>
            </w:r>
          </w:p>
        </w:tc>
      </w:tr>
    </w:tbl>
    <w:p w:rsidR="00496814" w:rsidRPr="00FA3C46" w:rsidRDefault="00496814" w:rsidP="002F1C44">
      <w:pPr>
        <w:numPr>
          <w:ilvl w:val="1"/>
          <w:numId w:val="40"/>
        </w:numPr>
        <w:tabs>
          <w:tab w:val="left" w:pos="90"/>
        </w:tabs>
        <w:spacing w:after="0" w:line="240" w:lineRule="auto"/>
        <w:ind w:right="634" w:hanging="270"/>
        <w:rPr>
          <w:rFonts w:asciiTheme="minorHAnsi" w:hAnsiTheme="minorHAnsi" w:cstheme="minorHAnsi"/>
          <w:bCs/>
          <w:sz w:val="16"/>
          <w:szCs w:val="16"/>
        </w:rPr>
      </w:pPr>
      <w:r w:rsidRPr="00FA3C46">
        <w:rPr>
          <w:rFonts w:asciiTheme="minorHAnsi" w:hAnsiTheme="minorHAnsi" w:cstheme="minorHAnsi"/>
          <w:bCs/>
          <w:sz w:val="16"/>
          <w:szCs w:val="16"/>
        </w:rPr>
        <w:t>Information regarding the results of each FCA is available in the “</w:t>
      </w:r>
      <w:hyperlink r:id="rId143" w:history="1">
        <w:r w:rsidRPr="00FA3C46">
          <w:rPr>
            <w:rStyle w:val="Hyperlink"/>
            <w:rFonts w:asciiTheme="minorHAnsi" w:hAnsiTheme="minorHAnsi" w:cstheme="minorHAnsi"/>
            <w:sz w:val="16"/>
            <w:szCs w:val="16"/>
          </w:rPr>
          <w:t>FCA Obligations</w:t>
        </w:r>
      </w:hyperlink>
      <w:r w:rsidRPr="00FA3C46">
        <w:rPr>
          <w:rFonts w:asciiTheme="minorHAnsi" w:hAnsiTheme="minorHAnsi" w:cstheme="minorHAnsi"/>
          <w:bCs/>
          <w:sz w:val="16"/>
          <w:szCs w:val="16"/>
        </w:rPr>
        <w:t xml:space="preserve">” spreadsheet.  </w:t>
      </w:r>
    </w:p>
    <w:p w:rsidR="00496814" w:rsidRPr="00FA3C46" w:rsidRDefault="00496814" w:rsidP="002F1C44">
      <w:pPr>
        <w:numPr>
          <w:ilvl w:val="1"/>
          <w:numId w:val="40"/>
        </w:numPr>
        <w:tabs>
          <w:tab w:val="left" w:pos="90"/>
        </w:tabs>
        <w:spacing w:after="0" w:line="240" w:lineRule="auto"/>
        <w:ind w:right="634" w:hanging="270"/>
        <w:rPr>
          <w:rFonts w:asciiTheme="minorHAnsi" w:hAnsiTheme="minorHAnsi" w:cstheme="minorHAnsi"/>
          <w:bCs/>
          <w:sz w:val="16"/>
          <w:szCs w:val="16"/>
        </w:rPr>
      </w:pPr>
      <w:r w:rsidRPr="00FA3C46">
        <w:rPr>
          <w:rFonts w:asciiTheme="minorHAnsi" w:hAnsiTheme="minorHAnsi" w:cstheme="minorHAnsi"/>
          <w:bCs/>
          <w:sz w:val="16"/>
          <w:szCs w:val="16"/>
        </w:rPr>
        <w:t>The net ICR equals the ICR minus the Hydro-Québec Interconnection Capability Credits (HQICCs). The ICR applies to the FCA, not the reconfiguration auction.</w:t>
      </w:r>
    </w:p>
    <w:p w:rsidR="00496814" w:rsidRPr="00FA3C46" w:rsidRDefault="00496814" w:rsidP="002F1C44">
      <w:pPr>
        <w:numPr>
          <w:ilvl w:val="1"/>
          <w:numId w:val="40"/>
        </w:numPr>
        <w:tabs>
          <w:tab w:val="left" w:pos="90"/>
        </w:tabs>
        <w:spacing w:after="0" w:line="240" w:lineRule="auto"/>
        <w:ind w:right="634" w:hanging="270"/>
        <w:rPr>
          <w:rFonts w:asciiTheme="minorHAnsi" w:hAnsiTheme="minorHAnsi" w:cstheme="minorHAnsi"/>
          <w:bCs/>
          <w:sz w:val="16"/>
          <w:szCs w:val="16"/>
        </w:rPr>
      </w:pPr>
      <w:r w:rsidRPr="00FA3C46">
        <w:rPr>
          <w:rFonts w:asciiTheme="minorHAnsi" w:hAnsiTheme="minorHAnsi" w:cstheme="minorHAnsi"/>
          <w:bCs/>
          <w:sz w:val="16"/>
          <w:szCs w:val="16"/>
        </w:rPr>
        <w:t>The Capacity Supply Obligation column represents obligations acquired in both the primary auction and substitution auction, where applicable.</w:t>
      </w:r>
    </w:p>
    <w:p w:rsidR="00496814" w:rsidRPr="00496814" w:rsidRDefault="00496814" w:rsidP="00496814">
      <w:pPr>
        <w:tabs>
          <w:tab w:val="left" w:pos="90"/>
        </w:tabs>
        <w:spacing w:after="0" w:line="240" w:lineRule="auto"/>
        <w:ind w:right="634"/>
        <w:rPr>
          <w:rFonts w:asciiTheme="minorHAnsi" w:hAnsiTheme="minorHAnsi" w:cs="Arial"/>
          <w:bCs/>
          <w:sz w:val="16"/>
          <w:szCs w:val="16"/>
        </w:rPr>
      </w:pPr>
    </w:p>
    <w:p w:rsidR="00496814" w:rsidRPr="00496814" w:rsidRDefault="00D37EB1" w:rsidP="00496814">
      <w:hyperlink w:anchor="Table_4_5" w:history="1">
        <w:r w:rsidR="00496814" w:rsidRPr="00CB6090">
          <w:rPr>
            <w:rStyle w:val="Hyperlink"/>
          </w:rPr>
          <w:t>Table 4-5</w:t>
        </w:r>
      </w:hyperlink>
      <w:r w:rsidR="00496814" w:rsidRPr="00496814">
        <w:t xml:space="preserve"> illustrates, by resource type, the amounts of new capacity procured during the last four FCAs. Since RSP19, two FCM auctions were conducted: </w:t>
      </w:r>
      <w:hyperlink r:id="rId144" w:history="1">
        <w:r w:rsidR="00496814" w:rsidRPr="00496814">
          <w:rPr>
            <w:color w:val="1795D2" w:themeColor="accent1"/>
            <w:u w:val="single"/>
          </w:rPr>
          <w:t>FCA 14</w:t>
        </w:r>
      </w:hyperlink>
      <w:r w:rsidR="00496814" w:rsidRPr="00496814">
        <w:t xml:space="preserve"> for CCP 2023-2024 and </w:t>
      </w:r>
      <w:hyperlink r:id="rId145" w:history="1">
        <w:r w:rsidR="00496814" w:rsidRPr="00496814">
          <w:rPr>
            <w:color w:val="1795D2" w:themeColor="accent1"/>
            <w:u w:val="single"/>
          </w:rPr>
          <w:t>FCA 15</w:t>
        </w:r>
      </w:hyperlink>
      <w:r w:rsidR="00496814" w:rsidRPr="00496814">
        <w:t xml:space="preserve"> for CCP 2024-2025. In both auctions, there were no significant retirement de</w:t>
      </w:r>
      <w:r w:rsidR="00285ADB">
        <w:t>-</w:t>
      </w:r>
      <w:r w:rsidR="00496814" w:rsidRPr="00496814">
        <w:t>list bid requests</w:t>
      </w:r>
      <w:r w:rsidR="003A4ABE">
        <w:t xml:space="preserve"> for </w:t>
      </w:r>
      <w:r w:rsidR="00675F2B">
        <w:t>CCP</w:t>
      </w:r>
      <w:r w:rsidR="003A4ABE">
        <w:t xml:space="preserve"> 2024-2025</w:t>
      </w:r>
      <w:r w:rsidR="00496814" w:rsidRPr="00496814">
        <w:t>.</w:t>
      </w:r>
      <w:r w:rsidR="00496814" w:rsidRPr="00496814">
        <w:rPr>
          <w:vertAlign w:val="superscript"/>
        </w:rPr>
        <w:footnoteReference w:id="52"/>
      </w:r>
      <w:r w:rsidR="00496814" w:rsidRPr="00496814">
        <w:t xml:space="preserve"> In addition, there was a decrease in the amount of demand response capacity resources that cleared and an increase in the amount of renewable resources, which includes energy storage.  Of </w:t>
      </w:r>
      <w:r w:rsidR="003A4ABE">
        <w:t>note are</w:t>
      </w:r>
      <w:r w:rsidR="00496814" w:rsidRPr="00496814">
        <w:t xml:space="preserve"> the three large-scale, stand-alone energy-storage (battery) projects that cleared nearly 600 MW in </w:t>
      </w:r>
      <w:r w:rsidR="002514A4" w:rsidRPr="00496814">
        <w:t>total</w:t>
      </w:r>
      <w:r w:rsidR="002514A4">
        <w:t>.</w:t>
      </w:r>
      <w:r w:rsidR="00496814" w:rsidRPr="00496814">
        <w:rPr>
          <w:vertAlign w:val="superscript"/>
        </w:rPr>
        <w:footnoteReference w:id="53"/>
      </w:r>
      <w:r w:rsidR="00496814" w:rsidRPr="00496814">
        <w:t xml:space="preserve"> Near term, New England has enough supply-side resources to meet demand as demonstrated in the most recent FCA for CCP 2024-2025.</w:t>
      </w:r>
    </w:p>
    <w:p w:rsidR="00DB6489" w:rsidRDefault="00DB6489">
      <w:pPr>
        <w:spacing w:after="200" w:line="276" w:lineRule="auto"/>
        <w:rPr>
          <w:rFonts w:ascii="Calibri" w:hAnsi="Calibri"/>
          <w:b/>
          <w:bCs/>
          <w:szCs w:val="18"/>
        </w:rPr>
      </w:pPr>
      <w:bookmarkStart w:id="355" w:name="_Ref8316786"/>
      <w:bookmarkStart w:id="356" w:name="Table_4_5"/>
      <w:r>
        <w:br w:type="page"/>
      </w:r>
    </w:p>
    <w:p w:rsidR="00496814" w:rsidRPr="00496814" w:rsidRDefault="00AB0EDC" w:rsidP="001D69A5">
      <w:pPr>
        <w:pStyle w:val="Caption"/>
        <w:rPr>
          <w:rFonts w:cs="Arial"/>
          <w:vertAlign w:val="superscript"/>
        </w:rPr>
      </w:pPr>
      <w:bookmarkStart w:id="357" w:name="_Toc81544636"/>
      <w:r>
        <w:t xml:space="preserve">Table </w:t>
      </w:r>
      <w:fldSimple w:instr=" STYLEREF 1 \s ">
        <w:r w:rsidR="001D2A17">
          <w:rPr>
            <w:noProof/>
          </w:rPr>
          <w:t>4</w:t>
        </w:r>
      </w:fldSimple>
      <w:r w:rsidR="001D2A17">
        <w:noBreakHyphen/>
      </w:r>
      <w:fldSimple w:instr=" SEQ Table \* ARABIC \s 1 ">
        <w:r w:rsidR="001D2A17">
          <w:rPr>
            <w:noProof/>
          </w:rPr>
          <w:t>5</w:t>
        </w:r>
      </w:fldSimple>
      <w:bookmarkEnd w:id="355"/>
      <w:bookmarkEnd w:id="356"/>
      <w:r w:rsidR="00496814" w:rsidRPr="00496814">
        <w:br/>
      </w:r>
      <w:r w:rsidR="00496814" w:rsidRPr="00DB6489">
        <w:rPr>
          <w:rFonts w:cs="Arial"/>
          <w:bCs w:val="0"/>
        </w:rPr>
        <w:t>Capacity Supply Obligation for New Capacity</w:t>
      </w:r>
      <w:r w:rsidR="00496814" w:rsidRPr="00DB6489">
        <w:rPr>
          <w:rFonts w:cs="Arial"/>
          <w:bCs w:val="0"/>
        </w:rPr>
        <w:br/>
        <w:t>Procured during the Forward Capacity Auctions (MW)</w:t>
      </w:r>
      <w:r w:rsidR="00496814" w:rsidRPr="00DB6489">
        <w:rPr>
          <w:rFonts w:cs="Arial"/>
          <w:bCs w:val="0"/>
          <w:vertAlign w:val="superscript"/>
        </w:rPr>
        <w:t>(a, b, c)</w:t>
      </w:r>
      <w:bookmarkEnd w:id="357"/>
    </w:p>
    <w:tbl>
      <w:tblPr>
        <w:tblW w:w="73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6"/>
        <w:gridCol w:w="1216"/>
        <w:gridCol w:w="1216"/>
        <w:gridCol w:w="1080"/>
        <w:gridCol w:w="1171"/>
      </w:tblGrid>
      <w:tr w:rsidR="00496814" w:rsidRPr="00496814" w:rsidTr="006E0ABA">
        <w:trPr>
          <w:trHeight w:val="562"/>
          <w:jc w:val="center"/>
        </w:trPr>
        <w:tc>
          <w:tcPr>
            <w:tcW w:w="2666" w:type="dxa"/>
            <w:shd w:val="clear" w:color="000000" w:fill="1795D2"/>
            <w:noWrap/>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Capacity Resource</w:t>
            </w:r>
          </w:p>
        </w:tc>
        <w:tc>
          <w:tcPr>
            <w:tcW w:w="121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12</w:t>
            </w:r>
          </w:p>
        </w:tc>
        <w:tc>
          <w:tcPr>
            <w:tcW w:w="121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13</w:t>
            </w:r>
          </w:p>
        </w:tc>
        <w:tc>
          <w:tcPr>
            <w:tcW w:w="1080"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14</w:t>
            </w:r>
          </w:p>
        </w:tc>
        <w:tc>
          <w:tcPr>
            <w:tcW w:w="1171"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15</w:t>
            </w:r>
          </w:p>
        </w:tc>
      </w:tr>
      <w:tr w:rsidR="00496814" w:rsidRPr="00496814" w:rsidTr="006E0ABA">
        <w:trPr>
          <w:trHeight w:val="315"/>
          <w:jc w:val="center"/>
        </w:trPr>
        <w:tc>
          <w:tcPr>
            <w:tcW w:w="2666" w:type="dxa"/>
            <w:shd w:val="clear" w:color="auto" w:fill="auto"/>
            <w:noWrap/>
            <w:vAlign w:val="center"/>
            <w:hideMark/>
          </w:tcPr>
          <w:p w:rsidR="00496814" w:rsidRPr="00496814" w:rsidRDefault="00496814" w:rsidP="00496814">
            <w:pPr>
              <w:keepNext/>
              <w:keepLines/>
              <w:spacing w:after="0" w:line="240" w:lineRule="auto"/>
              <w:ind w:firstLineChars="100" w:firstLine="180"/>
              <w:rPr>
                <w:rFonts w:ascii="Calibri" w:eastAsia="Times New Roman" w:hAnsi="Calibri" w:cs="Calibri"/>
                <w:b/>
                <w:bCs/>
                <w:color w:val="000000"/>
                <w:sz w:val="18"/>
                <w:szCs w:val="18"/>
              </w:rPr>
            </w:pPr>
            <w:r w:rsidRPr="00496814">
              <w:rPr>
                <w:rFonts w:ascii="Calibri" w:eastAsia="Times New Roman" w:hAnsi="Calibri" w:cs="Calibri"/>
                <w:b/>
                <w:bCs/>
                <w:color w:val="000000"/>
                <w:sz w:val="18"/>
                <w:szCs w:val="18"/>
              </w:rPr>
              <w:t>Generation resources</w:t>
            </w:r>
          </w:p>
        </w:tc>
        <w:tc>
          <w:tcPr>
            <w:tcW w:w="1216"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167</w:t>
            </w:r>
          </w:p>
        </w:tc>
        <w:tc>
          <w:tcPr>
            <w:tcW w:w="1216"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837</w:t>
            </w:r>
          </w:p>
        </w:tc>
        <w:tc>
          <w:tcPr>
            <w:tcW w:w="1080"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314</w:t>
            </w:r>
          </w:p>
        </w:tc>
        <w:tc>
          <w:tcPr>
            <w:tcW w:w="1171"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950</w:t>
            </w:r>
          </w:p>
        </w:tc>
      </w:tr>
      <w:tr w:rsidR="00496814" w:rsidRPr="00496814" w:rsidTr="006E0ABA">
        <w:trPr>
          <w:trHeight w:val="315"/>
          <w:jc w:val="center"/>
        </w:trPr>
        <w:tc>
          <w:tcPr>
            <w:tcW w:w="2666" w:type="dxa"/>
            <w:shd w:val="clear" w:color="000000" w:fill="CDEBFA"/>
            <w:noWrap/>
            <w:vAlign w:val="center"/>
            <w:hideMark/>
          </w:tcPr>
          <w:p w:rsidR="00496814" w:rsidRPr="00496814" w:rsidRDefault="00496814" w:rsidP="00496814">
            <w:pPr>
              <w:keepNext/>
              <w:keepLines/>
              <w:spacing w:after="0" w:line="240" w:lineRule="auto"/>
              <w:ind w:firstLineChars="100" w:firstLine="180"/>
              <w:rPr>
                <w:rFonts w:ascii="Calibri" w:eastAsia="Times New Roman" w:hAnsi="Calibri" w:cs="Calibri"/>
                <w:b/>
                <w:bCs/>
                <w:color w:val="000000"/>
                <w:sz w:val="18"/>
                <w:szCs w:val="18"/>
              </w:rPr>
            </w:pPr>
            <w:r w:rsidRPr="00496814">
              <w:rPr>
                <w:rFonts w:ascii="Calibri" w:eastAsia="Times New Roman" w:hAnsi="Calibri" w:cs="Calibri"/>
                <w:b/>
                <w:bCs/>
                <w:color w:val="000000"/>
                <w:sz w:val="18"/>
                <w:szCs w:val="18"/>
              </w:rPr>
              <w:t>Demand-resource total</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514</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654</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323</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170</w:t>
            </w:r>
          </w:p>
        </w:tc>
      </w:tr>
      <w:tr w:rsidR="00496814" w:rsidRPr="00496814" w:rsidTr="006E0ABA">
        <w:trPr>
          <w:trHeight w:val="355"/>
          <w:jc w:val="center"/>
        </w:trPr>
        <w:tc>
          <w:tcPr>
            <w:tcW w:w="2666" w:type="dxa"/>
            <w:shd w:val="clear" w:color="000000" w:fill="CDEBFA"/>
            <w:vAlign w:val="center"/>
            <w:hideMark/>
          </w:tcPr>
          <w:p w:rsidR="00496814" w:rsidRPr="00496814" w:rsidRDefault="00496814" w:rsidP="00496814">
            <w:pPr>
              <w:keepNext/>
              <w:keepLines/>
              <w:spacing w:after="0" w:line="240" w:lineRule="auto"/>
              <w:ind w:firstLineChars="100" w:firstLine="180"/>
              <w:rPr>
                <w:rFonts w:ascii="Calibri" w:eastAsia="Times New Roman" w:hAnsi="Calibri" w:cs="Calibri"/>
                <w:b/>
                <w:bCs/>
                <w:i/>
                <w:iCs/>
                <w:color w:val="000000"/>
                <w:sz w:val="18"/>
                <w:szCs w:val="18"/>
              </w:rPr>
            </w:pPr>
            <w:r w:rsidRPr="00496814">
              <w:rPr>
                <w:rFonts w:ascii="Calibri" w:eastAsia="Times New Roman" w:hAnsi="Calibri" w:cs="Calibri"/>
                <w:b/>
                <w:bCs/>
                <w:i/>
                <w:iCs/>
                <w:color w:val="000000"/>
                <w:sz w:val="18"/>
                <w:szCs w:val="18"/>
              </w:rPr>
              <w:t xml:space="preserve">   Active demand resources</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144</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87</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31</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4</w:t>
            </w:r>
          </w:p>
        </w:tc>
      </w:tr>
      <w:tr w:rsidR="00496814" w:rsidRPr="00496814" w:rsidTr="006E0ABA">
        <w:trPr>
          <w:trHeight w:val="355"/>
          <w:jc w:val="center"/>
        </w:trPr>
        <w:tc>
          <w:tcPr>
            <w:tcW w:w="2666" w:type="dxa"/>
            <w:shd w:val="clear" w:color="000000" w:fill="CDEBFA"/>
            <w:vAlign w:val="center"/>
            <w:hideMark/>
          </w:tcPr>
          <w:p w:rsidR="00496814" w:rsidRPr="00496814" w:rsidRDefault="00496814" w:rsidP="00496814">
            <w:pPr>
              <w:keepNext/>
              <w:keepLines/>
              <w:spacing w:after="0" w:line="240" w:lineRule="auto"/>
              <w:ind w:firstLineChars="100" w:firstLine="180"/>
              <w:rPr>
                <w:rFonts w:ascii="Calibri" w:eastAsia="Times New Roman" w:hAnsi="Calibri" w:cs="Calibri"/>
                <w:b/>
                <w:bCs/>
                <w:iCs/>
                <w:color w:val="000000"/>
                <w:sz w:val="18"/>
                <w:szCs w:val="18"/>
              </w:rPr>
            </w:pPr>
            <w:r w:rsidRPr="00496814">
              <w:rPr>
                <w:rFonts w:ascii="Calibri" w:eastAsia="Times New Roman" w:hAnsi="Calibri" w:cs="Calibri"/>
                <w:b/>
                <w:bCs/>
                <w:i/>
                <w:iCs/>
                <w:color w:val="000000"/>
                <w:sz w:val="18"/>
                <w:szCs w:val="18"/>
              </w:rPr>
              <w:t xml:space="preserve">   Passive demand resources</w:t>
            </w:r>
            <w:r w:rsidRPr="00496814">
              <w:rPr>
                <w:rFonts w:ascii="Calibri" w:eastAsia="Times New Roman" w:hAnsi="Calibri" w:cs="Calibri"/>
                <w:b/>
                <w:bCs/>
                <w:iCs/>
                <w:color w:val="000000"/>
                <w:sz w:val="18"/>
                <w:szCs w:val="18"/>
                <w:vertAlign w:val="superscript"/>
              </w:rPr>
              <w:t>(d)</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371</w:t>
            </w:r>
          </w:p>
        </w:tc>
        <w:tc>
          <w:tcPr>
            <w:tcW w:w="1216"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566</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292</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167</w:t>
            </w:r>
          </w:p>
        </w:tc>
      </w:tr>
      <w:tr w:rsidR="00496814" w:rsidRPr="00496814" w:rsidTr="006E0ABA">
        <w:trPr>
          <w:trHeight w:val="315"/>
          <w:jc w:val="center"/>
        </w:trPr>
        <w:tc>
          <w:tcPr>
            <w:tcW w:w="2666" w:type="dxa"/>
            <w:shd w:val="clear" w:color="auto" w:fill="auto"/>
            <w:noWrap/>
            <w:vAlign w:val="center"/>
            <w:hideMark/>
          </w:tcPr>
          <w:p w:rsidR="00496814" w:rsidRPr="00496814" w:rsidRDefault="00496814" w:rsidP="00496814">
            <w:pPr>
              <w:keepNext/>
              <w:keepLines/>
              <w:spacing w:after="0" w:line="240" w:lineRule="auto"/>
              <w:ind w:firstLineChars="100" w:firstLine="180"/>
              <w:rPr>
                <w:rFonts w:ascii="Calibri" w:eastAsia="Times New Roman" w:hAnsi="Calibri" w:cs="Calibri"/>
                <w:b/>
                <w:bCs/>
                <w:color w:val="000000"/>
                <w:sz w:val="18"/>
                <w:szCs w:val="18"/>
              </w:rPr>
            </w:pPr>
            <w:r w:rsidRPr="00496814">
              <w:rPr>
                <w:rFonts w:ascii="Calibri" w:eastAsia="Times New Roman" w:hAnsi="Calibri" w:cs="Calibri"/>
                <w:b/>
                <w:bCs/>
                <w:color w:val="000000"/>
                <w:sz w:val="18"/>
                <w:szCs w:val="18"/>
              </w:rPr>
              <w:t>Import resources</w:t>
            </w:r>
          </w:p>
        </w:tc>
        <w:tc>
          <w:tcPr>
            <w:tcW w:w="1216"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1,136</w:t>
            </w:r>
          </w:p>
        </w:tc>
        <w:tc>
          <w:tcPr>
            <w:tcW w:w="1216"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1,108</w:t>
            </w:r>
          </w:p>
        </w:tc>
        <w:tc>
          <w:tcPr>
            <w:tcW w:w="1080"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976</w:t>
            </w:r>
          </w:p>
        </w:tc>
        <w:tc>
          <w:tcPr>
            <w:tcW w:w="1171"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1405</w:t>
            </w:r>
          </w:p>
        </w:tc>
      </w:tr>
    </w:tbl>
    <w:p w:rsidR="00496814" w:rsidRPr="00FA3C46" w:rsidRDefault="00496814" w:rsidP="002F1C44">
      <w:pPr>
        <w:keepNext/>
        <w:keepLines/>
        <w:numPr>
          <w:ilvl w:val="2"/>
          <w:numId w:val="40"/>
        </w:numPr>
        <w:tabs>
          <w:tab w:val="left" w:pos="-720"/>
          <w:tab w:val="left" w:pos="8010"/>
        </w:tabs>
        <w:spacing w:before="120"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 xml:space="preserve">A full listing of all new and existing resources that qualified to participate in each of the FCAs is available in the </w:t>
      </w:r>
      <w:hyperlink r:id="rId146" w:history="1">
        <w:r w:rsidRPr="00FA3C46">
          <w:rPr>
            <w:rStyle w:val="Hyperlink"/>
            <w:rFonts w:asciiTheme="minorHAnsi" w:hAnsiTheme="minorHAnsi" w:cstheme="minorHAnsi"/>
            <w:sz w:val="16"/>
            <w:szCs w:val="16"/>
          </w:rPr>
          <w:t>Forward Capacity Obligations</w:t>
        </w:r>
      </w:hyperlink>
      <w:r w:rsidRPr="00FA3C46">
        <w:rPr>
          <w:rFonts w:asciiTheme="minorHAnsi" w:eastAsia="Times New Roman" w:hAnsiTheme="minorHAnsi" w:cstheme="minorHAnsi"/>
          <w:sz w:val="16"/>
          <w:szCs w:val="16"/>
        </w:rPr>
        <w:t xml:space="preserve"> spreadsheets. In addition, updated summaries of CSOs by resource type for each CCP are provided monthly in the NEPOOL Participants Committee </w:t>
      </w:r>
      <w:hyperlink r:id="rId147" w:history="1">
        <w:r w:rsidRPr="00FA3C46">
          <w:rPr>
            <w:rStyle w:val="Hyperlink"/>
            <w:rFonts w:asciiTheme="minorHAnsi" w:hAnsiTheme="minorHAnsi" w:cstheme="minorHAnsi"/>
            <w:sz w:val="16"/>
            <w:szCs w:val="16"/>
          </w:rPr>
          <w:t>COO Reports</w:t>
        </w:r>
      </w:hyperlink>
      <w:r w:rsidRPr="00FA3C46">
        <w:rPr>
          <w:rFonts w:asciiTheme="minorHAnsi" w:eastAsia="Times New Roman" w:hAnsiTheme="minorHAnsi" w:cstheme="minorHAnsi"/>
          <w:sz w:val="16"/>
          <w:szCs w:val="16"/>
        </w:rPr>
        <w:t>.</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Totals may not sum due to rounding.</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Totals do not include new capacity uprates from existing generating resources.</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 xml:space="preserve">Passive demand resources include </w:t>
      </w:r>
      <w:r w:rsidR="001624F6">
        <w:rPr>
          <w:rFonts w:asciiTheme="minorHAnsi" w:eastAsia="Times New Roman" w:hAnsiTheme="minorHAnsi" w:cstheme="minorHAnsi"/>
          <w:sz w:val="16"/>
          <w:szCs w:val="16"/>
        </w:rPr>
        <w:t>e</w:t>
      </w:r>
      <w:r w:rsidRPr="00FA3C46">
        <w:rPr>
          <w:rFonts w:asciiTheme="minorHAnsi" w:eastAsia="Times New Roman" w:hAnsiTheme="minorHAnsi" w:cstheme="minorHAnsi"/>
          <w:sz w:val="16"/>
          <w:szCs w:val="16"/>
        </w:rPr>
        <w:t xml:space="preserve">nergy </w:t>
      </w:r>
      <w:r w:rsidR="001624F6">
        <w:rPr>
          <w:rFonts w:asciiTheme="minorHAnsi" w:eastAsia="Times New Roman" w:hAnsiTheme="minorHAnsi" w:cstheme="minorHAnsi"/>
          <w:sz w:val="16"/>
          <w:szCs w:val="16"/>
        </w:rPr>
        <w:t>e</w:t>
      </w:r>
      <w:r w:rsidRPr="00FA3C46">
        <w:rPr>
          <w:rFonts w:asciiTheme="minorHAnsi" w:eastAsia="Times New Roman" w:hAnsiTheme="minorHAnsi" w:cstheme="minorHAnsi"/>
          <w:sz w:val="16"/>
          <w:szCs w:val="16"/>
        </w:rPr>
        <w:t>fficiency (EE) and distributed generation.</w:t>
      </w:r>
    </w:p>
    <w:p w:rsidR="00496814" w:rsidRPr="00496814" w:rsidRDefault="00496814" w:rsidP="00496814">
      <w:pPr>
        <w:autoSpaceDE w:val="0"/>
        <w:autoSpaceDN w:val="0"/>
        <w:adjustRightInd w:val="0"/>
      </w:pPr>
    </w:p>
    <w:p w:rsidR="00496814" w:rsidRPr="00496814" w:rsidRDefault="00496814" w:rsidP="00853CE5">
      <w:pPr>
        <w:pStyle w:val="Heading3"/>
      </w:pPr>
      <w:bookmarkStart w:id="358" w:name="_Ref334017426"/>
      <w:bookmarkStart w:id="359" w:name="_Toc334601029"/>
      <w:bookmarkStart w:id="360" w:name="_Toc239157068"/>
      <w:bookmarkStart w:id="361" w:name="_Toc271632223"/>
      <w:bookmarkStart w:id="362" w:name="_Ref301440924"/>
      <w:bookmarkStart w:id="363" w:name="_Toc303086381"/>
      <w:bookmarkStart w:id="364" w:name="_Toc81544524"/>
      <w:bookmarkEnd w:id="348"/>
      <w:bookmarkEnd w:id="349"/>
      <w:bookmarkEnd w:id="350"/>
      <w:bookmarkEnd w:id="351"/>
      <w:r w:rsidRPr="00496814">
        <w:t>Representative Systemwide Resource</w:t>
      </w:r>
      <w:r w:rsidR="00FC5F06">
        <w:t> </w:t>
      </w:r>
      <w:r w:rsidRPr="00496814">
        <w:t>Needs</w:t>
      </w:r>
      <w:bookmarkEnd w:id="358"/>
      <w:bookmarkEnd w:id="359"/>
      <w:bookmarkEnd w:id="364"/>
    </w:p>
    <w:p w:rsidR="00496814" w:rsidRPr="00496814" w:rsidRDefault="00496814" w:rsidP="00496814">
      <w:r w:rsidRPr="00496814">
        <w:t xml:space="preserve">The representative net </w:t>
      </w:r>
      <w:r w:rsidR="00A8239B">
        <w:t>installed capacity requirements (</w:t>
      </w:r>
      <w:r w:rsidRPr="00496814">
        <w:t>ICR</w:t>
      </w:r>
      <w:r w:rsidR="00A8239B">
        <w:t>)</w:t>
      </w:r>
      <w:r w:rsidRPr="00496814">
        <w:t xml:space="preserve"> values for future years indicate </w:t>
      </w:r>
      <w:r w:rsidR="003A4ABE">
        <w:t>expected</w:t>
      </w:r>
      <w:r w:rsidR="003A4ABE" w:rsidRPr="00496814">
        <w:t xml:space="preserve"> </w:t>
      </w:r>
      <w:r w:rsidRPr="00496814">
        <w:t>systemwide capacity needs.</w:t>
      </w:r>
      <w:r w:rsidR="004B0293">
        <w:fldChar w:fldCharType="begin"/>
      </w:r>
      <w:r w:rsidR="004B0293">
        <w:instrText xml:space="preserve"> REF _Ref325445701 \h  \* MERGEFORMAT </w:instrText>
      </w:r>
      <w:r w:rsidR="004B0293">
        <w:fldChar w:fldCharType="end"/>
      </w:r>
      <w:r w:rsidRPr="00496814">
        <w:t xml:space="preserve"> </w:t>
      </w:r>
      <w:hyperlink w:anchor="Table_4_6" w:history="1">
        <w:r w:rsidRPr="004267A6">
          <w:rPr>
            <w:rStyle w:val="Hyperlink"/>
          </w:rPr>
          <w:t>Table 4-6</w:t>
        </w:r>
      </w:hyperlink>
      <w:r w:rsidRPr="00496814">
        <w:t xml:space="preserve"> compares these systemwide needs with the resources procured in </w:t>
      </w:r>
      <w:r w:rsidR="00A8239B">
        <w:t>Forward Capacity Auction (</w:t>
      </w:r>
      <w:r w:rsidRPr="00496814">
        <w:t>FCA</w:t>
      </w:r>
      <w:r w:rsidR="00A8239B">
        <w:t>)</w:t>
      </w:r>
      <w:r w:rsidRPr="00496814">
        <w:t xml:space="preserve"> 15, accounting for the future levels of </w:t>
      </w:r>
      <w:r w:rsidR="005B3F16">
        <w:t>behind-the-meter (</w:t>
      </w:r>
      <w:r w:rsidRPr="00496814">
        <w:t>BTM</w:t>
      </w:r>
      <w:r w:rsidR="005B3F16">
        <w:t>)</w:t>
      </w:r>
      <w:r w:rsidRPr="00496814">
        <w:t xml:space="preserve"> </w:t>
      </w:r>
      <w:r w:rsidR="005B3F16">
        <w:t>photovoltaics (</w:t>
      </w:r>
      <w:r w:rsidRPr="00496814">
        <w:t>PV</w:t>
      </w:r>
      <w:r w:rsidR="005B3F16">
        <w:t>)</w:t>
      </w:r>
      <w:r w:rsidRPr="00496814">
        <w:t xml:space="preserve"> and the future levels of </w:t>
      </w:r>
      <w:r w:rsidR="005B3F16">
        <w:t>energy efficiency (</w:t>
      </w:r>
      <w:r w:rsidRPr="00496814">
        <w:t>EE</w:t>
      </w:r>
      <w:r w:rsidR="005B3F16">
        <w:t>)</w:t>
      </w:r>
      <w:r w:rsidRPr="00496814">
        <w:t xml:space="preserve"> resources (</w:t>
      </w:r>
      <w:hyperlink w:anchor="_Forecasts_of_New" w:history="1">
        <w:r w:rsidRPr="00E76ADC">
          <w:rPr>
            <w:rStyle w:val="Hyperlink"/>
          </w:rPr>
          <w:t>Chapter 3</w:t>
        </w:r>
      </w:hyperlink>
      <w:r w:rsidRPr="00496814">
        <w:t xml:space="preserve">). The projection of systemwide capacity needs assumes that all resources with </w:t>
      </w:r>
      <w:r w:rsidR="005B3F16">
        <w:t>capacity supply obligations (</w:t>
      </w:r>
      <w:r w:rsidRPr="00496814">
        <w:t>CSOs</w:t>
      </w:r>
      <w:r w:rsidR="005B3F16">
        <w:t>)</w:t>
      </w:r>
      <w:r w:rsidRPr="00496814">
        <w:t xml:space="preserve"> through FCA 15 are in commercial operation by June 1, 2025, and that they remain in service through the 2030-2031 CCP. </w:t>
      </w:r>
    </w:p>
    <w:p w:rsidR="00496814" w:rsidRPr="00496814" w:rsidRDefault="00496814" w:rsidP="00496814">
      <w:r w:rsidRPr="00496814">
        <w:t xml:space="preserve">As shown in </w:t>
      </w:r>
      <w:hyperlink w:anchor="Table_4_6" w:history="1">
        <w:r w:rsidRPr="00CB6090">
          <w:rPr>
            <w:rStyle w:val="Hyperlink"/>
          </w:rPr>
          <w:t>Table 4-6</w:t>
        </w:r>
      </w:hyperlink>
      <w:r w:rsidRPr="00496814">
        <w:t xml:space="preserve">, New England will be approximately 3,040 MW to 3,200 MW above net ICR during the 2026-2027 through 2030-2031 CCPs. This assumes that the projected load and capacity assumptions materialize, no additional retirements occur, and newly proposed resources are in service in accordance with their projected construction schedules. The ISO anticipates meeting the net ICR requirement because sufficient resources exist, </w:t>
      </w:r>
      <w:r w:rsidR="00675F2B">
        <w:t xml:space="preserve">additional </w:t>
      </w:r>
      <w:r w:rsidRPr="00496814">
        <w:t xml:space="preserve">EE resources have been forecasted, and </w:t>
      </w:r>
      <w:r w:rsidR="00675F2B">
        <w:t>new</w:t>
      </w:r>
      <w:r w:rsidR="00675F2B" w:rsidRPr="00496814">
        <w:t xml:space="preserve"> </w:t>
      </w:r>
      <w:r w:rsidRPr="00496814">
        <w:t xml:space="preserve">resources have </w:t>
      </w:r>
      <w:r w:rsidR="00675F2B">
        <w:t>joined</w:t>
      </w:r>
      <w:r w:rsidRPr="00496814">
        <w:t xml:space="preserve"> the interconnection queue. The ISO monitors the buildout of all new, noncommercial FCM resources in anticipation that some may be early or others late. To date, the tendency has been toward new demand capacity resources and small-sized renewables being available as much as a year in advance of their expected commercial operation date, while large-sized generation (e.g., combined-cycle generators) has been delayed due to permitting issues and construction delays. </w:t>
      </w:r>
    </w:p>
    <w:p w:rsidR="00496814" w:rsidRPr="00496814" w:rsidRDefault="00496814" w:rsidP="00496814">
      <w:pPr>
        <w:spacing w:after="200" w:line="276" w:lineRule="auto"/>
      </w:pPr>
    </w:p>
    <w:p w:rsidR="00496814" w:rsidRPr="00496814" w:rsidRDefault="00496814" w:rsidP="00496814">
      <w:pPr>
        <w:keepNext/>
        <w:keepLines/>
        <w:spacing w:after="120" w:line="240" w:lineRule="auto"/>
        <w:ind w:left="547" w:right="547"/>
        <w:jc w:val="center"/>
        <w:rPr>
          <w:rFonts w:ascii="Calibri" w:hAnsi="Calibri"/>
          <w:b/>
          <w:bCs/>
          <w:szCs w:val="18"/>
        </w:rPr>
      </w:pPr>
      <w:bookmarkStart w:id="365" w:name="_Toc330401259"/>
      <w:bookmarkStart w:id="366" w:name="_Toc334541932"/>
      <w:bookmarkStart w:id="367" w:name="_Toc334541969"/>
      <w:bookmarkStart w:id="368" w:name="_Toc365440708"/>
      <w:bookmarkStart w:id="369" w:name="_Toc391985608"/>
      <w:bookmarkStart w:id="370" w:name="_Toc481053564"/>
      <w:bookmarkStart w:id="371" w:name="_Toc491244009"/>
      <w:r w:rsidRPr="00496814">
        <w:rPr>
          <w:rFonts w:ascii="Calibri" w:hAnsi="Calibri"/>
          <w:b/>
          <w:bCs/>
          <w:szCs w:val="18"/>
        </w:rPr>
        <w:t xml:space="preserve"> </w:t>
      </w:r>
      <w:bookmarkStart w:id="372" w:name="Table_4_6"/>
      <w:r w:rsidRPr="00496814">
        <w:rPr>
          <w:rFonts w:ascii="Calibri" w:hAnsi="Calibri"/>
          <w:b/>
          <w:bCs/>
          <w:szCs w:val="18"/>
        </w:rPr>
        <w:t>Table 4-6</w:t>
      </w:r>
      <w:bookmarkEnd w:id="372"/>
      <w:r w:rsidRPr="00496814">
        <w:rPr>
          <w:rFonts w:ascii="Calibri" w:hAnsi="Calibri"/>
          <w:b/>
          <w:bCs/>
          <w:szCs w:val="18"/>
        </w:rPr>
        <w:br/>
        <w:t>Future Systemwide Needs (MW)</w:t>
      </w:r>
      <w:bookmarkEnd w:id="365"/>
      <w:bookmarkEnd w:id="366"/>
      <w:bookmarkEnd w:id="367"/>
      <w:bookmarkEnd w:id="368"/>
      <w:bookmarkEnd w:id="369"/>
      <w:bookmarkEnd w:id="370"/>
      <w:bookmarkEnd w:id="37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340"/>
        <w:gridCol w:w="1573"/>
        <w:gridCol w:w="1483"/>
        <w:gridCol w:w="1350"/>
        <w:gridCol w:w="1671"/>
      </w:tblGrid>
      <w:tr w:rsidR="00496814" w:rsidRPr="00496814" w:rsidTr="006E0ABA">
        <w:trPr>
          <w:jc w:val="center"/>
        </w:trPr>
        <w:tc>
          <w:tcPr>
            <w:tcW w:w="1271"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CCP</w:t>
            </w:r>
          </w:p>
        </w:tc>
        <w:tc>
          <w:tcPr>
            <w:tcW w:w="1340"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50/50</w:t>
            </w:r>
            <w:r w:rsidRPr="00496814">
              <w:rPr>
                <w:rFonts w:asciiTheme="majorHAnsi" w:eastAsia="Times New Roman" w:hAnsiTheme="majorHAnsi"/>
                <w:b/>
                <w:color w:val="FFFFFF" w:themeColor="background1"/>
                <w:sz w:val="18"/>
                <w:szCs w:val="18"/>
              </w:rPr>
              <w:br/>
              <w:t>Peak Load</w:t>
            </w:r>
            <w:r w:rsidRPr="00496814">
              <w:rPr>
                <w:rFonts w:asciiTheme="majorHAnsi" w:eastAsia="Times New Roman" w:hAnsiTheme="majorHAnsi"/>
                <w:b/>
                <w:color w:val="FFFFFF" w:themeColor="background1"/>
                <w:sz w:val="18"/>
                <w:szCs w:val="18"/>
                <w:vertAlign w:val="superscript"/>
              </w:rPr>
              <w:t>(a)</w:t>
            </w:r>
          </w:p>
        </w:tc>
        <w:tc>
          <w:tcPr>
            <w:tcW w:w="1573"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Representative Net ICR (Need)</w:t>
            </w:r>
          </w:p>
        </w:tc>
        <w:tc>
          <w:tcPr>
            <w:tcW w:w="1483"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FCA 15</w:t>
            </w:r>
            <w:r w:rsidRPr="00496814">
              <w:rPr>
                <w:rFonts w:asciiTheme="majorHAnsi" w:eastAsia="Times New Roman" w:hAnsiTheme="majorHAnsi"/>
                <w:b/>
                <w:color w:val="FFFFFF" w:themeColor="background1"/>
                <w:sz w:val="18"/>
                <w:szCs w:val="18"/>
              </w:rPr>
              <w:br/>
              <w:t>(Known Resources)</w:t>
            </w:r>
            <w:r w:rsidRPr="00496814">
              <w:rPr>
                <w:rFonts w:asciiTheme="majorHAnsi" w:eastAsia="Times New Roman" w:hAnsiTheme="majorHAnsi"/>
                <w:b/>
                <w:color w:val="FFFFFF" w:themeColor="background1"/>
                <w:sz w:val="18"/>
                <w:szCs w:val="18"/>
                <w:vertAlign w:val="superscript"/>
              </w:rPr>
              <w:t>(b)</w:t>
            </w:r>
          </w:p>
        </w:tc>
        <w:tc>
          <w:tcPr>
            <w:tcW w:w="1350"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bCs/>
                <w:color w:val="FFFFFF" w:themeColor="background1"/>
                <w:sz w:val="18"/>
                <w:szCs w:val="18"/>
              </w:rPr>
            </w:pPr>
            <w:r w:rsidRPr="00496814">
              <w:rPr>
                <w:rFonts w:asciiTheme="majorHAnsi" w:eastAsia="Times New Roman" w:hAnsiTheme="majorHAnsi"/>
                <w:b/>
                <w:color w:val="FFFFFF" w:themeColor="background1"/>
                <w:sz w:val="18"/>
                <w:szCs w:val="18"/>
              </w:rPr>
              <w:t>EE Forecast</w:t>
            </w:r>
            <w:r w:rsidRPr="00496814">
              <w:rPr>
                <w:rFonts w:asciiTheme="majorHAnsi" w:eastAsia="Times New Roman" w:hAnsiTheme="majorHAnsi"/>
                <w:b/>
                <w:color w:val="FFFFFF" w:themeColor="background1"/>
                <w:sz w:val="18"/>
                <w:szCs w:val="18"/>
              </w:rPr>
              <w:br/>
              <w:t>(New Resources)</w:t>
            </w:r>
            <w:r w:rsidRPr="00496814">
              <w:rPr>
                <w:rFonts w:asciiTheme="majorHAnsi" w:eastAsia="Times New Roman" w:hAnsiTheme="majorHAnsi"/>
                <w:b/>
                <w:color w:val="FFFFFF" w:themeColor="background1"/>
                <w:sz w:val="18"/>
                <w:szCs w:val="18"/>
                <w:vertAlign w:val="superscript"/>
              </w:rPr>
              <w:t>(c)</w:t>
            </w:r>
          </w:p>
        </w:tc>
        <w:tc>
          <w:tcPr>
            <w:tcW w:w="1671" w:type="dxa"/>
            <w:shd w:val="clear" w:color="auto" w:fill="1795D2" w:themeFill="accent1"/>
            <w:tcMar>
              <w:top w:w="14" w:type="dxa"/>
              <w:left w:w="115" w:type="dxa"/>
              <w:bottom w:w="14" w:type="dxa"/>
              <w:right w:w="115" w:type="dxa"/>
            </w:tcMar>
            <w:vAlign w:val="center"/>
          </w:tcPr>
          <w:p w:rsidR="00496814" w:rsidRPr="00496814" w:rsidRDefault="00496814" w:rsidP="00496814">
            <w:pPr>
              <w:keepNext/>
              <w:keepLines/>
              <w:widowControl w:val="0"/>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Resource Surplus/Shortage</w:t>
            </w:r>
            <w:r w:rsidRPr="00496814">
              <w:rPr>
                <w:rFonts w:asciiTheme="majorHAnsi" w:eastAsia="Times New Roman" w:hAnsiTheme="majorHAnsi"/>
                <w:b/>
                <w:color w:val="FFFFFF" w:themeColor="background1"/>
                <w:sz w:val="18"/>
                <w:szCs w:val="18"/>
                <w:vertAlign w:val="superscript"/>
              </w:rPr>
              <w:t>(d)</w:t>
            </w:r>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496814">
            <w:pPr>
              <w:keepNext/>
              <w:keepLines/>
              <w:widowControl w:val="0"/>
              <w:spacing w:before="40" w:after="40" w:line="240" w:lineRule="auto"/>
              <w:rPr>
                <w:rFonts w:asciiTheme="minorHAnsi" w:eastAsia="Times New Roman" w:hAnsiTheme="minorHAnsi" w:cstheme="minorHAnsi"/>
                <w:b/>
                <w:sz w:val="18"/>
                <w:szCs w:val="18"/>
              </w:rPr>
            </w:pPr>
            <w:bookmarkStart w:id="373" w:name="OLE_LINK1"/>
            <w:r w:rsidRPr="00496814">
              <w:rPr>
                <w:rFonts w:asciiTheme="minorHAnsi" w:eastAsia="Times New Roman" w:hAnsiTheme="minorHAnsi" w:cstheme="minorHAnsi"/>
                <w:color w:val="62777F" w:themeColor="text1"/>
                <w:sz w:val="18"/>
                <w:szCs w:val="18"/>
              </w:rPr>
              <w:t>2026-2027</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28,181</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31,705</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74" w:name="_Toc354744599"/>
            <w:r w:rsidRPr="00496814">
              <w:rPr>
                <w:rFonts w:asciiTheme="minorHAnsi" w:eastAsia="Times New Roman" w:hAnsiTheme="minorHAnsi" w:cstheme="minorHAnsi"/>
                <w:color w:val="62777F" w:themeColor="text1"/>
                <w:sz w:val="18"/>
                <w:szCs w:val="18"/>
              </w:rPr>
              <w:t>230</w:t>
            </w:r>
            <w:bookmarkEnd w:id="374"/>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75" w:name="RANGE!J13"/>
            <w:bookmarkStart w:id="376" w:name="_Toc354744600"/>
            <w:r w:rsidRPr="00496814">
              <w:rPr>
                <w:rFonts w:asciiTheme="minorHAnsi" w:eastAsia="Times New Roman" w:hAnsiTheme="minorHAnsi" w:cstheme="minorHAnsi"/>
                <w:color w:val="62777F" w:themeColor="text1"/>
                <w:sz w:val="18"/>
                <w:szCs w:val="18"/>
              </w:rPr>
              <w:t>3,146</w:t>
            </w:r>
            <w:bookmarkEnd w:id="375"/>
            <w:bookmarkEnd w:id="376"/>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115" w:type="dxa"/>
              <w:bottom w:w="14" w:type="dxa"/>
              <w:right w:w="115" w:type="dxa"/>
            </w:tcMar>
          </w:tcPr>
          <w:p w:rsidR="00496814" w:rsidRPr="00496814" w:rsidRDefault="00496814" w:rsidP="00496814">
            <w:pPr>
              <w:keepNext/>
              <w:keepLines/>
              <w:widowControl w:val="0"/>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2027-2028</w:t>
            </w:r>
          </w:p>
        </w:tc>
        <w:tc>
          <w:tcPr>
            <w:tcW w:w="134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28,358</w:t>
            </w:r>
          </w:p>
        </w:tc>
        <w:tc>
          <w:tcPr>
            <w:tcW w:w="157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31,850</w:t>
            </w:r>
          </w:p>
        </w:tc>
        <w:tc>
          <w:tcPr>
            <w:tcW w:w="148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77" w:name="_Toc354744601"/>
            <w:r w:rsidRPr="00496814">
              <w:rPr>
                <w:rFonts w:asciiTheme="minorHAnsi" w:eastAsia="Times New Roman" w:hAnsiTheme="minorHAnsi" w:cstheme="minorHAnsi"/>
                <w:color w:val="62777F" w:themeColor="text1"/>
                <w:sz w:val="18"/>
                <w:szCs w:val="18"/>
              </w:rPr>
              <w:t>34,621</w:t>
            </w:r>
            <w:bookmarkEnd w:id="377"/>
          </w:p>
        </w:tc>
        <w:tc>
          <w:tcPr>
            <w:tcW w:w="135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427</w:t>
            </w:r>
          </w:p>
        </w:tc>
        <w:tc>
          <w:tcPr>
            <w:tcW w:w="16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78" w:name="RANGE!J14"/>
            <w:bookmarkStart w:id="379" w:name="_Toc354744603"/>
            <w:r w:rsidRPr="00496814">
              <w:rPr>
                <w:rFonts w:asciiTheme="minorHAnsi" w:eastAsia="Times New Roman" w:hAnsiTheme="minorHAnsi" w:cstheme="minorHAnsi"/>
                <w:color w:val="62777F" w:themeColor="text1"/>
                <w:sz w:val="18"/>
                <w:szCs w:val="18"/>
              </w:rPr>
              <w:t>3,198</w:t>
            </w:r>
            <w:bookmarkEnd w:id="378"/>
            <w:bookmarkEnd w:id="379"/>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496814">
            <w:pPr>
              <w:keepNext/>
              <w:keepLines/>
              <w:widowControl w:val="0"/>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2028-2029</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28,555</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32,015</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80" w:name="_Toc354744604"/>
            <w:r w:rsidRPr="00496814">
              <w:rPr>
                <w:rFonts w:asciiTheme="minorHAnsi" w:eastAsia="Times New Roman" w:hAnsiTheme="minorHAnsi" w:cstheme="minorHAnsi"/>
                <w:color w:val="62777F" w:themeColor="text1"/>
                <w:sz w:val="18"/>
                <w:szCs w:val="18"/>
              </w:rPr>
              <w:t>34,621</w:t>
            </w:r>
            <w:bookmarkEnd w:id="380"/>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81" w:name="_Toc354744605"/>
            <w:r w:rsidRPr="00496814">
              <w:rPr>
                <w:rFonts w:asciiTheme="minorHAnsi" w:eastAsia="Times New Roman" w:hAnsiTheme="minorHAnsi" w:cstheme="minorHAnsi"/>
                <w:color w:val="62777F" w:themeColor="text1"/>
                <w:sz w:val="18"/>
                <w:szCs w:val="18"/>
              </w:rPr>
              <w:t>591</w:t>
            </w:r>
            <w:bookmarkEnd w:id="381"/>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bookmarkStart w:id="382" w:name="RANGE!J15"/>
            <w:bookmarkStart w:id="383" w:name="_Toc354744606"/>
            <w:r w:rsidRPr="00496814">
              <w:rPr>
                <w:rFonts w:asciiTheme="minorHAnsi" w:eastAsia="Times New Roman" w:hAnsiTheme="minorHAnsi" w:cstheme="minorHAnsi"/>
                <w:color w:val="62777F" w:themeColor="text1"/>
                <w:sz w:val="18"/>
                <w:szCs w:val="18"/>
              </w:rPr>
              <w:t>3,197</w:t>
            </w:r>
            <w:bookmarkEnd w:id="382"/>
            <w:bookmarkEnd w:id="383"/>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115" w:type="dxa"/>
              <w:bottom w:w="14" w:type="dxa"/>
              <w:right w:w="115" w:type="dxa"/>
            </w:tcMar>
          </w:tcPr>
          <w:p w:rsidR="00496814" w:rsidRPr="00496814" w:rsidRDefault="00496814" w:rsidP="00496814">
            <w:pPr>
              <w:keepNext/>
              <w:keepLines/>
              <w:widowControl w:val="0"/>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2029-2030</w:t>
            </w:r>
          </w:p>
        </w:tc>
        <w:tc>
          <w:tcPr>
            <w:tcW w:w="134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28,769</w:t>
            </w:r>
          </w:p>
        </w:tc>
        <w:tc>
          <w:tcPr>
            <w:tcW w:w="157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32,200</w:t>
            </w:r>
          </w:p>
        </w:tc>
        <w:tc>
          <w:tcPr>
            <w:tcW w:w="148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722</w:t>
            </w:r>
          </w:p>
        </w:tc>
        <w:tc>
          <w:tcPr>
            <w:tcW w:w="16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3,143</w:t>
            </w:r>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496814">
            <w:pPr>
              <w:keepNext/>
              <w:keepLines/>
              <w:widowControl w:val="0"/>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2030-2031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29,090</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32,400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821</w:t>
            </w:r>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496814">
            <w:pPr>
              <w:keepNext/>
              <w:keepLines/>
              <w:widowControl w:val="0"/>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3,042</w:t>
            </w:r>
          </w:p>
        </w:tc>
      </w:tr>
      <w:bookmarkEnd w:id="373"/>
    </w:tbl>
    <w:p w:rsidR="00496814" w:rsidRPr="00496814" w:rsidRDefault="00496814" w:rsidP="00496814">
      <w:pPr>
        <w:spacing w:after="0" w:line="240" w:lineRule="auto"/>
        <w:ind w:left="360" w:right="90"/>
        <w:rPr>
          <w:rFonts w:asciiTheme="minorHAnsi" w:hAnsiTheme="minorHAnsi"/>
          <w:sz w:val="16"/>
          <w:szCs w:val="16"/>
        </w:rPr>
      </w:pP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The 2021 CELT forecast 50/50 peak loads reflect the load reductions from the </w:t>
      </w:r>
      <w:hyperlink r:id="rId148" w:history="1">
        <w:r w:rsidRPr="00FA3C46">
          <w:rPr>
            <w:rStyle w:val="Hyperlink"/>
            <w:rFonts w:asciiTheme="minorHAnsi" w:hAnsiTheme="minorHAnsi" w:cstheme="minorHAnsi"/>
            <w:sz w:val="16"/>
            <w:szCs w:val="16"/>
          </w:rPr>
          <w:t>BTM PV forecast</w:t>
        </w:r>
      </w:hyperlink>
      <w:r w:rsidRPr="00FA3C46">
        <w:rPr>
          <w:rFonts w:asciiTheme="minorHAnsi" w:eastAsia="Times New Roman" w:hAnsiTheme="minorHAnsi" w:cstheme="minorHAnsi"/>
          <w:sz w:val="16"/>
          <w:szCs w:val="16"/>
        </w:rPr>
        <w:t xml:space="preserve">.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FCA 15 resource values are based on </w:t>
      </w:r>
      <w:hyperlink r:id="rId149" w:history="1">
        <w:r w:rsidRPr="00FA3C46">
          <w:rPr>
            <w:rStyle w:val="Hyperlink"/>
            <w:rFonts w:asciiTheme="minorHAnsi" w:hAnsiTheme="minorHAnsi" w:cstheme="minorHAnsi"/>
            <w:sz w:val="16"/>
            <w:szCs w:val="16"/>
          </w:rPr>
          <w:t>FCA 15 auction results</w:t>
        </w:r>
      </w:hyperlink>
      <w:r w:rsidRPr="00FA3C46">
        <w:rPr>
          <w:rFonts w:asciiTheme="minorHAnsi" w:eastAsia="Times New Roman" w:hAnsiTheme="minorHAnsi" w:cstheme="minorHAnsi"/>
          <w:sz w:val="16"/>
          <w:szCs w:val="16"/>
        </w:rPr>
        <w:t xml:space="preserve">, assuming no additional retirements and the same level of imports (i.e., most imports need to requalify for every auction).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EE cumulative forecast values are based on the 2021 </w:t>
      </w:r>
      <w:hyperlink r:id="rId150" w:history="1">
        <w:r w:rsidRPr="00FA3C46">
          <w:rPr>
            <w:rStyle w:val="Hyperlink"/>
            <w:rFonts w:asciiTheme="minorHAnsi" w:hAnsiTheme="minorHAnsi" w:cstheme="minorHAnsi"/>
            <w:sz w:val="16"/>
            <w:szCs w:val="16"/>
          </w:rPr>
          <w:t>EE forecast</w:t>
        </w:r>
      </w:hyperlink>
      <w:r w:rsidRPr="00FA3C46">
        <w:rPr>
          <w:rFonts w:asciiTheme="minorHAnsi" w:eastAsia="Times New Roman" w:hAnsiTheme="minorHAnsi" w:cstheme="minorHAnsi"/>
          <w:sz w:val="16"/>
          <w:szCs w:val="16"/>
        </w:rPr>
        <w:t xml:space="preserve">.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Additional resources would be required if there are resource retirements or fewer capacity imports obtain CSOs.</w:t>
      </w:r>
    </w:p>
    <w:p w:rsidR="00496814" w:rsidRPr="00496814" w:rsidRDefault="00496814" w:rsidP="00853CE5">
      <w:pPr>
        <w:pStyle w:val="Heading3"/>
        <w:rPr>
          <w:rFonts w:eastAsia="Times New Roman"/>
        </w:rPr>
      </w:pPr>
      <w:bookmarkStart w:id="384" w:name="_Ref419703700"/>
      <w:bookmarkStart w:id="385" w:name="_Toc490323029"/>
      <w:bookmarkStart w:id="386" w:name="_Toc481053258"/>
      <w:bookmarkStart w:id="387" w:name="_Toc81544525"/>
      <w:r w:rsidRPr="00496814">
        <w:rPr>
          <w:rFonts w:eastAsia="Times New Roman"/>
        </w:rPr>
        <w:t>Analyzing Operable Capacity</w:t>
      </w:r>
      <w:bookmarkEnd w:id="384"/>
      <w:bookmarkEnd w:id="385"/>
      <w:bookmarkEnd w:id="387"/>
      <w:r w:rsidRPr="00496814">
        <w:rPr>
          <w:rFonts w:eastAsia="Times New Roman"/>
        </w:rPr>
        <w:t xml:space="preserve"> </w:t>
      </w:r>
      <w:bookmarkEnd w:id="386"/>
    </w:p>
    <w:p w:rsidR="00496814" w:rsidRPr="00496814" w:rsidRDefault="00496814" w:rsidP="00496814">
      <w:r w:rsidRPr="00496814">
        <w:t xml:space="preserve">The ISO has </w:t>
      </w:r>
      <w:r w:rsidR="00675F2B">
        <w:t>performed</w:t>
      </w:r>
      <w:r w:rsidR="00675F2B" w:rsidRPr="00496814">
        <w:t xml:space="preserve"> </w:t>
      </w:r>
      <w:r w:rsidRPr="00496814">
        <w:t xml:space="preserve">systemwide operable-capacity analyses to estimate </w:t>
      </w:r>
      <w:r w:rsidR="00675F2B">
        <w:t>future</w:t>
      </w:r>
      <w:r w:rsidRPr="00496814">
        <w:t xml:space="preserve"> summer and winter operable-capacity margin</w:t>
      </w:r>
      <w:r w:rsidR="000444D6">
        <w:t>s</w:t>
      </w:r>
      <w:r w:rsidRPr="00496814">
        <w:t xml:space="preserve"> at peak demand conditions under two scenarios, the 50/50 and 90/10 forecasts of peak load.</w:t>
      </w:r>
      <w:r w:rsidR="00C17027">
        <w:rPr>
          <w:rStyle w:val="FootnoteReference"/>
        </w:rPr>
        <w:footnoteReference w:id="54"/>
      </w:r>
      <w:r w:rsidRPr="00496814">
        <w:t xml:space="preserve"> These analyses assume that gross peak demand conditions are reduced to reflect the effect of </w:t>
      </w:r>
      <w:r w:rsidR="00B83CCD">
        <w:t xml:space="preserve">BTM </w:t>
      </w:r>
      <w:r w:rsidRPr="00496814">
        <w:t xml:space="preserve">PV. It also assumes that to meet the forecast seasonal peak demand plus operating reserve requirements, the capacity in New England will equal the net ICR. The net ICR is probabilistically determined. It includes some portion of load and capacity relief benefits available from implementation, by </w:t>
      </w:r>
      <w:r w:rsidR="001624F6">
        <w:t>s</w:t>
      </w:r>
      <w:r w:rsidRPr="00496814">
        <w:t xml:space="preserve">ystem </w:t>
      </w:r>
      <w:r w:rsidR="001624F6">
        <w:t>o</w:t>
      </w:r>
      <w:r w:rsidRPr="00496814">
        <w:t xml:space="preserve">perators, of certain actions of ISO Operating Procedure No. 4, </w:t>
      </w:r>
      <w:r w:rsidRPr="00496814">
        <w:rPr>
          <w:i/>
        </w:rPr>
        <w:t xml:space="preserve">Action During a Capacity Deficiency </w:t>
      </w:r>
      <w:r w:rsidRPr="00496814">
        <w:t>(</w:t>
      </w:r>
      <w:hyperlink r:id="rId151" w:history="1">
        <w:r w:rsidRPr="00FA3C46">
          <w:rPr>
            <w:rStyle w:val="Hyperlink"/>
          </w:rPr>
          <w:t>OP-4</w:t>
        </w:r>
      </w:hyperlink>
      <w:r w:rsidRPr="00496814">
        <w:t>), in order to meet the one-day-in-10 years loss-of-load expec</w:t>
      </w:r>
      <w:r w:rsidRPr="008F39DF">
        <w:t>tation (LOLE).</w:t>
      </w:r>
      <w:r w:rsidRPr="00496814">
        <w:rPr>
          <w:vertAlign w:val="superscript"/>
        </w:rPr>
        <w:footnoteReference w:id="55"/>
      </w:r>
      <w:r w:rsidRPr="00496814">
        <w:t xml:space="preserve"> A forecast of negative operable-capacity margins indicates the extent that possible mitigation actions would be required through predefined operational protocols, as prescribed in OP-4</w:t>
      </w:r>
      <w:r w:rsidRPr="00496814">
        <w:rPr>
          <w:i/>
        </w:rPr>
        <w:t xml:space="preserve"> </w:t>
      </w:r>
      <w:r w:rsidRPr="00496814">
        <w:t>or implementation of Operating Procedure No. 7 (</w:t>
      </w:r>
      <w:hyperlink r:id="rId152" w:history="1">
        <w:r w:rsidRPr="00FA3C46">
          <w:rPr>
            <w:rStyle w:val="Hyperlink"/>
          </w:rPr>
          <w:t>OP-7</w:t>
        </w:r>
      </w:hyperlink>
      <w:r w:rsidRPr="00496814">
        <w:t xml:space="preserve">), </w:t>
      </w:r>
      <w:r w:rsidRPr="00496814">
        <w:rPr>
          <w:i/>
        </w:rPr>
        <w:t>Action in an Emergency</w:t>
      </w:r>
      <w:r w:rsidRPr="00496814">
        <w:t>.</w:t>
      </w:r>
    </w:p>
    <w:p w:rsidR="00496814" w:rsidRPr="00496814" w:rsidRDefault="00496814" w:rsidP="00853CE5">
      <w:pPr>
        <w:pStyle w:val="Heading4"/>
      </w:pPr>
      <w:r w:rsidRPr="00496814">
        <w:t>Summer Operable Capacity</w:t>
      </w:r>
    </w:p>
    <w:p w:rsidR="00496814" w:rsidRPr="00496814" w:rsidRDefault="008F39DF" w:rsidP="00496814">
      <w:pPr>
        <w:ind w:right="-90"/>
      </w:pPr>
      <w:r>
        <w:t>Operable-capacity analys</w:t>
      </w:r>
      <w:r w:rsidR="00675F2B">
        <w:t>e</w:t>
      </w:r>
      <w:r>
        <w:t xml:space="preserve">s, </w:t>
      </w:r>
      <w:r w:rsidRPr="00496814">
        <w:t>under the 50/50 and 90/10 demand scenarios</w:t>
      </w:r>
      <w:r>
        <w:t>, are illustrated</w:t>
      </w:r>
      <w:r w:rsidRPr="00496814">
        <w:t xml:space="preserve"> in </w:t>
      </w:r>
      <w:hyperlink w:anchor="Table_4_7" w:history="1">
        <w:r w:rsidRPr="00CB6090">
          <w:rPr>
            <w:rStyle w:val="Hyperlink"/>
          </w:rPr>
          <w:t>Table 4-7</w:t>
        </w:r>
      </w:hyperlink>
      <w:r>
        <w:t xml:space="preserve">. Results are shown for the summer periods associated with the </w:t>
      </w:r>
      <w:r w:rsidR="00496814" w:rsidRPr="00496814">
        <w:t xml:space="preserve">2022-2023 through 2030-2031 </w:t>
      </w:r>
      <w:r w:rsidR="005B3F16">
        <w:t>CCP</w:t>
      </w:r>
      <w:r w:rsidR="00496814" w:rsidRPr="00496814">
        <w:t>.</w:t>
      </w:r>
    </w:p>
    <w:p w:rsidR="00496814" w:rsidRPr="00496814" w:rsidRDefault="00496814" w:rsidP="00496814">
      <w:r w:rsidRPr="00496814">
        <w:t xml:space="preserve">The results show that if summer peak demands associated with the 50/50 forecast occurred, the system would have positive operable-capacity margins, ranging from 715 MW to 980 MW through CCP 2024-2025. Starting with CCP 2026-2027, the system would experience operable-capacity margin shortfalls ranging from -881 MW (2026-2027) to -1,095 MW (2030-2031). As discussed in </w:t>
      </w:r>
      <w:r w:rsidR="008A427D">
        <w:t xml:space="preserve">the </w:t>
      </w:r>
      <w:r w:rsidRPr="00496814">
        <w:t>Systemwide Installed Capacity Requirements section</w:t>
      </w:r>
      <w:r w:rsidR="008F39DF">
        <w:t xml:space="preserve"> of this chapter</w:t>
      </w:r>
      <w:r w:rsidRPr="00496814">
        <w:t xml:space="preserve">, the actual net </w:t>
      </w:r>
      <w:r w:rsidR="005B3F16">
        <w:t>installed capacity requirements (</w:t>
      </w:r>
      <w:r w:rsidRPr="00496814">
        <w:t>ICR</w:t>
      </w:r>
      <w:r w:rsidR="005B3F16">
        <w:t>)</w:t>
      </w:r>
      <w:r w:rsidRPr="00496814">
        <w:t xml:space="preserve"> calculations for CCP 2022-2023 through CCP 2024-2025 were based on the 2020 CELT load forecast, which results in reserve margins ranging from 18.5% in CCP 2022-2023 to 19.3% in CCP 2024-2025 when expressed in the lower 2021 CELT load forecast. The 18.5% to 19.3% installed capacity reserve-margin levels would result in positive operable-capacity margin</w:t>
      </w:r>
      <w:r w:rsidR="00C17027">
        <w:t>s</w:t>
      </w:r>
      <w:r w:rsidRPr="00496814">
        <w:t xml:space="preserve"> under the 2021 CELT load forecast. The representative future net ICR calculations for CCP 2026-2027 through CCP 2030-2031 used the 2021 CELT load forecast, which </w:t>
      </w:r>
      <w:r w:rsidR="00675F2B">
        <w:t xml:space="preserve">is lower than the 2020 CELT load forecast and </w:t>
      </w:r>
      <w:r w:rsidRPr="00496814">
        <w:t xml:space="preserve">results in decreased reserve margins, ranging from 12.5% in CCP 2026-2027 to 11.4% in CCP 2030-2031. The lower installed capacity margins mean that the system would experience negative operable-capacity margins at the time of the 50/50 peak and </w:t>
      </w:r>
      <w:r w:rsidRPr="007819D9">
        <w:t xml:space="preserve">would need to rely on OP-4 actions, such as voltage reduction or </w:t>
      </w:r>
      <w:r w:rsidR="007819D9" w:rsidRPr="007819D9">
        <w:t xml:space="preserve">the </w:t>
      </w:r>
      <w:r w:rsidRPr="007819D9">
        <w:t>purchase</w:t>
      </w:r>
      <w:r w:rsidR="007819D9" w:rsidRPr="007819D9">
        <w:t xml:space="preserve"> of</w:t>
      </w:r>
      <w:r w:rsidRPr="007819D9">
        <w:t xml:space="preserve"> emergency energy from neighboring Control Areas to meet the demand.</w:t>
      </w:r>
      <w:r w:rsidRPr="00496814">
        <w:t xml:space="preserve"> </w:t>
      </w:r>
    </w:p>
    <w:p w:rsidR="00496814" w:rsidRPr="00496814" w:rsidRDefault="00496814" w:rsidP="00496814">
      <w:r w:rsidRPr="00496814">
        <w:t>The results also show that if summer peak demands associated with the 90/10 forecast occurred, the system would have negative operable-capacity margins through the entire study period. These negative operable-capacity margins would range from -973 MW in CCP 2024-2025 to -3,115 MW in CCP 2030-2031. Under these shortfall conditions, New England would need to rely on more actions of OP-4 and</w:t>
      </w:r>
      <w:r w:rsidR="00707BBF">
        <w:t>/</w:t>
      </w:r>
      <w:r w:rsidRPr="00496814">
        <w:t>or OP-7 to mitigate the shortfalls.</w:t>
      </w:r>
    </w:p>
    <w:p w:rsidR="00496814" w:rsidRPr="00496814" w:rsidRDefault="00496814" w:rsidP="00496814">
      <w:pPr>
        <w:keepNext/>
        <w:keepLines/>
        <w:spacing w:after="120" w:line="240" w:lineRule="auto"/>
        <w:jc w:val="center"/>
        <w:rPr>
          <w:rFonts w:ascii="Calibri" w:hAnsi="Calibri"/>
          <w:b/>
          <w:szCs w:val="18"/>
        </w:rPr>
      </w:pPr>
      <w:bookmarkStart w:id="388" w:name="Table_4_7"/>
      <w:bookmarkStart w:id="389" w:name="_Ref419042532"/>
      <w:bookmarkStart w:id="390" w:name="_Toc481053565"/>
      <w:bookmarkStart w:id="391" w:name="_Toc491244010"/>
      <w:bookmarkStart w:id="392" w:name="_Ref13323074"/>
      <w:r w:rsidRPr="00496814">
        <w:rPr>
          <w:rFonts w:ascii="Calibri" w:hAnsi="Calibri"/>
          <w:b/>
          <w:bCs/>
          <w:szCs w:val="18"/>
        </w:rPr>
        <w:t>Table 4-7</w:t>
      </w:r>
      <w:bookmarkEnd w:id="388"/>
      <w:r w:rsidRPr="00496814">
        <w:rPr>
          <w:rFonts w:ascii="Calibri" w:hAnsi="Calibri"/>
          <w:b/>
          <w:bCs/>
          <w:szCs w:val="18"/>
        </w:rPr>
        <w:br/>
      </w:r>
      <w:r w:rsidRPr="00496814">
        <w:rPr>
          <w:rFonts w:ascii="Calibri" w:hAnsi="Calibri"/>
          <w:b/>
          <w:szCs w:val="18"/>
        </w:rPr>
        <w:t xml:space="preserve">Forecast of New England’s Operable-Capacity Analysis for Summer 2022 </w:t>
      </w:r>
      <w:r w:rsidRPr="00496814">
        <w:rPr>
          <w:rFonts w:ascii="Calibri" w:hAnsi="Calibri" w:cs="Arial"/>
          <w:b/>
          <w:szCs w:val="18"/>
        </w:rPr>
        <w:t xml:space="preserve">to </w:t>
      </w:r>
      <w:r w:rsidRPr="00496814">
        <w:rPr>
          <w:rFonts w:ascii="Calibri" w:hAnsi="Calibri"/>
          <w:b/>
          <w:szCs w:val="18"/>
        </w:rPr>
        <w:t>2030</w:t>
      </w:r>
      <w:r w:rsidRPr="00496814">
        <w:rPr>
          <w:rFonts w:ascii="Calibri" w:hAnsi="Calibri"/>
          <w:b/>
          <w:szCs w:val="18"/>
        </w:rPr>
        <w:br/>
        <w:t>Assuming 50/50 and 90/10 Peak Summer Demands (MW)</w:t>
      </w:r>
    </w:p>
    <w:p w:rsidR="00496814" w:rsidRPr="00496814" w:rsidRDefault="00496814" w:rsidP="00496814">
      <w:pPr>
        <w:jc w:val="center"/>
      </w:pPr>
      <w:r w:rsidRPr="00496814">
        <w:rPr>
          <w:noProof/>
        </w:rPr>
        <w:drawing>
          <wp:inline distT="0" distB="0" distL="0" distR="0" wp14:anchorId="3ECE1A78" wp14:editId="03DA4D2B">
            <wp:extent cx="5657850" cy="416588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57850" cy="4165885"/>
                    </a:xfrm>
                    <a:prstGeom prst="rect">
                      <a:avLst/>
                    </a:prstGeom>
                    <a:noFill/>
                    <a:ln>
                      <a:noFill/>
                    </a:ln>
                  </pic:spPr>
                </pic:pic>
              </a:graphicData>
            </a:graphic>
          </wp:inline>
        </w:drawing>
      </w:r>
    </w:p>
    <w:p w:rsidR="00496814" w:rsidRPr="00496814" w:rsidRDefault="00496814" w:rsidP="00496814">
      <w:pPr>
        <w:tabs>
          <w:tab w:val="left" w:pos="0"/>
          <w:tab w:val="left" w:pos="9450"/>
        </w:tabs>
        <w:spacing w:before="120"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(a)</w:t>
      </w:r>
      <w:r w:rsidRPr="00496814">
        <w:rPr>
          <w:rFonts w:asciiTheme="minorHAnsi" w:eastAsia="Times New Roman" w:hAnsiTheme="minorHAnsi"/>
          <w:sz w:val="16"/>
          <w:szCs w:val="16"/>
        </w:rPr>
        <w:tab/>
        <w:t>The Load N</w:t>
      </w:r>
      <w:r w:rsidRPr="00496814">
        <w:rPr>
          <w:rFonts w:asciiTheme="minorHAnsi" w:hAnsiTheme="minorHAnsi"/>
          <w:sz w:val="16"/>
          <w:szCs w:val="16"/>
        </w:rPr>
        <w:t xml:space="preserve">et of BTM PV values are consistent with the other projections in this section. Because this table uses Net ICR, ISO-NE does not subtract the EE forecast; EE is considered part of the resource mix meeting the ICR. </w:t>
      </w:r>
    </w:p>
    <w:p w:rsidR="00496814" w:rsidRPr="00496814" w:rsidRDefault="00496814" w:rsidP="00496814">
      <w:pPr>
        <w:tabs>
          <w:tab w:val="left" w:pos="0"/>
        </w:tabs>
        <w:spacing w:after="0" w:line="240" w:lineRule="auto"/>
        <w:ind w:right="-274" w:hanging="274"/>
        <w:rPr>
          <w:rFonts w:ascii="Calibri" w:eastAsia="Times New Roman" w:hAnsi="Calibri"/>
          <w:sz w:val="16"/>
          <w:szCs w:val="16"/>
        </w:rPr>
      </w:pPr>
      <w:r w:rsidRPr="00496814">
        <w:rPr>
          <w:rFonts w:asciiTheme="minorHAnsi" w:eastAsia="Times New Roman" w:hAnsiTheme="minorHAnsi"/>
          <w:sz w:val="16"/>
          <w:szCs w:val="16"/>
        </w:rPr>
        <w:t xml:space="preserve">(b) </w:t>
      </w:r>
      <w:r w:rsidRPr="00496814">
        <w:rPr>
          <w:rFonts w:asciiTheme="minorHAnsi" w:eastAsia="Times New Roman" w:hAnsiTheme="minorHAnsi"/>
          <w:sz w:val="16"/>
          <w:szCs w:val="16"/>
        </w:rPr>
        <w:tab/>
        <w:t xml:space="preserve">The 2,305 MW value for Operating Reserves is based on the following assumptions: 100% of the first contingency of 1,400 MW, plus a 20% increase in the 10-minute operating reserve. The 20% adder is meant </w:t>
      </w:r>
      <w:r w:rsidRPr="00496814">
        <w:rPr>
          <w:rFonts w:ascii="Calibri" w:eastAsia="Times New Roman" w:hAnsi="Calibri"/>
          <w:sz w:val="16"/>
          <w:szCs w:val="16"/>
        </w:rPr>
        <w:t xml:space="preserve">to compensate for historical nonperformance of the reserve generators and is equal to 280 MW of 10-minute operating reserves and 30-minute reserves of 625 MW (one half of 1,250 MW - the second contingency). </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(c)</w:t>
      </w:r>
      <w:r w:rsidRPr="00496814">
        <w:rPr>
          <w:rFonts w:asciiTheme="minorHAnsi" w:eastAsia="Times New Roman" w:hAnsiTheme="minorHAnsi"/>
          <w:sz w:val="16"/>
          <w:szCs w:val="16"/>
        </w:rPr>
        <w:tab/>
        <w:t>Total Requirement equals Load Net of BTM PV plus Operating Reserve.</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(d)</w:t>
      </w:r>
      <w:r w:rsidRPr="00496814">
        <w:rPr>
          <w:rFonts w:asciiTheme="minorHAnsi" w:eastAsia="Times New Roman" w:hAnsiTheme="minorHAnsi"/>
          <w:sz w:val="16"/>
          <w:szCs w:val="16"/>
        </w:rPr>
        <w:tab/>
      </w:r>
      <w:r w:rsidRPr="00496814">
        <w:rPr>
          <w:rFonts w:asciiTheme="minorHAnsi" w:eastAsia="Times New Roman" w:hAnsiTheme="minorHAnsi" w:cs="Arial"/>
          <w:sz w:val="16"/>
          <w:szCs w:val="16"/>
        </w:rPr>
        <w:t xml:space="preserve">Net ICR values for CCP 2022/2023 through CCP 2024/2025 are the latest values approved by FERC. These Net ICR values were developed using </w:t>
      </w:r>
      <w:r w:rsidRPr="00963B61">
        <w:rPr>
          <w:rFonts w:asciiTheme="minorHAnsi" w:eastAsia="Times New Roman" w:hAnsiTheme="minorHAnsi" w:cs="Arial"/>
          <w:i/>
          <w:sz w:val="16"/>
          <w:szCs w:val="16"/>
        </w:rPr>
        <w:t>2020 CELT Report</w:t>
      </w:r>
      <w:r w:rsidRPr="00496814">
        <w:rPr>
          <w:rFonts w:asciiTheme="minorHAnsi" w:eastAsia="Times New Roman" w:hAnsiTheme="minorHAnsi" w:cs="Arial"/>
          <w:sz w:val="16"/>
          <w:szCs w:val="16"/>
        </w:rPr>
        <w:t xml:space="preserve"> demands. The Net ICR values for other years are consistent with the representative future Net ICR values in </w:t>
      </w:r>
      <w:hyperlink w:anchor="Table_4_6" w:history="1">
        <w:r w:rsidRPr="0022032C">
          <w:rPr>
            <w:rStyle w:val="Hyperlink"/>
            <w:rFonts w:asciiTheme="minorHAnsi" w:eastAsia="Times New Roman" w:hAnsiTheme="minorHAnsi" w:cs="Arial"/>
            <w:sz w:val="16"/>
            <w:szCs w:val="16"/>
          </w:rPr>
          <w:t>Table 4-6</w:t>
        </w:r>
      </w:hyperlink>
      <w:r w:rsidRPr="00496814">
        <w:rPr>
          <w:rFonts w:asciiTheme="minorHAnsi" w:eastAsia="Times New Roman" w:hAnsiTheme="minorHAnsi" w:cs="Arial"/>
          <w:sz w:val="16"/>
          <w:szCs w:val="16"/>
        </w:rPr>
        <w:t>.</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(e) </w:t>
      </w:r>
      <w:r w:rsidRPr="00496814">
        <w:rPr>
          <w:rFonts w:asciiTheme="minorHAnsi" w:eastAsia="Times New Roman" w:hAnsiTheme="minorHAnsi"/>
          <w:sz w:val="16"/>
          <w:szCs w:val="16"/>
        </w:rPr>
        <w:tab/>
      </w:r>
      <w:r w:rsidR="00431DC2" w:rsidRPr="00B4224C">
        <w:rPr>
          <w:rFonts w:asciiTheme="minorHAnsi" w:eastAsia="Times New Roman" w:hAnsiTheme="minorHAnsi" w:cs="Arial"/>
          <w:sz w:val="16"/>
          <w:szCs w:val="16"/>
        </w:rPr>
        <w:t xml:space="preserve">The 2,100 MW of </w:t>
      </w:r>
      <w:r w:rsidR="00431DC2" w:rsidRPr="00003C7E">
        <w:rPr>
          <w:rFonts w:asciiTheme="minorHAnsi" w:eastAsia="Times New Roman" w:hAnsiTheme="minorHAnsi" w:cs="Arial"/>
          <w:i/>
          <w:sz w:val="16"/>
          <w:szCs w:val="16"/>
        </w:rPr>
        <w:t>Assumed Unavailable Capacity</w:t>
      </w:r>
      <w:r w:rsidR="00431DC2" w:rsidRPr="00B4224C">
        <w:rPr>
          <w:rFonts w:asciiTheme="minorHAnsi" w:eastAsia="Times New Roman" w:hAnsiTheme="minorHAnsi" w:cs="Arial"/>
          <w:sz w:val="16"/>
          <w:szCs w:val="16"/>
        </w:rPr>
        <w:t xml:space="preserve"> is based upon historical observations and reflects an assumed amount of unplanned outages during peak load conditions.  This value is held constant for every year of the</w:t>
      </w:r>
      <w:r w:rsidR="00431DC2">
        <w:rPr>
          <w:rFonts w:asciiTheme="minorHAnsi" w:eastAsia="Times New Roman" w:hAnsiTheme="minorHAnsi" w:cs="Arial"/>
          <w:sz w:val="16"/>
          <w:szCs w:val="16"/>
        </w:rPr>
        <w:t xml:space="preserve"> </w:t>
      </w:r>
      <w:r w:rsidR="00431DC2" w:rsidRPr="00431DC2">
        <w:rPr>
          <w:rFonts w:asciiTheme="minorHAnsi" w:eastAsia="Times New Roman" w:hAnsiTheme="minorHAnsi" w:cs="Arial"/>
          <w:sz w:val="16"/>
          <w:szCs w:val="16"/>
        </w:rPr>
        <w:t>Operable-Capacity Analysis</w:t>
      </w:r>
      <w:r w:rsidR="00431DC2" w:rsidRPr="00B4224C">
        <w:rPr>
          <w:rFonts w:asciiTheme="minorHAnsi" w:eastAsia="Times New Roman" w:hAnsiTheme="minorHAnsi" w:cs="Arial"/>
          <w:sz w:val="16"/>
          <w:szCs w:val="16"/>
        </w:rPr>
        <w:t>.</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cs="Arial"/>
          <w:sz w:val="16"/>
          <w:szCs w:val="16"/>
        </w:rPr>
        <w:t>(f)</w:t>
      </w:r>
      <w:r w:rsidRPr="00496814">
        <w:rPr>
          <w:rFonts w:asciiTheme="minorHAnsi" w:eastAsia="Times New Roman" w:hAnsiTheme="minorHAnsi" w:cs="Arial"/>
          <w:sz w:val="16"/>
          <w:szCs w:val="16"/>
        </w:rPr>
        <w:tab/>
        <w:t>The Total Net Capacity values are equal to the Net ICR minus the Assumed Unavailable Capacity.</w:t>
      </w:r>
    </w:p>
    <w:p w:rsidR="00496814" w:rsidRPr="00496814" w:rsidRDefault="00496814" w:rsidP="00496814">
      <w:pPr>
        <w:tabs>
          <w:tab w:val="left" w:pos="0"/>
          <w:tab w:val="left" w:pos="945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(g) </w:t>
      </w:r>
      <w:r w:rsidRPr="00496814">
        <w:rPr>
          <w:rFonts w:asciiTheme="minorHAnsi" w:eastAsia="Times New Roman" w:hAnsiTheme="minorHAnsi"/>
          <w:sz w:val="16"/>
          <w:szCs w:val="16"/>
        </w:rPr>
        <w:tab/>
        <w:t>The 50/50 or 90/10 Operable-Capacity Margin equals Total Net Capacity minus Total Requirement.</w:t>
      </w:r>
    </w:p>
    <w:p w:rsidR="00496814" w:rsidRPr="00496814" w:rsidRDefault="00496814" w:rsidP="00853CE5">
      <w:pPr>
        <w:pStyle w:val="Heading4"/>
      </w:pPr>
      <w:bookmarkStart w:id="393" w:name="_Ref11823595"/>
      <w:bookmarkEnd w:id="389"/>
      <w:bookmarkEnd w:id="390"/>
      <w:bookmarkEnd w:id="391"/>
      <w:bookmarkEnd w:id="392"/>
      <w:r w:rsidRPr="00496814">
        <w:t>Winter Operable Capacity</w:t>
      </w:r>
      <w:bookmarkEnd w:id="393"/>
    </w:p>
    <w:p w:rsidR="00496814" w:rsidRPr="00496814" w:rsidRDefault="008F39DF" w:rsidP="008F39DF">
      <w:pPr>
        <w:ind w:right="-90"/>
      </w:pPr>
      <w:r>
        <w:t>Operable-capacity analys</w:t>
      </w:r>
      <w:r w:rsidR="00C17027">
        <w:t>e</w:t>
      </w:r>
      <w:r>
        <w:t xml:space="preserve">s, </w:t>
      </w:r>
      <w:r w:rsidRPr="00496814">
        <w:t>under the 50/50 and 90/10 demand scenarios</w:t>
      </w:r>
      <w:r>
        <w:t xml:space="preserve">, are illustrated in </w:t>
      </w:r>
      <w:hyperlink w:anchor="Table_4_8" w:history="1">
        <w:r w:rsidRPr="00CB6090">
          <w:rPr>
            <w:rStyle w:val="Hyperlink"/>
          </w:rPr>
          <w:t>Table 4-8</w:t>
        </w:r>
      </w:hyperlink>
      <w:r>
        <w:t xml:space="preserve">. Results are shown for the winter periods associated with the </w:t>
      </w:r>
      <w:r w:rsidR="00496814" w:rsidRPr="00496814">
        <w:t xml:space="preserve">2022-2023 through 2030-2031 </w:t>
      </w:r>
      <w:r w:rsidR="005B3F16">
        <w:t>CCP</w:t>
      </w:r>
      <w:r w:rsidR="00496814" w:rsidRPr="00496814">
        <w:t xml:space="preserve">. The results show that if winter peak demands associated with the 50/50 forecast occurred, the system would have positive operable-capacity margins ranging from 847 </w:t>
      </w:r>
      <w:r w:rsidR="00E71989">
        <w:t>megawatts (</w:t>
      </w:r>
      <w:r w:rsidR="00496814" w:rsidRPr="00496814">
        <w:t>MW</w:t>
      </w:r>
      <w:r w:rsidR="00E71989">
        <w:t>)</w:t>
      </w:r>
      <w:r w:rsidR="00496814" w:rsidRPr="00496814">
        <w:t xml:space="preserve"> to 982 MW before 2025-2026. After that, winter peak capacity margin shortfalls begin, ranging from -1,148 MW in 2026-2027 to -2,196 MW in 2030-2031.</w:t>
      </w:r>
    </w:p>
    <w:p w:rsidR="00496814" w:rsidRPr="00496814" w:rsidRDefault="00496814" w:rsidP="00496814">
      <w:r w:rsidRPr="00496814">
        <w:t xml:space="preserve">The results also show that if winter peak demands associated with the 90/10 forecast occurred, the system would have negative operable-capacity margins through the entire study period. These negative capacity margins would range from -628 MW in 2024-2025 to -3,926 MW in 2030-2031. If these negative capacity margins materialize, New England would have to rely on actions of </w:t>
      </w:r>
      <w:r w:rsidR="005B3F16">
        <w:t>Operating Procedure 4 (</w:t>
      </w:r>
      <w:r w:rsidRPr="00496814">
        <w:t>OP-4</w:t>
      </w:r>
      <w:r w:rsidR="005B3F16">
        <w:t>)</w:t>
      </w:r>
      <w:r w:rsidRPr="00496814">
        <w:t xml:space="preserve"> and or </w:t>
      </w:r>
      <w:r w:rsidR="00E71989">
        <w:t>Operating Procedure 7 (</w:t>
      </w:r>
      <w:r w:rsidRPr="00496814">
        <w:t>OP-7</w:t>
      </w:r>
      <w:r w:rsidR="00E71989">
        <w:t>)</w:t>
      </w:r>
      <w:r w:rsidRPr="00496814">
        <w:t xml:space="preserve"> to mitigate these negative capacity margins.</w:t>
      </w:r>
    </w:p>
    <w:p w:rsidR="00496814" w:rsidRPr="00DE2584" w:rsidRDefault="00496814" w:rsidP="00496814">
      <w:r w:rsidRPr="00496814">
        <w:t xml:space="preserve">The possibility that New England could experience negative operable-capacity margins during winter peaks (when these peaks are approximately 4,000 MW to 5,000 MW lower than their corresponding summer peaks) is directly attributable to the assumption that New England’s gas-fired resources do not have primary firm </w:t>
      </w:r>
      <w:r w:rsidRPr="00DE2584">
        <w:t>gas transportation cont</w:t>
      </w:r>
      <w:r w:rsidR="00546615" w:rsidRPr="00DE2584">
        <w:t>r</w:t>
      </w:r>
      <w:r w:rsidRPr="00DE2584">
        <w:t>acts to support wintertime fuel deliveries. If all gas-fired resources had firm fuel</w:t>
      </w:r>
      <w:r w:rsidR="00710624" w:rsidRPr="00DE2584">
        <w:t xml:space="preserve"> contracts, additions to the pipeline infrastructure would likely be needed </w:t>
      </w:r>
      <w:r w:rsidR="00635F0D" w:rsidRPr="00DE2584">
        <w:t>since</w:t>
      </w:r>
      <w:r w:rsidR="00710624" w:rsidRPr="00DE2584">
        <w:t xml:space="preserve"> current</w:t>
      </w:r>
      <w:r w:rsidR="008F15DC" w:rsidRPr="00DE2584">
        <w:t>ly</w:t>
      </w:r>
      <w:r w:rsidR="00710624" w:rsidRPr="00DE2584">
        <w:t xml:space="preserve"> the pipelines are fully subscribed</w:t>
      </w:r>
      <w:r w:rsidR="008F15DC" w:rsidRPr="00DE2584">
        <w:t>. Therefore,</w:t>
      </w:r>
      <w:r w:rsidRPr="00DE2584">
        <w:t xml:space="preserve"> the net ICR, which is procured to satisfy the higher summer </w:t>
      </w:r>
      <w:r w:rsidRPr="00496814">
        <w:t xml:space="preserve">peak demands, would be more than enough capacity to serve the lower winter peak demands. However, New England gas-fired generators rely on surplus </w:t>
      </w:r>
      <w:r w:rsidR="00EE18F6">
        <w:t>natural gas</w:t>
      </w:r>
      <w:r w:rsidRPr="00496814">
        <w:t xml:space="preserve"> pipeline capability to fuel their generation but</w:t>
      </w:r>
      <w:r w:rsidR="002514A4">
        <w:t>,</w:t>
      </w:r>
      <w:r w:rsidRPr="00496814">
        <w:t xml:space="preserve"> historically, surplus capacity has not been available to power all the generators in the region during the coldest days of winter. </w:t>
      </w:r>
      <w:r w:rsidR="00546615">
        <w:t>H</w:t>
      </w:r>
      <w:r w:rsidRPr="00496814">
        <w:t>istorical</w:t>
      </w:r>
      <w:r w:rsidR="00546615">
        <w:t>ly winter</w:t>
      </w:r>
      <w:r w:rsidRPr="00496814">
        <w:t xml:space="preserve"> generator outages during 50/50 peak weather conditions have been in the 7,250 MW range, and during 90/10 peak weather conditions, outages have been in the 8,200 MW range. Of this amount, generator outages </w:t>
      </w:r>
      <w:r w:rsidR="00C17027" w:rsidRPr="00496814">
        <w:t>due to a lack of natural gas</w:t>
      </w:r>
      <w:r w:rsidR="00C17027">
        <w:t xml:space="preserve"> </w:t>
      </w:r>
      <w:r w:rsidRPr="00496814">
        <w:t xml:space="preserve">during 50/50 peak weather conditions have been in the 4,450 </w:t>
      </w:r>
      <w:r w:rsidRPr="00DE2584">
        <w:t>MW range, and during 90/10 peak weather conditions, outages have been in the 5,400 MW range. The ISO</w:t>
      </w:r>
      <w:r w:rsidR="0083335A" w:rsidRPr="00DE2584">
        <w:t xml:space="preserve"> will be revisiting</w:t>
      </w:r>
      <w:r w:rsidR="00DE2584" w:rsidRPr="00DE2584">
        <w:t xml:space="preserve"> </w:t>
      </w:r>
      <w:r w:rsidRPr="00DE2584">
        <w:t>solutions to address energy security</w:t>
      </w:r>
      <w:r w:rsidR="00D64AD2" w:rsidRPr="00DE2584">
        <w:t xml:space="preserve"> in 2022</w:t>
      </w:r>
      <w:r w:rsidRPr="00DE2584">
        <w:t xml:space="preserve">. </w:t>
      </w:r>
    </w:p>
    <w:p w:rsidR="00496814" w:rsidRPr="00496814" w:rsidRDefault="00496814" w:rsidP="00496814"/>
    <w:p w:rsidR="00496814" w:rsidRPr="00496814" w:rsidRDefault="00496814" w:rsidP="00496814">
      <w:pPr>
        <w:spacing w:after="200" w:line="276" w:lineRule="auto"/>
      </w:pPr>
      <w:r w:rsidRPr="00496814">
        <w:br w:type="page"/>
      </w:r>
    </w:p>
    <w:p w:rsidR="00496814" w:rsidRPr="00496814" w:rsidRDefault="00496814" w:rsidP="00496814">
      <w:pPr>
        <w:keepNext/>
        <w:keepLines/>
        <w:spacing w:after="120" w:line="240" w:lineRule="auto"/>
        <w:jc w:val="center"/>
        <w:rPr>
          <w:rFonts w:ascii="Calibri" w:hAnsi="Calibri"/>
          <w:b/>
          <w:bCs/>
          <w:szCs w:val="18"/>
        </w:rPr>
      </w:pPr>
      <w:bookmarkStart w:id="394" w:name="_Ref8750825"/>
      <w:bookmarkStart w:id="395" w:name="Table_4_8"/>
      <w:r w:rsidRPr="00496814">
        <w:rPr>
          <w:rFonts w:ascii="Calibri" w:hAnsi="Calibri"/>
          <w:b/>
          <w:bCs/>
          <w:szCs w:val="18"/>
        </w:rPr>
        <w:t>Table 4-8</w:t>
      </w:r>
      <w:bookmarkEnd w:id="394"/>
      <w:bookmarkEnd w:id="395"/>
      <w:r w:rsidRPr="00496814">
        <w:rPr>
          <w:rFonts w:ascii="Calibri" w:hAnsi="Calibri"/>
          <w:b/>
          <w:bCs/>
          <w:szCs w:val="18"/>
        </w:rPr>
        <w:t xml:space="preserve"> </w:t>
      </w:r>
    </w:p>
    <w:p w:rsidR="00496814" w:rsidRPr="00496814" w:rsidRDefault="00496814" w:rsidP="00496814">
      <w:pPr>
        <w:keepNext/>
        <w:keepLines/>
        <w:spacing w:after="120" w:line="240" w:lineRule="auto"/>
        <w:jc w:val="center"/>
        <w:rPr>
          <w:rFonts w:ascii="Calibri" w:hAnsi="Calibri"/>
          <w:b/>
          <w:szCs w:val="18"/>
        </w:rPr>
      </w:pPr>
      <w:r w:rsidRPr="00496814">
        <w:rPr>
          <w:rFonts w:ascii="Calibri" w:hAnsi="Calibri"/>
          <w:b/>
          <w:szCs w:val="18"/>
        </w:rPr>
        <w:t xml:space="preserve">Forecast of New England’s Operable-Capacity Analysis for Winter, 2022-2023 </w:t>
      </w:r>
      <w:r w:rsidRPr="00496814">
        <w:rPr>
          <w:rFonts w:ascii="Calibri" w:hAnsi="Calibri" w:cs="Arial"/>
          <w:b/>
          <w:szCs w:val="18"/>
        </w:rPr>
        <w:t xml:space="preserve">to </w:t>
      </w:r>
      <w:r w:rsidRPr="00496814">
        <w:rPr>
          <w:rFonts w:ascii="Calibri" w:hAnsi="Calibri"/>
          <w:b/>
          <w:szCs w:val="18"/>
        </w:rPr>
        <w:t>2030-2031</w:t>
      </w:r>
      <w:r w:rsidRPr="00496814">
        <w:rPr>
          <w:rFonts w:ascii="Calibri" w:hAnsi="Calibri"/>
          <w:b/>
          <w:szCs w:val="18"/>
        </w:rPr>
        <w:br/>
        <w:t>Assuming 50/50 and 90/10 Peak Winter Demands (MW)</w:t>
      </w:r>
    </w:p>
    <w:p w:rsidR="00496814" w:rsidRPr="00496814" w:rsidRDefault="00496814" w:rsidP="00496814">
      <w:r w:rsidRPr="00496814">
        <w:rPr>
          <w:noProof/>
        </w:rPr>
        <w:drawing>
          <wp:inline distT="0" distB="0" distL="0" distR="0" wp14:anchorId="68CF2510" wp14:editId="6DCDCAB9">
            <wp:extent cx="5875655" cy="4326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75655" cy="4326255"/>
                    </a:xfrm>
                    <a:prstGeom prst="rect">
                      <a:avLst/>
                    </a:prstGeom>
                    <a:noFill/>
                    <a:ln>
                      <a:noFill/>
                    </a:ln>
                  </pic:spPr>
                </pic:pic>
              </a:graphicData>
            </a:graphic>
          </wp:inline>
        </w:drawing>
      </w:r>
    </w:p>
    <w:p w:rsidR="00496814" w:rsidRPr="00496814" w:rsidRDefault="00496814" w:rsidP="00496814">
      <w:pPr>
        <w:keepNext/>
        <w:keepLines/>
        <w:tabs>
          <w:tab w:val="left" w:pos="0"/>
          <w:tab w:val="left" w:pos="9450"/>
        </w:tabs>
        <w:spacing w:before="120"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(a)</w:t>
      </w:r>
      <w:r w:rsidRPr="00496814">
        <w:rPr>
          <w:rFonts w:asciiTheme="minorHAnsi" w:eastAsia="Times New Roman" w:hAnsiTheme="minorHAnsi"/>
          <w:sz w:val="16"/>
          <w:szCs w:val="16"/>
        </w:rPr>
        <w:tab/>
        <w:t>The Load N</w:t>
      </w:r>
      <w:r w:rsidRPr="00496814">
        <w:rPr>
          <w:rFonts w:asciiTheme="minorHAnsi" w:hAnsiTheme="minorHAnsi"/>
          <w:sz w:val="16"/>
          <w:szCs w:val="16"/>
        </w:rPr>
        <w:t xml:space="preserve">et of </w:t>
      </w:r>
      <w:r w:rsidR="00E71989">
        <w:rPr>
          <w:rFonts w:asciiTheme="minorHAnsi" w:hAnsiTheme="minorHAnsi"/>
          <w:sz w:val="16"/>
          <w:szCs w:val="16"/>
        </w:rPr>
        <w:t>behind-the-meter (</w:t>
      </w:r>
      <w:r w:rsidRPr="00496814">
        <w:rPr>
          <w:rFonts w:asciiTheme="minorHAnsi" w:hAnsiTheme="minorHAnsi"/>
          <w:sz w:val="16"/>
          <w:szCs w:val="16"/>
        </w:rPr>
        <w:t>BTM</w:t>
      </w:r>
      <w:r w:rsidR="00E71989">
        <w:rPr>
          <w:rFonts w:asciiTheme="minorHAnsi" w:hAnsiTheme="minorHAnsi"/>
          <w:sz w:val="16"/>
          <w:szCs w:val="16"/>
        </w:rPr>
        <w:t>)</w:t>
      </w:r>
      <w:r w:rsidRPr="00496814">
        <w:rPr>
          <w:rFonts w:asciiTheme="minorHAnsi" w:hAnsiTheme="minorHAnsi"/>
          <w:sz w:val="16"/>
          <w:szCs w:val="16"/>
        </w:rPr>
        <w:t xml:space="preserve"> </w:t>
      </w:r>
      <w:r w:rsidR="00E71989">
        <w:rPr>
          <w:rFonts w:asciiTheme="minorHAnsi" w:hAnsiTheme="minorHAnsi"/>
          <w:sz w:val="16"/>
          <w:szCs w:val="16"/>
        </w:rPr>
        <w:t>photovoltaic (</w:t>
      </w:r>
      <w:r w:rsidRPr="00496814">
        <w:rPr>
          <w:rFonts w:asciiTheme="minorHAnsi" w:hAnsiTheme="minorHAnsi"/>
          <w:sz w:val="16"/>
          <w:szCs w:val="16"/>
        </w:rPr>
        <w:t>PV</w:t>
      </w:r>
      <w:r w:rsidR="00E71989">
        <w:rPr>
          <w:rFonts w:asciiTheme="minorHAnsi" w:hAnsiTheme="minorHAnsi"/>
          <w:sz w:val="16"/>
          <w:szCs w:val="16"/>
        </w:rPr>
        <w:t>)</w:t>
      </w:r>
      <w:r w:rsidRPr="00496814">
        <w:rPr>
          <w:rFonts w:asciiTheme="minorHAnsi" w:hAnsiTheme="minorHAnsi"/>
          <w:sz w:val="16"/>
          <w:szCs w:val="16"/>
        </w:rPr>
        <w:t xml:space="preserve"> values are consistent with the other projections in this section. Because this table uses Net ICR, ISO-NE does not subtract the </w:t>
      </w:r>
      <w:r w:rsidR="00E71989">
        <w:rPr>
          <w:rFonts w:asciiTheme="minorHAnsi" w:hAnsiTheme="minorHAnsi"/>
          <w:sz w:val="16"/>
          <w:szCs w:val="16"/>
        </w:rPr>
        <w:t>energy efficiency (</w:t>
      </w:r>
      <w:r w:rsidRPr="00496814">
        <w:rPr>
          <w:rFonts w:asciiTheme="minorHAnsi" w:hAnsiTheme="minorHAnsi"/>
          <w:sz w:val="16"/>
          <w:szCs w:val="16"/>
        </w:rPr>
        <w:t>EE</w:t>
      </w:r>
      <w:r w:rsidR="00E71989">
        <w:rPr>
          <w:rFonts w:asciiTheme="minorHAnsi" w:hAnsiTheme="minorHAnsi"/>
          <w:sz w:val="16"/>
          <w:szCs w:val="16"/>
        </w:rPr>
        <w:t>)</w:t>
      </w:r>
      <w:r w:rsidRPr="00496814">
        <w:rPr>
          <w:rFonts w:asciiTheme="minorHAnsi" w:hAnsiTheme="minorHAnsi"/>
          <w:sz w:val="16"/>
          <w:szCs w:val="16"/>
        </w:rPr>
        <w:t xml:space="preserve"> forecast; EE is considered part of the resource mix meeting the </w:t>
      </w:r>
      <w:r w:rsidR="00E71989">
        <w:rPr>
          <w:rFonts w:asciiTheme="minorHAnsi" w:hAnsiTheme="minorHAnsi"/>
          <w:sz w:val="16"/>
          <w:szCs w:val="16"/>
        </w:rPr>
        <w:t>installed capacity requirements (</w:t>
      </w:r>
      <w:r w:rsidRPr="00496814">
        <w:rPr>
          <w:rFonts w:asciiTheme="minorHAnsi" w:hAnsiTheme="minorHAnsi"/>
          <w:sz w:val="16"/>
          <w:szCs w:val="16"/>
        </w:rPr>
        <w:t>ICR</w:t>
      </w:r>
      <w:r w:rsidR="00E71989">
        <w:rPr>
          <w:rFonts w:asciiTheme="minorHAnsi" w:hAnsiTheme="minorHAnsi"/>
          <w:sz w:val="16"/>
          <w:szCs w:val="16"/>
        </w:rPr>
        <w:t>)</w:t>
      </w:r>
      <w:r w:rsidRPr="00496814">
        <w:rPr>
          <w:rFonts w:asciiTheme="minorHAnsi" w:hAnsiTheme="minorHAnsi"/>
          <w:sz w:val="16"/>
          <w:szCs w:val="16"/>
        </w:rPr>
        <w:t xml:space="preserve">. </w:t>
      </w:r>
    </w:p>
    <w:p w:rsidR="00496814" w:rsidRPr="00496814" w:rsidRDefault="00496814" w:rsidP="00496814">
      <w:pPr>
        <w:keepNext/>
        <w:keepLines/>
        <w:tabs>
          <w:tab w:val="left" w:pos="0"/>
        </w:tabs>
        <w:spacing w:after="0" w:line="240" w:lineRule="auto"/>
        <w:ind w:right="-274" w:hanging="274"/>
        <w:rPr>
          <w:rFonts w:ascii="Calibri" w:eastAsia="Times New Roman" w:hAnsi="Calibri"/>
          <w:sz w:val="16"/>
          <w:szCs w:val="16"/>
        </w:rPr>
      </w:pPr>
      <w:r w:rsidRPr="00496814">
        <w:rPr>
          <w:rFonts w:asciiTheme="minorHAnsi" w:eastAsia="Times New Roman" w:hAnsiTheme="minorHAnsi"/>
          <w:sz w:val="16"/>
          <w:szCs w:val="16"/>
        </w:rPr>
        <w:t xml:space="preserve">(b) </w:t>
      </w:r>
      <w:r w:rsidRPr="00496814">
        <w:rPr>
          <w:rFonts w:asciiTheme="minorHAnsi" w:eastAsia="Times New Roman" w:hAnsiTheme="minorHAnsi"/>
          <w:sz w:val="16"/>
          <w:szCs w:val="16"/>
        </w:rPr>
        <w:tab/>
        <w:t xml:space="preserve">The 2,305 </w:t>
      </w:r>
      <w:r w:rsidR="00E71989">
        <w:rPr>
          <w:rFonts w:asciiTheme="minorHAnsi" w:eastAsia="Times New Roman" w:hAnsiTheme="minorHAnsi"/>
          <w:sz w:val="16"/>
          <w:szCs w:val="16"/>
        </w:rPr>
        <w:t>megawatt (</w:t>
      </w:r>
      <w:r w:rsidRPr="00496814">
        <w:rPr>
          <w:rFonts w:asciiTheme="minorHAnsi" w:eastAsia="Times New Roman" w:hAnsiTheme="minorHAnsi"/>
          <w:sz w:val="16"/>
          <w:szCs w:val="16"/>
        </w:rPr>
        <w:t>MW</w:t>
      </w:r>
      <w:r w:rsidR="00E71989">
        <w:rPr>
          <w:rFonts w:asciiTheme="minorHAnsi" w:eastAsia="Times New Roman" w:hAnsiTheme="minorHAnsi"/>
          <w:sz w:val="16"/>
          <w:szCs w:val="16"/>
        </w:rPr>
        <w:t>)</w:t>
      </w:r>
      <w:r w:rsidRPr="00496814">
        <w:rPr>
          <w:rFonts w:asciiTheme="minorHAnsi" w:eastAsia="Times New Roman" w:hAnsiTheme="minorHAnsi"/>
          <w:sz w:val="16"/>
          <w:szCs w:val="16"/>
        </w:rPr>
        <w:t xml:space="preserve"> value for </w:t>
      </w:r>
      <w:r w:rsidR="00E71989">
        <w:rPr>
          <w:rFonts w:asciiTheme="minorHAnsi" w:eastAsia="Times New Roman" w:hAnsiTheme="minorHAnsi"/>
          <w:sz w:val="16"/>
          <w:szCs w:val="16"/>
        </w:rPr>
        <w:t>o</w:t>
      </w:r>
      <w:r w:rsidR="00E71989" w:rsidRPr="00496814">
        <w:rPr>
          <w:rFonts w:asciiTheme="minorHAnsi" w:eastAsia="Times New Roman" w:hAnsiTheme="minorHAnsi"/>
          <w:sz w:val="16"/>
          <w:szCs w:val="16"/>
        </w:rPr>
        <w:t xml:space="preserve">perating </w:t>
      </w:r>
      <w:r w:rsidR="00E71989">
        <w:rPr>
          <w:rFonts w:asciiTheme="minorHAnsi" w:eastAsia="Times New Roman" w:hAnsiTheme="minorHAnsi"/>
          <w:sz w:val="16"/>
          <w:szCs w:val="16"/>
        </w:rPr>
        <w:t>r</w:t>
      </w:r>
      <w:r w:rsidR="00E71989" w:rsidRPr="00496814">
        <w:rPr>
          <w:rFonts w:asciiTheme="minorHAnsi" w:eastAsia="Times New Roman" w:hAnsiTheme="minorHAnsi"/>
          <w:sz w:val="16"/>
          <w:szCs w:val="16"/>
        </w:rPr>
        <w:t xml:space="preserve">eserves </w:t>
      </w:r>
      <w:r w:rsidRPr="00496814">
        <w:rPr>
          <w:rFonts w:asciiTheme="minorHAnsi" w:eastAsia="Times New Roman" w:hAnsiTheme="minorHAnsi"/>
          <w:sz w:val="16"/>
          <w:szCs w:val="16"/>
        </w:rPr>
        <w:t xml:space="preserve">is based on the following assumptions: 100% of the first contingency of 1,400 MW, plus a 20% increase in the 10-minute operating reserve. The 20% adder is meant </w:t>
      </w:r>
      <w:r w:rsidRPr="00496814">
        <w:rPr>
          <w:rFonts w:ascii="Calibri" w:eastAsia="Times New Roman" w:hAnsi="Calibri"/>
          <w:sz w:val="16"/>
          <w:szCs w:val="16"/>
        </w:rPr>
        <w:t xml:space="preserve">to compensate for historical nonperformance of the reserve generators and is equal to 280 MW of 10-minute operating reserves and 30-minute reserves of 625 MW (one half of 1,250 MW - the second contingency).  </w:t>
      </w:r>
    </w:p>
    <w:p w:rsidR="00496814" w:rsidRPr="00496814" w:rsidRDefault="00496814" w:rsidP="00496814">
      <w:pPr>
        <w:keepNext/>
        <w:keepLines/>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(c)</w:t>
      </w:r>
      <w:r w:rsidRPr="00496814">
        <w:rPr>
          <w:rFonts w:asciiTheme="minorHAnsi" w:eastAsia="Times New Roman" w:hAnsiTheme="minorHAnsi"/>
          <w:sz w:val="16"/>
          <w:szCs w:val="16"/>
        </w:rPr>
        <w:tab/>
        <w:t>Total Requirement equals Load Net of BTM PV plus Operating Reserve.</w:t>
      </w:r>
    </w:p>
    <w:p w:rsidR="00496814" w:rsidRPr="00496814" w:rsidRDefault="00496814" w:rsidP="00496814">
      <w:pPr>
        <w:keepNext/>
        <w:keepLines/>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(d)</w:t>
      </w:r>
      <w:r w:rsidRPr="00496814">
        <w:rPr>
          <w:rFonts w:asciiTheme="minorHAnsi" w:eastAsia="Times New Roman" w:hAnsiTheme="minorHAnsi"/>
          <w:sz w:val="16"/>
          <w:szCs w:val="16"/>
        </w:rPr>
        <w:tab/>
      </w:r>
      <w:r w:rsidRPr="00496814">
        <w:rPr>
          <w:rFonts w:asciiTheme="minorHAnsi" w:eastAsia="Times New Roman" w:hAnsiTheme="minorHAnsi" w:cs="Arial"/>
          <w:sz w:val="16"/>
          <w:szCs w:val="16"/>
        </w:rPr>
        <w:t xml:space="preserve">Net ICR values for CCP 2022/2023 through CCP 2024/2025 are the latest values approved by FERC. These Net ICR values were developed using </w:t>
      </w:r>
      <w:r w:rsidRPr="00963B61">
        <w:rPr>
          <w:rFonts w:asciiTheme="minorHAnsi" w:eastAsia="Times New Roman" w:hAnsiTheme="minorHAnsi" w:cs="Arial"/>
          <w:i/>
          <w:sz w:val="16"/>
          <w:szCs w:val="16"/>
        </w:rPr>
        <w:t>2020 CELT Report</w:t>
      </w:r>
      <w:r w:rsidRPr="00496814">
        <w:rPr>
          <w:rFonts w:asciiTheme="minorHAnsi" w:eastAsia="Times New Roman" w:hAnsiTheme="minorHAnsi" w:cs="Arial"/>
          <w:sz w:val="16"/>
          <w:szCs w:val="16"/>
        </w:rPr>
        <w:t xml:space="preserve"> demands. The Net ICR values for other years are consistent with the representative future Net ICR values in </w:t>
      </w:r>
      <w:hyperlink w:anchor="Table_4_6" w:history="1">
        <w:r w:rsidRPr="0022032C">
          <w:rPr>
            <w:rStyle w:val="Hyperlink"/>
            <w:rFonts w:asciiTheme="minorHAnsi" w:eastAsia="Times New Roman" w:hAnsiTheme="minorHAnsi" w:cs="Arial"/>
            <w:sz w:val="16"/>
            <w:szCs w:val="16"/>
          </w:rPr>
          <w:t>Table 4-6</w:t>
        </w:r>
      </w:hyperlink>
      <w:r w:rsidRPr="00496814">
        <w:rPr>
          <w:rFonts w:asciiTheme="minorHAnsi" w:eastAsia="Times New Roman" w:hAnsiTheme="minorHAnsi" w:cs="Arial"/>
          <w:sz w:val="16"/>
          <w:szCs w:val="16"/>
        </w:rPr>
        <w:t>.</w:t>
      </w:r>
    </w:p>
    <w:p w:rsidR="00496814" w:rsidRPr="00496814" w:rsidRDefault="00496814" w:rsidP="00496814">
      <w:pPr>
        <w:keepNext/>
        <w:keepLines/>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(e) </w:t>
      </w:r>
      <w:r w:rsidRPr="00496814">
        <w:rPr>
          <w:rFonts w:asciiTheme="minorHAnsi" w:eastAsia="Times New Roman" w:hAnsiTheme="minorHAnsi"/>
          <w:sz w:val="16"/>
          <w:szCs w:val="16"/>
        </w:rPr>
        <w:tab/>
      </w:r>
      <w:r w:rsidR="00431DC2" w:rsidRPr="00D40BE1">
        <w:rPr>
          <w:rFonts w:asciiTheme="minorHAnsi" w:eastAsia="Times New Roman" w:hAnsiTheme="minorHAnsi"/>
          <w:sz w:val="16"/>
          <w:szCs w:val="16"/>
        </w:rPr>
        <w:t xml:space="preserve">The </w:t>
      </w:r>
      <w:r w:rsidR="00431DC2" w:rsidRPr="00003C7E">
        <w:rPr>
          <w:rFonts w:asciiTheme="minorHAnsi" w:eastAsia="Times New Roman" w:hAnsiTheme="minorHAnsi"/>
          <w:i/>
          <w:sz w:val="16"/>
          <w:szCs w:val="16"/>
        </w:rPr>
        <w:t>Assumed Unavailable Capacity</w:t>
      </w:r>
      <w:r w:rsidR="00431DC2" w:rsidRPr="00D40BE1">
        <w:rPr>
          <w:rFonts w:asciiTheme="minorHAnsi" w:eastAsia="Times New Roman" w:hAnsiTheme="minorHAnsi"/>
          <w:sz w:val="16"/>
          <w:szCs w:val="16"/>
        </w:rPr>
        <w:t xml:space="preserve"> for the winter is made up of two components: an </w:t>
      </w:r>
      <w:r w:rsidR="00431DC2" w:rsidRPr="00003C7E">
        <w:rPr>
          <w:rFonts w:asciiTheme="minorHAnsi" w:eastAsia="Times New Roman" w:hAnsiTheme="minorHAnsi"/>
          <w:i/>
          <w:sz w:val="16"/>
          <w:szCs w:val="16"/>
        </w:rPr>
        <w:t>Unplanned Outage Allowance</w:t>
      </w:r>
      <w:r w:rsidR="00431DC2" w:rsidRPr="00D40BE1">
        <w:rPr>
          <w:rFonts w:asciiTheme="minorHAnsi" w:eastAsia="Times New Roman" w:hAnsiTheme="minorHAnsi"/>
          <w:sz w:val="16"/>
          <w:szCs w:val="16"/>
        </w:rPr>
        <w:t xml:space="preserve"> component and a </w:t>
      </w:r>
      <w:r w:rsidR="00431DC2" w:rsidRPr="00003C7E">
        <w:rPr>
          <w:rFonts w:asciiTheme="minorHAnsi" w:eastAsia="Times New Roman" w:hAnsiTheme="minorHAnsi"/>
          <w:i/>
          <w:sz w:val="16"/>
          <w:szCs w:val="16"/>
        </w:rPr>
        <w:t>Generation at Risk Due to Gas Supply</w:t>
      </w:r>
      <w:r w:rsidR="00431DC2" w:rsidRPr="00D40BE1">
        <w:rPr>
          <w:rFonts w:asciiTheme="minorHAnsi" w:eastAsia="Times New Roman" w:hAnsiTheme="minorHAnsi"/>
          <w:sz w:val="16"/>
          <w:szCs w:val="16"/>
        </w:rPr>
        <w:t xml:space="preserve"> component.  The </w:t>
      </w:r>
      <w:r w:rsidR="00431DC2" w:rsidRPr="00003C7E">
        <w:rPr>
          <w:rFonts w:asciiTheme="minorHAnsi" w:eastAsia="Times New Roman" w:hAnsiTheme="minorHAnsi"/>
          <w:i/>
          <w:sz w:val="16"/>
          <w:szCs w:val="16"/>
        </w:rPr>
        <w:t>Unplanned Outage Allowance</w:t>
      </w:r>
      <w:r w:rsidR="00431DC2" w:rsidRPr="00D40BE1">
        <w:rPr>
          <w:rFonts w:asciiTheme="minorHAnsi" w:eastAsia="Times New Roman" w:hAnsiTheme="minorHAnsi"/>
          <w:sz w:val="16"/>
          <w:szCs w:val="16"/>
        </w:rPr>
        <w:t xml:space="preserve"> component </w:t>
      </w:r>
      <w:r w:rsidR="00431DC2" w:rsidRPr="00B4224C">
        <w:rPr>
          <w:rFonts w:asciiTheme="minorHAnsi" w:eastAsia="Times New Roman" w:hAnsiTheme="minorHAnsi" w:cs="Arial"/>
          <w:sz w:val="16"/>
          <w:szCs w:val="16"/>
        </w:rPr>
        <w:t xml:space="preserve">is based upon historical observations and reflects an assumed amount of unplanned outages </w:t>
      </w:r>
      <w:r w:rsidR="00431DC2">
        <w:rPr>
          <w:rFonts w:asciiTheme="minorHAnsi" w:eastAsia="Times New Roman" w:hAnsiTheme="minorHAnsi" w:cs="Arial"/>
          <w:sz w:val="16"/>
          <w:szCs w:val="16"/>
        </w:rPr>
        <w:t xml:space="preserve">(2,800 MW) </w:t>
      </w:r>
      <w:r w:rsidR="00431DC2" w:rsidRPr="00B4224C">
        <w:rPr>
          <w:rFonts w:asciiTheme="minorHAnsi" w:eastAsia="Times New Roman" w:hAnsiTheme="minorHAnsi" w:cs="Arial"/>
          <w:sz w:val="16"/>
          <w:szCs w:val="16"/>
        </w:rPr>
        <w:t xml:space="preserve">during peak load conditions. </w:t>
      </w:r>
      <w:r w:rsidR="00431DC2" w:rsidRPr="00D40BE1">
        <w:rPr>
          <w:rFonts w:asciiTheme="minorHAnsi" w:eastAsia="Times New Roman" w:hAnsiTheme="minorHAnsi"/>
          <w:sz w:val="16"/>
          <w:szCs w:val="16"/>
        </w:rPr>
        <w:t xml:space="preserve">The </w:t>
      </w:r>
      <w:r w:rsidR="00431DC2" w:rsidRPr="00003C7E">
        <w:rPr>
          <w:rFonts w:asciiTheme="minorHAnsi" w:eastAsia="Times New Roman" w:hAnsiTheme="minorHAnsi"/>
          <w:i/>
          <w:sz w:val="16"/>
          <w:szCs w:val="16"/>
        </w:rPr>
        <w:t>Generation At Risk Due to Gas Supply</w:t>
      </w:r>
      <w:r w:rsidR="00431DC2" w:rsidRPr="00D40BE1">
        <w:rPr>
          <w:rFonts w:asciiTheme="minorHAnsi" w:eastAsia="Times New Roman" w:hAnsiTheme="minorHAnsi"/>
          <w:sz w:val="16"/>
          <w:szCs w:val="16"/>
        </w:rPr>
        <w:t xml:space="preserve"> component reflects an assumed amount of weather sensitive unplanned outages during peak load conditions to account for the potential loss of single-fuel, gas-only generation resulting from regional gas pipeline constraints.  Based on forecasts of the future regional natural gas system (topology, supply, and demand), the </w:t>
      </w:r>
      <w:r w:rsidR="00431DC2" w:rsidRPr="00003C7E">
        <w:rPr>
          <w:rFonts w:asciiTheme="minorHAnsi" w:eastAsia="Times New Roman" w:hAnsiTheme="minorHAnsi"/>
          <w:i/>
          <w:sz w:val="16"/>
          <w:szCs w:val="16"/>
        </w:rPr>
        <w:t>Generation at Risk Due to Gas Supply</w:t>
      </w:r>
      <w:r w:rsidR="00431DC2" w:rsidRPr="00D40BE1">
        <w:rPr>
          <w:rFonts w:asciiTheme="minorHAnsi" w:eastAsia="Times New Roman" w:hAnsiTheme="minorHAnsi"/>
          <w:sz w:val="16"/>
          <w:szCs w:val="16"/>
        </w:rPr>
        <w:t xml:space="preserve"> component associated with the 50/50 peak weather conditions is assumed to be 4,450 MW, and associated with the 90/10 peak weather conditions is assumed to be 5,400 MW.  The same </w:t>
      </w:r>
      <w:r w:rsidR="00431DC2" w:rsidRPr="00003C7E">
        <w:rPr>
          <w:rFonts w:asciiTheme="minorHAnsi" w:eastAsia="Times New Roman" w:hAnsiTheme="minorHAnsi"/>
          <w:i/>
          <w:sz w:val="16"/>
          <w:szCs w:val="16"/>
        </w:rPr>
        <w:t>Assumed Unavailable Capacity</w:t>
      </w:r>
      <w:r w:rsidR="00431DC2" w:rsidRPr="00D40BE1">
        <w:rPr>
          <w:rFonts w:asciiTheme="minorHAnsi" w:eastAsia="Times New Roman" w:hAnsiTheme="minorHAnsi"/>
          <w:sz w:val="16"/>
          <w:szCs w:val="16"/>
        </w:rPr>
        <w:t xml:space="preserve"> values for the two peak loads are held constant for every year of the </w:t>
      </w:r>
      <w:r w:rsidR="00431DC2">
        <w:rPr>
          <w:rFonts w:asciiTheme="minorHAnsi" w:eastAsia="Times New Roman" w:hAnsiTheme="minorHAnsi"/>
          <w:sz w:val="16"/>
          <w:szCs w:val="16"/>
        </w:rPr>
        <w:t>O</w:t>
      </w:r>
      <w:r w:rsidR="00431DC2" w:rsidRPr="00431DC2">
        <w:rPr>
          <w:rFonts w:asciiTheme="minorHAnsi" w:eastAsia="Times New Roman" w:hAnsiTheme="minorHAnsi"/>
          <w:sz w:val="16"/>
          <w:szCs w:val="16"/>
        </w:rPr>
        <w:t>perable-Capacity Analysis</w:t>
      </w:r>
      <w:r w:rsidR="00431DC2" w:rsidRPr="00D40BE1">
        <w:rPr>
          <w:rFonts w:asciiTheme="minorHAnsi" w:eastAsia="Times New Roman" w:hAnsiTheme="minorHAnsi"/>
          <w:sz w:val="16"/>
          <w:szCs w:val="16"/>
        </w:rPr>
        <w:t>.</w:t>
      </w:r>
    </w:p>
    <w:p w:rsidR="00496814" w:rsidRPr="00496814" w:rsidRDefault="00496814" w:rsidP="00496814">
      <w:pPr>
        <w:keepNext/>
        <w:keepLines/>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cs="Arial"/>
          <w:sz w:val="16"/>
          <w:szCs w:val="16"/>
        </w:rPr>
        <w:t>(f)</w:t>
      </w:r>
      <w:r w:rsidRPr="00496814">
        <w:rPr>
          <w:rFonts w:asciiTheme="minorHAnsi" w:eastAsia="Times New Roman" w:hAnsiTheme="minorHAnsi" w:cs="Arial"/>
          <w:sz w:val="16"/>
          <w:szCs w:val="16"/>
        </w:rPr>
        <w:tab/>
        <w:t>The Total Net Capacity values are equal to the Net ICR minus the Assumed Unavailable Capacity.</w:t>
      </w:r>
    </w:p>
    <w:p w:rsidR="00496814" w:rsidRPr="00496814" w:rsidRDefault="00496814" w:rsidP="00496814">
      <w:pPr>
        <w:keepNext/>
        <w:keepLines/>
        <w:tabs>
          <w:tab w:val="left" w:pos="0"/>
          <w:tab w:val="left" w:pos="945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(g) </w:t>
      </w:r>
      <w:r w:rsidRPr="00496814">
        <w:rPr>
          <w:rFonts w:asciiTheme="minorHAnsi" w:eastAsia="Times New Roman" w:hAnsiTheme="minorHAnsi"/>
          <w:sz w:val="16"/>
          <w:szCs w:val="16"/>
        </w:rPr>
        <w:tab/>
        <w:t>The 50/50 or 90/10 Operable-Capacity Margin equals Total Net Capacity minus Total Requirement.</w:t>
      </w:r>
    </w:p>
    <w:p w:rsidR="00496814" w:rsidRPr="00496814" w:rsidRDefault="00496814" w:rsidP="00496814"/>
    <w:p w:rsidR="00496814" w:rsidRPr="00496814" w:rsidRDefault="00496814" w:rsidP="00853CE5">
      <w:pPr>
        <w:pStyle w:val="Heading2"/>
      </w:pPr>
      <w:bookmarkStart w:id="396" w:name="_Ref327436621"/>
      <w:bookmarkStart w:id="397" w:name="_Ref327457751"/>
      <w:bookmarkStart w:id="398" w:name="_Toc334601033"/>
      <w:bookmarkStart w:id="399" w:name="_Toc365440996"/>
      <w:bookmarkStart w:id="400" w:name="_Toc396807626"/>
      <w:bookmarkStart w:id="401" w:name="_Ref388092299"/>
      <w:bookmarkStart w:id="402" w:name="_Ref388102898"/>
      <w:bookmarkStart w:id="403" w:name="_Ref418883599"/>
      <w:bookmarkStart w:id="404" w:name="_Toc481053264"/>
      <w:bookmarkStart w:id="405" w:name="_Toc490323030"/>
      <w:bookmarkStart w:id="406" w:name="_Toc291755113"/>
      <w:bookmarkStart w:id="407" w:name="_Toc201669939"/>
      <w:bookmarkStart w:id="408" w:name="_Ref202110477"/>
      <w:bookmarkStart w:id="409" w:name="_Ref202176759"/>
      <w:bookmarkStart w:id="410" w:name="_Ref202252734"/>
      <w:bookmarkStart w:id="411" w:name="_Ref202367538"/>
      <w:bookmarkStart w:id="412" w:name="_Toc207531838"/>
      <w:bookmarkStart w:id="413" w:name="_Ref231186439"/>
      <w:bookmarkStart w:id="414" w:name="_Ref231194402"/>
      <w:bookmarkStart w:id="415" w:name="_Toc239157074"/>
      <w:bookmarkStart w:id="416" w:name="_Ref262118248"/>
      <w:bookmarkStart w:id="417" w:name="_Ref262118276"/>
      <w:bookmarkStart w:id="418" w:name="_Ref230950481"/>
      <w:bookmarkStart w:id="419" w:name="_Ref266557523"/>
      <w:bookmarkStart w:id="420" w:name="_Ref267384581"/>
      <w:bookmarkStart w:id="421" w:name="_Ref296434832"/>
      <w:bookmarkStart w:id="422" w:name="_Ref301345694"/>
      <w:bookmarkStart w:id="423" w:name="_Ref301345706"/>
      <w:bookmarkStart w:id="424" w:name="_Toc303086387"/>
      <w:bookmarkStart w:id="425" w:name="_Toc81544526"/>
      <w:bookmarkEnd w:id="360"/>
      <w:bookmarkEnd w:id="361"/>
      <w:bookmarkEnd w:id="362"/>
      <w:bookmarkEnd w:id="363"/>
      <w:r w:rsidRPr="00496814">
        <w:t>Determining Operating Reserves</w:t>
      </w:r>
      <w:bookmarkEnd w:id="396"/>
      <w:r w:rsidRPr="00496814">
        <w:t xml:space="preserve"> and</w:t>
      </w:r>
      <w:r w:rsidR="00FC5F06">
        <w:t> </w:t>
      </w:r>
      <w:r w:rsidRPr="00496814">
        <w:t>Regulation</w:t>
      </w:r>
      <w:bookmarkEnd w:id="397"/>
      <w:bookmarkEnd w:id="398"/>
      <w:bookmarkEnd w:id="399"/>
      <w:bookmarkEnd w:id="400"/>
      <w:bookmarkEnd w:id="401"/>
      <w:bookmarkEnd w:id="402"/>
      <w:bookmarkEnd w:id="403"/>
      <w:bookmarkEnd w:id="404"/>
      <w:bookmarkEnd w:id="405"/>
      <w:bookmarkEnd w:id="425"/>
      <w:r w:rsidRPr="00496814">
        <w:t xml:space="preserve"> </w:t>
      </w:r>
    </w:p>
    <w:p w:rsidR="00496814" w:rsidRPr="00496814" w:rsidRDefault="00496814" w:rsidP="00496814">
      <w:pPr>
        <w:keepNext/>
      </w:pPr>
      <w:r w:rsidRPr="00496814">
        <w:t xml:space="preserve">In addition to capacity resources being available to meet the region’s actual demand for electricity, the system needs a certain amount of resources that can provide operating reserves and system regulation. The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higher energy cost resources to provide these services. In the worst case, reliability would be degraded. </w:t>
      </w:r>
    </w:p>
    <w:p w:rsidR="00496814" w:rsidRPr="00496814" w:rsidRDefault="00496814" w:rsidP="00496814">
      <w:r w:rsidRPr="00496814">
        <w:t>Several types of resources in New England have the operating characteristics to respond to contingencies, provide regulation service, and serve peak demand. The generators that provide operating reserves can respond to contingencies within 10 or 30 minutes and can either be synchronized or not synchronized to the power system. Synchronized (i.e., spinning) operating reserves are on-line resources that can increase output. Non-synchronized (i.e., non-spinning) operating reserves are off-line, fast-start resources that can be electrically synchronized to the system quickly, reaching maximum output within 10 minutes or within 30 minutes. During real-time daily operations, the ISO determines operating-reserve requirements for the system as a whole and for major import-constrained areas.</w:t>
      </w:r>
    </w:p>
    <w:p w:rsidR="00496814" w:rsidRPr="00496814" w:rsidRDefault="00496814" w:rsidP="00496814">
      <w:pPr>
        <w:rPr>
          <w:rFonts w:asciiTheme="majorHAnsi" w:hAnsiTheme="majorHAnsi"/>
        </w:rPr>
      </w:pPr>
      <w:r w:rsidRPr="00496814">
        <w:t>This section discusses the need for operating reserves, both systemwide and in major import areas, and the use of specific types of fast-start resources to fill these needs. An overview of the FRM and a forecast of representative future operating-reserve requirements for Greater Southwest Connecticut, Greater Connecticut, and Boston are provided. This section also discusses the likely need for additional flexible resources identified by the s</w:t>
      </w:r>
      <w:r w:rsidRPr="00496814">
        <w:rPr>
          <w:rFonts w:eastAsia="Calibri" w:cs="Arial"/>
          <w:noProof/>
        </w:rPr>
        <w:t>tudies and other actions supporting the region’s changing power grid</w:t>
      </w:r>
      <w:r w:rsidRPr="00496814">
        <w:t>.</w:t>
      </w:r>
    </w:p>
    <w:p w:rsidR="00496814" w:rsidRPr="00496814" w:rsidRDefault="00496814" w:rsidP="00853CE5">
      <w:pPr>
        <w:pStyle w:val="Heading3"/>
      </w:pPr>
      <w:bookmarkStart w:id="426" w:name="_Toc81544527"/>
      <w:r w:rsidRPr="00496814">
        <w:t>Systemwide Operating-Reserve Requirements</w:t>
      </w:r>
      <w:bookmarkEnd w:id="426"/>
      <w:r w:rsidRPr="00496814">
        <w:t xml:space="preserve"> </w:t>
      </w:r>
    </w:p>
    <w:p w:rsidR="00496814" w:rsidRPr="00496814" w:rsidRDefault="00496814" w:rsidP="00496814">
      <w:r w:rsidRPr="00496814">
        <w:t xml:space="preserve">The ISO’s operating-reserve requirements, as established in Operating Procedure No. 8, </w:t>
      </w:r>
      <w:r w:rsidRPr="00496814">
        <w:rPr>
          <w:i/>
          <w:iCs/>
        </w:rPr>
        <w:t>Operating Reserve and Regulation</w:t>
      </w:r>
      <w:r w:rsidRPr="00496814">
        <w:t xml:space="preserve"> (</w:t>
      </w:r>
      <w:hyperlink r:id="rId155" w:history="1">
        <w:r w:rsidRPr="00726DA4">
          <w:rPr>
            <w:rStyle w:val="Hyperlink"/>
          </w:rPr>
          <w:t>OP-8</w:t>
        </w:r>
      </w:hyperlink>
      <w:r w:rsidRPr="00496814">
        <w:t xml:space="preserve">), are used to protect the system from the impacts associated with a loss of generating or transmission equipment within New England. A certain amount of the power system’s resources must be available to provide operating reserves to assist in addressing systemwide contingencies. </w:t>
      </w:r>
    </w:p>
    <w:p w:rsidR="00496814" w:rsidRPr="00496814" w:rsidRDefault="00496814" w:rsidP="00496814">
      <w:r w:rsidRPr="00496814">
        <w:t>To comply with OP-8, the ISO must maintain sufficient reserves in its balancing authority area during normal conditions to be able to replace within 10 minutes the first-contingency loss (N–1) in the New England Reliability Balancing Authority Area multiplied by the contingency-reserve adjustment (CRA) factor for the most recent completed quarter. The current total 10-minute operating-reserve requirement reflecting the CRA factor is 1.2 multiplied by 100% of the first-contingency loss. In addition, OP-8 requires the ISO to maintain sufficient reserves to address the uncertainties associated with resource non-performance, as well as load-forecast error. To meet this need, the ISO must be able to replace at least 50% of the next-largest contingency loss (N–1–1) within 30 minutes plus an additional quantity of replacement reserve for the purposes of meeting North American Electric Reliability Corporation (NERC) requirements to restore 10-minute reserve.</w:t>
      </w:r>
      <w:r w:rsidRPr="00496814">
        <w:rPr>
          <w:i/>
          <w:iCs/>
          <w:color w:val="FF0000"/>
          <w:sz w:val="24"/>
          <w:szCs w:val="24"/>
        </w:rPr>
        <w:t xml:space="preserve"> </w:t>
      </w:r>
    </w:p>
    <w:p w:rsidR="00496814" w:rsidRPr="00496814" w:rsidRDefault="00496814" w:rsidP="00496814">
      <w:r w:rsidRPr="00496814">
        <w:t>Typically, the largest first-contingency loss is between 1,300 MW and 1,900 MW, and 50% of the next-largest contingency loss is about 625 MW. Currently, the expected first-largest contingency is the loss of Phase II interconnection with Hydro-Québec (HQ),</w:t>
      </w:r>
      <w:r w:rsidRPr="00496814">
        <w:rPr>
          <w:vertAlign w:val="superscript"/>
        </w:rPr>
        <w:footnoteReference w:id="56"/>
      </w:r>
      <w:r w:rsidRPr="00496814">
        <w:t xml:space="preserve"> while the expected next-largest contingency is the loss of Seabrook.</w:t>
      </w:r>
    </w:p>
    <w:p w:rsidR="00496814" w:rsidRPr="00496814" w:rsidRDefault="00496814" w:rsidP="00496814">
      <w:r w:rsidRPr="00496814">
        <w:t>In accordance with NERC and Northeast Power Coordinating Council (NPCC) criteria for power system operation, ISO Operating Procedure No. 19 (</w:t>
      </w:r>
      <w:hyperlink r:id="rId156" w:history="1">
        <w:r w:rsidRPr="00726DA4">
          <w:rPr>
            <w:rStyle w:val="Hyperlink"/>
          </w:rPr>
          <w:t>OP-19</w:t>
        </w:r>
      </w:hyperlink>
      <w:r w:rsidRPr="00496814">
        <w:t xml:space="preserve">), </w:t>
      </w:r>
      <w:r w:rsidRPr="00496814">
        <w:rPr>
          <w:i/>
        </w:rPr>
        <w:t>Transmission Operations</w:t>
      </w:r>
      <w:r w:rsidRPr="00496814">
        <w:t>, requires system power flows to stay within applicable emergency limits of the power system elements that remain after the loss of any other power system element (N−1). This N−1 limit may be a thermal, voltage, or stability limit of the transmission system. OP-19 further stipulates that within 30 minutes of the loss of the first-contingency element, the system must be able to return to a normal state that can withstand a second contingency. To implement these OP-19 requirements, and as set forth in OP-8,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496814" w:rsidRPr="00496814" w:rsidRDefault="00496814" w:rsidP="00853CE5">
      <w:pPr>
        <w:pStyle w:val="Heading3"/>
      </w:pPr>
      <w:bookmarkStart w:id="427" w:name="_Toc81544528"/>
      <w:r w:rsidRPr="00496814">
        <w:t>Locational Reserve Needs for Major Import</w:t>
      </w:r>
      <w:r w:rsidR="00DF213A">
        <w:t> </w:t>
      </w:r>
      <w:r w:rsidRPr="00496814">
        <w:t>Areas</w:t>
      </w:r>
      <w:bookmarkEnd w:id="427"/>
    </w:p>
    <w:p w:rsidR="00496814" w:rsidRPr="00496814" w:rsidRDefault="00496814" w:rsidP="00496814">
      <w:r w:rsidRPr="00496814">
        <w:t xml:space="preserve">To maintain system reliability further, the ISO maintains certain reserve levels within major importing subareas of the system. The amount and type of operating reserves needed within these subareas depend on many factors, including load levels, the projected peak load of the subarea, and the economic and physical operating characteristics of the generators within the subarea. The systemwide commitment and economic dispatch of generation, system topology, system reliability constraints, special operational considerations, possible resource outages, and other system conditions are additional factors that can affect the required levels of reserve within subareas. </w:t>
      </w:r>
    </w:p>
    <w:p w:rsidR="00496814" w:rsidRPr="00496814" w:rsidRDefault="00496814" w:rsidP="00496814">
      <w:r w:rsidRPr="00496814">
        <w:t xml:space="preserve">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rsidR="00496814" w:rsidRPr="00496814" w:rsidRDefault="00D37EB1" w:rsidP="00496814">
      <w:hyperlink w:anchor="Table_4_9" w:history="1">
        <w:r w:rsidR="00496814" w:rsidRPr="00CB6090">
          <w:rPr>
            <w:rStyle w:val="Hyperlink"/>
          </w:rPr>
          <w:t>Table</w:t>
        </w:r>
        <w:r w:rsidR="006329AD">
          <w:rPr>
            <w:rStyle w:val="Hyperlink"/>
          </w:rPr>
          <w:t xml:space="preserve"> </w:t>
        </w:r>
        <w:r w:rsidR="00511728" w:rsidRPr="00CB6090">
          <w:rPr>
            <w:rStyle w:val="Hyperlink"/>
          </w:rPr>
          <w:t>4-9</w:t>
        </w:r>
      </w:hyperlink>
      <w:r w:rsidR="00496814" w:rsidRPr="00496814">
        <w:t xml:space="preserve"> shows representative future operating-reserve requirements for </w:t>
      </w:r>
      <w:r w:rsidR="001624F6">
        <w:t xml:space="preserve">the </w:t>
      </w:r>
      <w:r w:rsidR="00496814" w:rsidRPr="00496814">
        <w:t>Greater Southwest Connecticut, Greater Connecticut, and NEMA/Boston areas. These estimated requirements are based on the same methodology used to calculate the requirements for the locational FRM.</w:t>
      </w:r>
      <w:r w:rsidR="00496814" w:rsidRPr="00496814">
        <w:rPr>
          <w:vertAlign w:val="superscript"/>
        </w:rPr>
        <w:footnoteReference w:id="57"/>
      </w:r>
      <w:r w:rsidR="00496814" w:rsidRPr="00496814">
        <w:t xml:space="preserve"> The estimates account for representative future system conditions for load, economic generation, generation availability, N−1 and N−1−1 transfer limits, and expected contingencies for generation and transmission in each subarea. The analysis accounts for transmission upgrades consistent with the </w:t>
      </w:r>
      <w:hyperlink r:id="rId157" w:history="1">
        <w:r w:rsidR="00496814" w:rsidRPr="00726DA4">
          <w:rPr>
            <w:rStyle w:val="Hyperlink"/>
          </w:rPr>
          <w:t>transmission-transfer capabilities</w:t>
        </w:r>
      </w:hyperlink>
      <w:r w:rsidR="00496814" w:rsidRPr="00496814">
        <w:t xml:space="preserve"> presented to the Planning Advisory Committee (PAC) for FCA 16. </w:t>
      </w:r>
    </w:p>
    <w:p w:rsidR="00496814" w:rsidRDefault="00496814" w:rsidP="00496814">
      <w:pPr>
        <w:keepNext/>
        <w:keepLines/>
        <w:spacing w:after="80" w:line="240" w:lineRule="auto"/>
        <w:jc w:val="center"/>
        <w:rPr>
          <w:rFonts w:ascii="Calibri" w:hAnsi="Calibri"/>
          <w:b/>
          <w:szCs w:val="18"/>
        </w:rPr>
      </w:pPr>
      <w:bookmarkStart w:id="428" w:name="Table_4_9"/>
      <w:r w:rsidRPr="00496814">
        <w:rPr>
          <w:rFonts w:ascii="Calibri" w:hAnsi="Calibri"/>
          <w:b/>
          <w:bCs/>
          <w:szCs w:val="18"/>
        </w:rPr>
        <w:t>Table 4-</w:t>
      </w:r>
      <w:r w:rsidR="00511728">
        <w:rPr>
          <w:rFonts w:ascii="Calibri" w:hAnsi="Calibri"/>
          <w:b/>
          <w:bCs/>
          <w:szCs w:val="18"/>
        </w:rPr>
        <w:t>9</w:t>
      </w:r>
      <w:bookmarkEnd w:id="428"/>
      <w:r w:rsidRPr="00496814">
        <w:rPr>
          <w:rFonts w:ascii="Calibri" w:hAnsi="Calibri"/>
          <w:b/>
          <w:szCs w:val="18"/>
        </w:rPr>
        <w:br/>
        <w:t>Representative Future Operating-Reserve Needs in Major New England Import Areas (MW)</w:t>
      </w:r>
    </w:p>
    <w:tbl>
      <w:tblPr>
        <w:tblW w:w="9840" w:type="dxa"/>
        <w:tblCellMar>
          <w:left w:w="0" w:type="dxa"/>
          <w:right w:w="0" w:type="dxa"/>
        </w:tblCellMar>
        <w:tblLook w:val="04A0" w:firstRow="1" w:lastRow="0" w:firstColumn="1" w:lastColumn="0" w:noHBand="0" w:noVBand="1"/>
      </w:tblPr>
      <w:tblGrid>
        <w:gridCol w:w="2360"/>
        <w:gridCol w:w="1940"/>
        <w:gridCol w:w="1270"/>
        <w:gridCol w:w="1260"/>
        <w:gridCol w:w="1550"/>
        <w:gridCol w:w="1460"/>
      </w:tblGrid>
      <w:tr w:rsidR="00750522" w:rsidRPr="00750522" w:rsidTr="00750522">
        <w:trPr>
          <w:trHeight w:val="774"/>
        </w:trPr>
        <w:tc>
          <w:tcPr>
            <w:tcW w:w="2360" w:type="dxa"/>
            <w:vMerge w:val="restart"/>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Area/Improvement</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Market Period</w:t>
            </w:r>
            <w:r w:rsidRPr="00750522">
              <w:rPr>
                <w:rFonts w:ascii="Calibri" w:eastAsia="Times New Roman" w:hAnsi="Calibri" w:cs="Arial"/>
                <w:b/>
                <w:bCs/>
                <w:color w:val="000000"/>
                <w:kern w:val="24"/>
                <w:position w:val="5"/>
                <w:sz w:val="18"/>
                <w:szCs w:val="18"/>
                <w:vertAlign w:val="superscript"/>
              </w:rPr>
              <w:t>(a)</w:t>
            </w:r>
          </w:p>
        </w:tc>
        <w:tc>
          <w:tcPr>
            <w:tcW w:w="2530" w:type="dxa"/>
            <w:gridSpan w:val="2"/>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Range of Fast-Start Resources (MW)</w:t>
            </w:r>
          </w:p>
        </w:tc>
        <w:tc>
          <w:tcPr>
            <w:tcW w:w="3010" w:type="dxa"/>
            <w:gridSpan w:val="2"/>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Representative Future Locational Forward Reserve Market Requirements (MW)</w:t>
            </w:r>
          </w:p>
        </w:tc>
      </w:tr>
      <w:tr w:rsidR="00750522" w:rsidRPr="00750522" w:rsidTr="00750522">
        <w:trPr>
          <w:trHeight w:val="9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7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after="0" w:line="240" w:lineRule="auto"/>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Total CLAIM30 Value as of 6/21/2021</w:t>
            </w:r>
            <w:r w:rsidRPr="00750522">
              <w:rPr>
                <w:rFonts w:ascii="Calibri" w:eastAsia="Times New Roman" w:hAnsi="Calibri" w:cs="Arial"/>
                <w:b/>
                <w:bCs/>
                <w:color w:val="000000"/>
                <w:kern w:val="24"/>
                <w:position w:val="5"/>
                <w:sz w:val="18"/>
                <w:szCs w:val="18"/>
                <w:vertAlign w:val="superscript"/>
              </w:rPr>
              <w:t>(b)</w:t>
            </w:r>
          </w:p>
        </w:tc>
        <w:tc>
          <w:tcPr>
            <w:tcW w:w="126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after="0" w:line="240" w:lineRule="auto"/>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Offered into the Past Five Forward-Reserve Auctions</w:t>
            </w:r>
            <w:r w:rsidRPr="00750522">
              <w:rPr>
                <w:rFonts w:ascii="Calibri" w:eastAsia="Times New Roman" w:hAnsi="Calibri" w:cs="Arial"/>
                <w:b/>
                <w:bCs/>
                <w:color w:val="000000"/>
                <w:kern w:val="24"/>
                <w:position w:val="5"/>
                <w:sz w:val="18"/>
                <w:szCs w:val="18"/>
                <w:vertAlign w:val="superscript"/>
              </w:rPr>
              <w:t>(c)</w:t>
            </w:r>
          </w:p>
        </w:tc>
        <w:tc>
          <w:tcPr>
            <w:tcW w:w="155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Summer</w:t>
            </w:r>
            <w:r w:rsidRPr="00750522">
              <w:rPr>
                <w:rFonts w:ascii="Calibri" w:eastAsia="Times New Roman" w:hAnsi="Calibri" w:cs="Arial"/>
                <w:b/>
                <w:bCs/>
                <w:color w:val="000000"/>
                <w:kern w:val="24"/>
                <w:position w:val="5"/>
                <w:sz w:val="18"/>
                <w:szCs w:val="18"/>
                <w:vertAlign w:val="superscript"/>
              </w:rPr>
              <w:t>(d)</w:t>
            </w:r>
          </w:p>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(Jun to Sep)</w:t>
            </w:r>
          </w:p>
        </w:tc>
        <w:tc>
          <w:tcPr>
            <w:tcW w:w="146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Winter</w:t>
            </w:r>
            <w:r w:rsidRPr="00750522">
              <w:rPr>
                <w:rFonts w:ascii="Calibri" w:eastAsia="Times New Roman" w:hAnsi="Calibri" w:cs="Arial"/>
                <w:b/>
                <w:bCs/>
                <w:color w:val="000000"/>
                <w:kern w:val="24"/>
                <w:position w:val="5"/>
                <w:sz w:val="18"/>
                <w:szCs w:val="18"/>
                <w:vertAlign w:val="superscript"/>
              </w:rPr>
              <w:t>(d)</w:t>
            </w:r>
          </w:p>
          <w:p w:rsidR="00750522" w:rsidRPr="00750522" w:rsidRDefault="00750522" w:rsidP="00750522">
            <w:pPr>
              <w:spacing w:before="20" w:after="20" w:line="260" w:lineRule="exact"/>
              <w:jc w:val="center"/>
              <w:rPr>
                <w:rFonts w:ascii="Arial" w:eastAsia="Times New Roman" w:hAnsi="Arial" w:cs="Arial"/>
                <w:sz w:val="36"/>
                <w:szCs w:val="36"/>
              </w:rPr>
            </w:pPr>
            <w:r w:rsidRPr="00750522">
              <w:rPr>
                <w:rFonts w:ascii="Calibri" w:eastAsia="Times New Roman" w:hAnsi="Calibri" w:cs="Arial"/>
                <w:b/>
                <w:bCs/>
                <w:color w:val="000000"/>
                <w:kern w:val="24"/>
                <w:sz w:val="18"/>
                <w:szCs w:val="18"/>
              </w:rPr>
              <w:t>(Oct to May)</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b/>
                <w:bCs/>
                <w:color w:val="000000"/>
                <w:kern w:val="24"/>
                <w:sz w:val="18"/>
                <w:szCs w:val="18"/>
              </w:rPr>
              <w:t>Greater Southwest Connecticut</w:t>
            </w:r>
            <w:r w:rsidRPr="00750522">
              <w:rPr>
                <w:rFonts w:ascii="Calibri" w:eastAsia="Times New Roman" w:hAnsi="Calibri" w:cs="Arial"/>
                <w:b/>
                <w:bCs/>
                <w:color w:val="000000"/>
                <w:kern w:val="24"/>
                <w:position w:val="5"/>
                <w:sz w:val="18"/>
                <w:szCs w:val="18"/>
                <w:vertAlign w:val="superscript"/>
              </w:rPr>
              <w:t>(e)</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938</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93–192</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r w:rsidRPr="00750522">
              <w:rPr>
                <w:rFonts w:ascii="Calibri" w:eastAsia="Times New Roman" w:hAnsi="Calibri" w:cs="Arial"/>
                <w:color w:val="000000"/>
                <w:kern w:val="24"/>
                <w:position w:val="5"/>
                <w:sz w:val="18"/>
                <w:szCs w:val="18"/>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35205B" w:rsidP="00750522">
            <w:pPr>
              <w:spacing w:before="40" w:after="20" w:line="260" w:lineRule="exact"/>
              <w:jc w:val="center"/>
              <w:rPr>
                <w:rFonts w:ascii="Arial" w:eastAsia="Times New Roman" w:hAnsi="Arial" w:cs="Arial"/>
                <w:sz w:val="36"/>
                <w:szCs w:val="36"/>
              </w:rPr>
            </w:pPr>
            <w:r>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Reflecting impact of Bridgeport Harbor 3 retirement and SWCT upgrades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453"/>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302"/>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Calibri"/>
                <w:b/>
                <w:bCs/>
                <w:color w:val="000000"/>
                <w:kern w:val="24"/>
                <w:sz w:val="18"/>
                <w:szCs w:val="18"/>
              </w:rPr>
              <w:t>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28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b/>
                <w:bCs/>
                <w:color w:val="000000"/>
                <w:kern w:val="24"/>
                <w:sz w:val="18"/>
                <w:szCs w:val="18"/>
              </w:rPr>
              <w:t>Greater Connecticut</w:t>
            </w:r>
            <w:r w:rsidRPr="00750522">
              <w:rPr>
                <w:rFonts w:ascii="Calibri" w:eastAsia="Times New Roman" w:hAnsi="Calibri" w:cs="Arial"/>
                <w:b/>
                <w:bCs/>
                <w:color w:val="000000"/>
                <w:kern w:val="24"/>
                <w:position w:val="5"/>
                <w:sz w:val="18"/>
                <w:szCs w:val="18"/>
                <w:vertAlign w:val="superscript"/>
              </w:rPr>
              <w:t>(g, h)</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1,449</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493–615</w:t>
            </w:r>
            <w:r w:rsidRPr="00750522">
              <w:rPr>
                <w:rFonts w:ascii="Calibri" w:eastAsia="Times New Roman" w:hAnsi="Calibri" w:cs="Arial"/>
                <w:color w:val="000000"/>
                <w:kern w:val="24"/>
                <w:position w:val="5"/>
                <w:sz w:val="18"/>
                <w:szCs w:val="18"/>
                <w:vertAlign w:val="superscript"/>
              </w:rPr>
              <w:t>(i)</w:t>
            </w: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r w:rsidRPr="00750522">
              <w:rPr>
                <w:rFonts w:ascii="Calibri" w:eastAsia="Times New Roman" w:hAnsi="Calibri" w:cs="Arial"/>
                <w:color w:val="000000"/>
                <w:kern w:val="24"/>
                <w:position w:val="5"/>
                <w:sz w:val="18"/>
                <w:szCs w:val="18"/>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35205B" w:rsidRPr="00750522" w:rsidRDefault="0035205B" w:rsidP="00750522">
            <w:pPr>
              <w:spacing w:before="40" w:after="20" w:line="260" w:lineRule="exact"/>
              <w:jc w:val="center"/>
              <w:rPr>
                <w:rFonts w:ascii="Arial" w:eastAsia="Times New Roman" w:hAnsi="Arial" w:cs="Arial"/>
                <w:sz w:val="36"/>
                <w:szCs w:val="36"/>
              </w:rPr>
            </w:pPr>
            <w:r>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Reflecting impact of Bridgeport Harbor 3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 xml:space="preserve">Reflecting impact of </w:t>
            </w:r>
            <w:r w:rsidRPr="00750522">
              <w:rPr>
                <w:rFonts w:ascii="Calibri" w:eastAsia="Times New Roman" w:hAnsi="Calibri" w:cs="Calibri"/>
                <w:color w:val="000000"/>
                <w:kern w:val="24"/>
                <w:sz w:val="18"/>
                <w:szCs w:val="18"/>
              </w:rPr>
              <w:t>Killingly Energy Center addition</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ind w:left="-30"/>
              <w:rPr>
                <w:rFonts w:ascii="Arial" w:eastAsia="Times New Roman" w:hAnsi="Arial" w:cs="Arial"/>
                <w:sz w:val="36"/>
                <w:szCs w:val="36"/>
              </w:rPr>
            </w:pPr>
            <w:r w:rsidRPr="00750522">
              <w:rPr>
                <w:rFonts w:ascii="Calibri" w:eastAsia="Times New Roman" w:hAnsi="Calibri" w:cs="Arial"/>
                <w:color w:val="000000"/>
                <w:kern w:val="24"/>
                <w:sz w:val="18"/>
                <w:szCs w:val="18"/>
              </w:rPr>
              <w:t xml:space="preserve">Reflecting impact of </w:t>
            </w:r>
            <w:r w:rsidRPr="00750522">
              <w:rPr>
                <w:rFonts w:ascii="Calibri" w:eastAsia="Times New Roman" w:hAnsi="Calibri" w:cs="Calibri"/>
                <w:color w:val="000000"/>
                <w:kern w:val="24"/>
                <w:sz w:val="18"/>
                <w:szCs w:val="18"/>
              </w:rPr>
              <w:t>South Meadow 11-14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399"/>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 xml:space="preserve">  </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62777F"/>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b/>
                <w:bCs/>
                <w:color w:val="000000"/>
                <w:kern w:val="24"/>
                <w:sz w:val="18"/>
                <w:szCs w:val="18"/>
              </w:rPr>
              <w:t>NEMA/Boston</w:t>
            </w:r>
            <w:r w:rsidRPr="00750522">
              <w:rPr>
                <w:rFonts w:ascii="Calibri" w:eastAsia="Times New Roman" w:hAnsi="Calibri" w:cs="Arial"/>
                <w:b/>
                <w:bCs/>
                <w:color w:val="000000"/>
                <w:kern w:val="24"/>
                <w:position w:val="5"/>
                <w:sz w:val="18"/>
                <w:szCs w:val="18"/>
                <w:vertAlign w:val="superscript"/>
              </w:rPr>
              <w:t>(h, j)</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159</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15–25</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 xml:space="preserve"> 0</w:t>
            </w:r>
            <w:r w:rsidRPr="00750522">
              <w:rPr>
                <w:rFonts w:ascii="Calibri" w:eastAsia="Times New Roman" w:hAnsi="Calibri" w:cs="Arial"/>
                <w:color w:val="000000"/>
                <w:kern w:val="24"/>
                <w:position w:val="5"/>
                <w:sz w:val="18"/>
                <w:szCs w:val="18"/>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5205B" w:rsidRPr="00750522" w:rsidRDefault="0035205B" w:rsidP="00750522">
            <w:pPr>
              <w:spacing w:before="40" w:after="20" w:line="260" w:lineRule="exact"/>
              <w:jc w:val="center"/>
              <w:rPr>
                <w:rFonts w:ascii="Arial" w:eastAsia="Times New Roman" w:hAnsi="Arial" w:cs="Arial"/>
                <w:sz w:val="36"/>
                <w:szCs w:val="36"/>
              </w:rPr>
            </w:pPr>
            <w:r>
              <w:rPr>
                <w:rFonts w:ascii="Calibri" w:eastAsia="Times New Roman" w:hAnsi="Calibri" w:cs="Arial"/>
                <w:color w:val="000000"/>
                <w:kern w:val="24"/>
                <w:sz w:val="18"/>
                <w:szCs w:val="18"/>
              </w:rPr>
              <w:t>0</w:t>
            </w:r>
          </w:p>
        </w:tc>
      </w:tr>
      <w:tr w:rsidR="00750522" w:rsidRPr="00750522" w:rsidTr="00750522">
        <w:trPr>
          <w:trHeight w:val="318"/>
        </w:trPr>
        <w:tc>
          <w:tcPr>
            <w:tcW w:w="2360" w:type="dxa"/>
            <w:tcBorders>
              <w:top w:val="single" w:sz="8" w:space="0" w:color="62777F"/>
              <w:left w:val="single" w:sz="8" w:space="0" w:color="62777F"/>
              <w:bottom w:val="single" w:sz="8" w:space="0" w:color="62777F"/>
              <w:right w:val="single" w:sz="8" w:space="0" w:color="62777F"/>
            </w:tcBorders>
            <w:shd w:val="clear" w:color="auto" w:fill="auto"/>
            <w:tcMar>
              <w:top w:w="15" w:type="dxa"/>
              <w:left w:w="108" w:type="dxa"/>
              <w:bottom w:w="0" w:type="dxa"/>
              <w:right w:w="108" w:type="dxa"/>
            </w:tcMar>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940" w:type="dxa"/>
            <w:tcBorders>
              <w:top w:val="single" w:sz="8" w:space="0" w:color="000000"/>
              <w:left w:val="single" w:sz="8" w:space="0" w:color="62777F"/>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0 - 250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62777F"/>
              <w:left w:val="single" w:sz="8" w:space="0" w:color="62777F"/>
              <w:bottom w:val="single" w:sz="8" w:space="0" w:color="62777F"/>
              <w:right w:val="single" w:sz="8" w:space="0" w:color="62777F"/>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Reflecting impact of in-service of Wakefield-Woburn 345 kV line</w:t>
            </w:r>
          </w:p>
        </w:tc>
        <w:tc>
          <w:tcPr>
            <w:tcW w:w="1940" w:type="dxa"/>
            <w:tcBorders>
              <w:top w:val="single" w:sz="8" w:space="0" w:color="000000"/>
              <w:left w:val="single" w:sz="8" w:space="0" w:color="62777F"/>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0 - 150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399"/>
        </w:trPr>
        <w:tc>
          <w:tcPr>
            <w:tcW w:w="2360" w:type="dxa"/>
            <w:tcBorders>
              <w:top w:val="single" w:sz="8" w:space="0" w:color="62777F"/>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ind w:hanging="30"/>
              <w:rPr>
                <w:rFonts w:ascii="Arial" w:eastAsia="Times New Roman" w:hAnsi="Arial" w:cs="Arial"/>
                <w:sz w:val="36"/>
                <w:szCs w:val="36"/>
              </w:rPr>
            </w:pPr>
            <w:r w:rsidRPr="00750522">
              <w:rPr>
                <w:rFonts w:ascii="Calibri" w:eastAsia="Times New Roman" w:hAnsi="Calibri" w:cs="Arial"/>
                <w:color w:val="000000"/>
                <w:kern w:val="24"/>
                <w:sz w:val="18"/>
                <w:szCs w:val="18"/>
              </w:rPr>
              <w:t>Reflecting impact of Mystic 7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0 - 150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r w:rsidR="00750522" w:rsidRPr="00750522"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rPr>
                <w:rFonts w:ascii="Arial" w:eastAsia="Times New Roman" w:hAnsi="Arial" w:cs="Arial"/>
                <w:sz w:val="36"/>
                <w:szCs w:val="36"/>
              </w:rPr>
            </w:pPr>
            <w:r w:rsidRPr="00750522">
              <w:rPr>
                <w:rFonts w:ascii="Calibri" w:eastAsia="Times New Roman" w:hAnsi="Calibri" w:cs="Arial"/>
                <w:color w:val="000000"/>
                <w:kern w:val="24"/>
                <w:sz w:val="18"/>
                <w:szCs w:val="18"/>
              </w:rPr>
              <w:t>Reflecting impact of Mystic 8 and 9 retirements, and Boston Area Optimized Solution</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750522" w:rsidRDefault="00750522" w:rsidP="00750522">
            <w:pPr>
              <w:spacing w:after="0" w:line="240" w:lineRule="auto"/>
              <w:rPr>
                <w:rFonts w:ascii="Arial" w:eastAsia="Times New Roman" w:hAnsi="Arial" w:cs="Arial"/>
                <w:sz w:val="36"/>
                <w:szCs w:val="36"/>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Calibri" w:hAnsi="Calibri" w:cs="Arial"/>
                <w:color w:val="000000"/>
                <w:kern w:val="24"/>
                <w:sz w:val="18"/>
                <w:szCs w:val="18"/>
              </w:rPr>
              <w:t>100 - 600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750522" w:rsidRDefault="00750522" w:rsidP="00750522">
            <w:pPr>
              <w:spacing w:before="40" w:after="20" w:line="260" w:lineRule="exact"/>
              <w:jc w:val="center"/>
              <w:rPr>
                <w:rFonts w:ascii="Arial" w:eastAsia="Times New Roman" w:hAnsi="Arial" w:cs="Arial"/>
                <w:sz w:val="36"/>
                <w:szCs w:val="36"/>
              </w:rPr>
            </w:pPr>
            <w:r w:rsidRPr="00750522">
              <w:rPr>
                <w:rFonts w:ascii="Calibri" w:eastAsia="Times New Roman" w:hAnsi="Calibri" w:cs="Arial"/>
                <w:color w:val="000000"/>
                <w:kern w:val="24"/>
                <w:sz w:val="18"/>
                <w:szCs w:val="18"/>
              </w:rPr>
              <w:t>0</w:t>
            </w:r>
          </w:p>
        </w:tc>
      </w:tr>
    </w:tbl>
    <w:p w:rsidR="00496814" w:rsidRPr="00726DA4" w:rsidRDefault="00496814" w:rsidP="002F1C44">
      <w:pPr>
        <w:keepNext/>
        <w:keepLines/>
        <w:numPr>
          <w:ilvl w:val="0"/>
          <w:numId w:val="42"/>
        </w:numPr>
        <w:spacing w:before="80" w:after="0" w:line="240" w:lineRule="auto"/>
        <w:ind w:left="180" w:right="-187"/>
        <w:rPr>
          <w:rFonts w:asciiTheme="minorHAnsi" w:hAnsiTheme="minorHAnsi" w:cstheme="minorHAnsi"/>
          <w:sz w:val="16"/>
          <w:szCs w:val="16"/>
        </w:rPr>
      </w:pPr>
      <w:r w:rsidRPr="00726DA4">
        <w:rPr>
          <w:rFonts w:asciiTheme="minorHAnsi" w:hAnsiTheme="minorHAnsi" w:cstheme="minorHAnsi"/>
          <w:sz w:val="16"/>
          <w:szCs w:val="16"/>
        </w:rPr>
        <w:t>The market period is from June 1 through May 31 of the following year.</w:t>
      </w:r>
    </w:p>
    <w:p w:rsidR="00750522" w:rsidRPr="00726DA4" w:rsidRDefault="00431DC2" w:rsidP="00FF45B8">
      <w:pPr>
        <w:pStyle w:val="ListParagraph"/>
        <w:keepNext/>
        <w:keepLines/>
        <w:numPr>
          <w:ilvl w:val="0"/>
          <w:numId w:val="42"/>
        </w:numPr>
        <w:tabs>
          <w:tab w:val="left" w:pos="180"/>
        </w:tabs>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 xml:space="preserve">These values are the amount of claimed 30-minute reserves located in each reserve area as of the indicated date.  </w:t>
      </w:r>
    </w:p>
    <w:p w:rsidR="00496814" w:rsidRPr="00726DA4" w:rsidRDefault="00496814" w:rsidP="00FF45B8">
      <w:pPr>
        <w:pStyle w:val="ListParagraph"/>
        <w:keepNext/>
        <w:keepLines/>
        <w:numPr>
          <w:ilvl w:val="0"/>
          <w:numId w:val="42"/>
        </w:numPr>
        <w:tabs>
          <w:tab w:val="left" w:pos="180"/>
        </w:tabs>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 xml:space="preserve">These values are the range of the megawatts (MW) of resources offered into the </w:t>
      </w:r>
      <w:hyperlink r:id="rId158" w:history="1">
        <w:r w:rsidRPr="00726DA4">
          <w:rPr>
            <w:rStyle w:val="Hyperlink"/>
            <w:rFonts w:asciiTheme="minorHAnsi" w:hAnsiTheme="minorHAnsi" w:cstheme="minorHAnsi"/>
            <w:sz w:val="16"/>
            <w:szCs w:val="16"/>
          </w:rPr>
          <w:t>past forward-reserve auctions</w:t>
        </w:r>
      </w:hyperlink>
      <w:r w:rsidRPr="00726DA4">
        <w:rPr>
          <w:rFonts w:asciiTheme="minorHAnsi" w:hAnsiTheme="minorHAnsi" w:cstheme="minorHAnsi"/>
          <w:sz w:val="16"/>
          <w:szCs w:val="16"/>
        </w:rPr>
        <w:t>.</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“Summer” means June through September of a Capacity Commitment Period; “winter” means October of the associated year through May of the following year (e.g., the 2021 winter values are for October 2021 through May 2022). The representative values show a range to reflect uncertainties associated with the future system conditions. The operating limits shown below reflect those assumed at the time of the analysis.</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 xml:space="preserve">The assumed N−1 and N−1−1 values that reflect transmission import limits into Greater SWCT are 2,800 MW and 1,900 MW, respectively. </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These values are actual locational forward-reserve requirements. The projections of the requirements for future years are based on assumed contingencies.</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 xml:space="preserve">For Greater Connecticut, the assumed import limits reflect an N−1 value of 3,400 MW and an N−1−1 value of 2,200 MW, respectively. </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In some circumstances when transmission contingencies are more severe than generation contingencies, shedding some nonconsequential load (i.e., load shed not directly resulting from the contingency) may be acceptable.</w:t>
      </w:r>
    </w:p>
    <w:p w:rsidR="00496814" w:rsidRPr="00726DA4" w:rsidRDefault="00496814" w:rsidP="002F1C44">
      <w:pPr>
        <w:keepNext/>
        <w:keepLines/>
        <w:numPr>
          <w:ilvl w:val="0"/>
          <w:numId w:val="42"/>
        </w:numPr>
        <w:spacing w:after="0" w:line="240" w:lineRule="auto"/>
        <w:ind w:left="180" w:right="-187"/>
        <w:rPr>
          <w:rFonts w:asciiTheme="minorHAnsi" w:hAnsiTheme="minorHAnsi" w:cstheme="minorHAnsi"/>
          <w:sz w:val="16"/>
          <w:szCs w:val="16"/>
        </w:rPr>
      </w:pPr>
      <w:r w:rsidRPr="00726DA4">
        <w:rPr>
          <w:rFonts w:asciiTheme="minorHAnsi" w:hAnsiTheme="minorHAnsi" w:cstheme="minorHAnsi"/>
          <w:sz w:val="16"/>
          <w:szCs w:val="16"/>
        </w:rPr>
        <w:t>These values include resources in Greater Southwest Connecticut.</w:t>
      </w:r>
    </w:p>
    <w:p w:rsidR="00496814" w:rsidRPr="00726DA4"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726DA4">
        <w:rPr>
          <w:rFonts w:asciiTheme="minorHAnsi" w:hAnsiTheme="minorHAnsi" w:cstheme="minorHAnsi"/>
          <w:sz w:val="16"/>
          <w:szCs w:val="16"/>
        </w:rPr>
        <w:t>The assumed N−1 and N−1−1 values reflecting the transmission import limits into Boston are 5,400 MW and 4,500 MW. They will increase to 5,700 MW and 4,600 MW respectively, in 2022 when the Wakefield-Woburn 345 kV line the Greater Boston Project is in service. These limits will be changed to 5,250 MW and 4,550 MW in 2024, respectively, as a result of the retirement of Mystic 8 and 9, and the inclusion of Boston Area Optimized Solution. The operating-reserve values for NEMA/Boston assume the largest generation contingency of the common-mode failure of the Mystic 8 and 9 generators for the years 2021 to 2024, and the common-mode failure of the Salem 5 and 6 generators starting in 2025 when the Mystic 8 and 9 retire.</w:t>
      </w:r>
    </w:p>
    <w:p w:rsidR="00496814" w:rsidRPr="00496814" w:rsidRDefault="00496814" w:rsidP="00496814"/>
    <w:p w:rsidR="00496814" w:rsidRPr="00496814" w:rsidRDefault="00496814" w:rsidP="00496814">
      <w:r w:rsidRPr="00496814">
        <w:t xml:space="preserve">The representative values show a range to reflect the load and resource uncertainties associated with future system conditions. </w:t>
      </w:r>
      <w:hyperlink w:anchor="Table_4_9" w:history="1">
        <w:r w:rsidRPr="0022032C">
          <w:rPr>
            <w:rStyle w:val="Hyperlink"/>
          </w:rPr>
          <w:t>Table 4-</w:t>
        </w:r>
        <w:r w:rsidR="00511728" w:rsidRPr="0022032C">
          <w:rPr>
            <w:rStyle w:val="Hyperlink"/>
          </w:rPr>
          <w:t>9</w:t>
        </w:r>
      </w:hyperlink>
      <w:r w:rsidRPr="00496814">
        <w:t xml:space="preserve"> also </w:t>
      </w:r>
      <w:r w:rsidRPr="008F39DF">
        <w:t>shows the</w:t>
      </w:r>
      <w:r w:rsidR="00511728" w:rsidRPr="008F39DF">
        <w:t xml:space="preserve"> amount of claimed 30-minute reserve located in each reserve area and the range of such reserves </w:t>
      </w:r>
      <w:r w:rsidRPr="008F39DF">
        <w:t>offered into past FRM au</w:t>
      </w:r>
      <w:r w:rsidRPr="00496814">
        <w:t>ctions. The total 10-minute operating-reserve values associated with the FRM reflect the contingency-reserve adjustment, but this adjustment does not affect the amount of reserves distributed to locations (i.e., the reserve values for Greater Southwest Connecticut, Greater Connecticut, and NEMA/Boston did not increase).</w:t>
      </w:r>
    </w:p>
    <w:p w:rsidR="00496814" w:rsidRPr="00496814" w:rsidRDefault="00496814" w:rsidP="00496814">
      <w:pPr>
        <w:rPr>
          <w:snapToGrid w:val="0"/>
        </w:rPr>
      </w:pPr>
      <w:r w:rsidRPr="00496814">
        <w:t>Because the local contingency needs in Greater Southwest Connecticut are nested within Greater Connecticut, resources installed in the Greater Southwest Connecticut area also would satisfy the operating-reserve need for resources located anywhere in Greater Connecticut.</w:t>
      </w:r>
      <w:r w:rsidRPr="00496814">
        <w:rPr>
          <w:vertAlign w:val="superscript"/>
        </w:rPr>
        <w:footnoteReference w:id="58"/>
      </w:r>
    </w:p>
    <w:p w:rsidR="00496814" w:rsidRPr="00496814" w:rsidRDefault="00496814" w:rsidP="00853CE5">
      <w:pPr>
        <w:pStyle w:val="Heading4"/>
      </w:pPr>
      <w:r w:rsidRPr="00496814">
        <w:t>Greater Southwest Connecticut</w:t>
      </w:r>
    </w:p>
    <w:p w:rsidR="00496814" w:rsidRPr="00496814" w:rsidRDefault="00496814" w:rsidP="00496814">
      <w:r w:rsidRPr="00496814">
        <w:t>Greater Southwest Connecticut does not need to maintain local reserve for the entire study period. The addition of the efficient gas-fired generators</w:t>
      </w:r>
      <w:r w:rsidR="006329AD">
        <w:t xml:space="preserve"> </w:t>
      </w:r>
      <w:r w:rsidRPr="00496814">
        <w:t xml:space="preserve">CPV Towantic and Bridgeport Harbor 5 in recent years helps the local generation serve a larger portion of the local energy needs, freeing up the import interface for importing reserve when contingencies occur. The recently completed Southwest Connecticut transmission upgrades further improve the capability of the Southwest Connecticut subsystem to meet its local energy and reserve needs reliably. The scheduled retirement of </w:t>
      </w:r>
      <w:r w:rsidR="00B107E5">
        <w:t xml:space="preserve">the </w:t>
      </w:r>
      <w:r w:rsidRPr="00496814">
        <w:t>Bridgeport Harbor 3 generator in 2021 is expected to have little impact on the local reserve needs.</w:t>
      </w:r>
    </w:p>
    <w:p w:rsidR="00496814" w:rsidRPr="00496814" w:rsidRDefault="00496814" w:rsidP="00853CE5">
      <w:pPr>
        <w:pStyle w:val="Heading4"/>
      </w:pPr>
      <w:r w:rsidRPr="00496814">
        <w:t>Greater Connecticut</w:t>
      </w:r>
    </w:p>
    <w:p w:rsidR="00496814" w:rsidRPr="00496814" w:rsidRDefault="00496814" w:rsidP="00496814">
      <w:r w:rsidRPr="00496814">
        <w:t>As a result of the development of efficient gas-fired generators and fast-start resources over the past years, the Greater Connecticut subsystem has been able to reliably meet its local energy and reserve needs. Study results show that Greater Connecticut does not need local operating reserves because the capability of the import interface is adequate to support the transfers of economic energy and reserve into the area from the rest of the system.</w:t>
      </w:r>
    </w:p>
    <w:p w:rsidR="00496814" w:rsidRPr="00496814" w:rsidRDefault="00496814" w:rsidP="00853CE5">
      <w:pPr>
        <w:pStyle w:val="Heading4"/>
      </w:pPr>
      <w:r w:rsidRPr="00496814">
        <w:t>NEMA/Boston</w:t>
      </w:r>
    </w:p>
    <w:p w:rsidR="00496814" w:rsidRPr="00496814" w:rsidRDefault="00496814" w:rsidP="00496814">
      <w:r w:rsidRPr="00496814">
        <w:t>The operating-reserve needs for the NEMA/Boston subarea shown in Table 4-7</w:t>
      </w:r>
      <w:r w:rsidR="002E7B46">
        <w:t xml:space="preserve"> </w:t>
      </w:r>
      <w:r w:rsidRPr="00496814">
        <w:t xml:space="preserve">reflect the possible simultaneous contingency loss of Mystic 8 and 9 for the years from 2021 to 2023, and the possible simultaneous contingency loss of Salem 5 and 6 starting in 2024 when Mystic 8 and 9 retire. Study results show that the local reserve need will range between 0 MW to 250 MW in 2022, and between 0 MW to 150 MW for 2023 and 2024 </w:t>
      </w:r>
      <w:r w:rsidRPr="00C379DA">
        <w:t xml:space="preserve">due to the </w:t>
      </w:r>
      <w:r w:rsidRPr="00496814">
        <w:rPr>
          <w:rFonts w:cstheme="minorHAnsi"/>
        </w:rPr>
        <w:t>Wakefield-Woburn 345 kV line of the Greater Boston Project</w:t>
      </w:r>
      <w:r w:rsidR="00F51F9A">
        <w:rPr>
          <w:rFonts w:cstheme="minorHAnsi"/>
        </w:rPr>
        <w:t xml:space="preserve"> being placed in service</w:t>
      </w:r>
      <w:r w:rsidRPr="00496814">
        <w:rPr>
          <w:rFonts w:cstheme="minorHAnsi"/>
        </w:rPr>
        <w:t xml:space="preserve">. With the retirement of Mystic 8 and 9, the reserve need in NEMA/Boston will range between 100 MW to 600 MW in 2025, due to the loss of local generation resources and the reduction to the import capability.   </w:t>
      </w:r>
    </w:p>
    <w:p w:rsidR="00496814" w:rsidRPr="00496814" w:rsidRDefault="00496814" w:rsidP="00853CE5">
      <w:pPr>
        <w:pStyle w:val="Heading4"/>
      </w:pPr>
      <w:r w:rsidRPr="00496814">
        <w:t>Summary of Operating-Reserve Needs in Major Import</w:t>
      </w:r>
      <w:r w:rsidR="00DF213A">
        <w:t> </w:t>
      </w:r>
      <w:r w:rsidRPr="00496814">
        <w:t>Areas</w:t>
      </w:r>
    </w:p>
    <w:p w:rsidR="00496814" w:rsidRPr="00496814" w:rsidRDefault="00496814" w:rsidP="00496814">
      <w:r w:rsidRPr="00496814">
        <w:t xml:space="preserve">Unless load and resource conditions change during the study period, study results indicate that the Southwest Connecticut and Greater Connecticut areas will not need to maintain local reserves for system reliability. Study results show that the </w:t>
      </w:r>
      <w:r w:rsidR="00F25C2B">
        <w:t>Northeast Massachusetts (</w:t>
      </w:r>
      <w:r w:rsidRPr="00496814">
        <w:t>NEMA</w:t>
      </w:r>
      <w:r w:rsidR="00F25C2B">
        <w:t>)</w:t>
      </w:r>
      <w:r w:rsidRPr="00496814">
        <w:t>/Boston area will need a certain amount of local reserves, and the local reserve needs will increase with the retirement of Mystic 8 and 9 because of the reduction to the local generation supply and the import capability into the area. Unforeseen reductions in economical generation resources (e.g., traditional baseload resources) in these subareas may</w:t>
      </w:r>
      <w:r w:rsidR="0068573F">
        <w:t xml:space="preserve"> further</w:t>
      </w:r>
      <w:r w:rsidRPr="00496814">
        <w:t xml:space="preserve"> increase the operating-reserve need.</w:t>
      </w:r>
    </w:p>
    <w:p w:rsidR="00496814" w:rsidRPr="00496814" w:rsidRDefault="00496814" w:rsidP="00496814">
      <w:r w:rsidRPr="00496814">
        <w:t xml:space="preserve">In the longer term, these </w:t>
      </w:r>
      <w:r w:rsidR="00B41F4D">
        <w:t>sub</w:t>
      </w:r>
      <w:r w:rsidRPr="00496814">
        <w:t xml:space="preserve">areas and the region might need additional operating reserves as the </w:t>
      </w:r>
      <w:r w:rsidR="0068573F">
        <w:t>quantity</w:t>
      </w:r>
      <w:r w:rsidRPr="00496814">
        <w:t xml:space="preserve"> of variable energy resources (VERs) increases. </w:t>
      </w:r>
    </w:p>
    <w:p w:rsidR="00496814" w:rsidRPr="00496814" w:rsidRDefault="00496814" w:rsidP="00853CE5">
      <w:pPr>
        <w:pStyle w:val="Heading2"/>
      </w:pPr>
      <w:bookmarkStart w:id="429" w:name="_Existing_and_Future"/>
      <w:bookmarkStart w:id="430" w:name="_Ref418772064"/>
      <w:bookmarkStart w:id="431" w:name="_Ref419300248"/>
      <w:bookmarkStart w:id="432" w:name="_Toc429063401"/>
      <w:bookmarkStart w:id="433" w:name="_Toc481053267"/>
      <w:bookmarkStart w:id="434" w:name="_Toc490323033"/>
      <w:bookmarkStart w:id="435" w:name="_Toc365440999"/>
      <w:bookmarkStart w:id="436" w:name="_Ref366586003"/>
      <w:bookmarkStart w:id="437" w:name="_Toc396807629"/>
      <w:bookmarkStart w:id="438" w:name="_Ref356557755"/>
      <w:bookmarkStart w:id="439" w:name="_Toc81544529"/>
      <w:bookmarkEnd w:id="429"/>
      <w:r w:rsidRPr="00496814">
        <w:t>Existing and Future Resource</w:t>
      </w:r>
      <w:r w:rsidR="00DF213A">
        <w:t> </w:t>
      </w:r>
      <w:r w:rsidRPr="00496814">
        <w:t>Development</w:t>
      </w:r>
      <w:bookmarkEnd w:id="430"/>
      <w:bookmarkEnd w:id="439"/>
      <w:r w:rsidRPr="00496814">
        <w:t xml:space="preserve"> </w:t>
      </w:r>
      <w:bookmarkEnd w:id="431"/>
      <w:bookmarkEnd w:id="432"/>
      <w:bookmarkEnd w:id="433"/>
      <w:bookmarkEnd w:id="434"/>
    </w:p>
    <w:p w:rsidR="00496814" w:rsidRPr="00496814" w:rsidRDefault="00496814" w:rsidP="00496814">
      <w:r w:rsidRPr="00496814">
        <w:t xml:space="preserve">The development of resources can help meet the long-term needs of the system. This section reviews existing and future generating resources, including the capacity and claimed capability of existing resources, projects proposed through the ISO’s interconnection queue, and generator retirements. </w:t>
      </w:r>
    </w:p>
    <w:p w:rsidR="00496814" w:rsidRPr="00496814" w:rsidRDefault="00496814" w:rsidP="00853CE5">
      <w:pPr>
        <w:pStyle w:val="Heading3"/>
      </w:pPr>
      <w:bookmarkStart w:id="440" w:name="_Toc429063402"/>
      <w:bookmarkStart w:id="441" w:name="_Toc481053268"/>
      <w:bookmarkStart w:id="442" w:name="_Toc490323034"/>
      <w:bookmarkStart w:id="443" w:name="_Toc81544530"/>
      <w:r w:rsidRPr="00496814">
        <w:t>Existing Generating Capacity by Load Zone and</w:t>
      </w:r>
      <w:r w:rsidR="00DF213A">
        <w:t> </w:t>
      </w:r>
      <w:r w:rsidRPr="00496814">
        <w:t>State</w:t>
      </w:r>
      <w:bookmarkEnd w:id="440"/>
      <w:bookmarkEnd w:id="441"/>
      <w:bookmarkEnd w:id="442"/>
      <w:bookmarkEnd w:id="443"/>
    </w:p>
    <w:p w:rsidR="00496814" w:rsidRPr="00496814" w:rsidRDefault="00496814" w:rsidP="00496814">
      <w:r w:rsidRPr="00496814">
        <w:t xml:space="preserve">Generators located close to load centers typically lessen the need for transmission system improvements. </w:t>
      </w:r>
      <w:hyperlink w:anchor="Table_4_10" w:history="1">
        <w:r w:rsidRPr="00FB0619">
          <w:rPr>
            <w:rStyle w:val="Hyperlink"/>
          </w:rPr>
          <w:t>Table 4-</w:t>
        </w:r>
        <w:r w:rsidR="00B41F4D" w:rsidRPr="00FB0619">
          <w:rPr>
            <w:rStyle w:val="Hyperlink"/>
          </w:rPr>
          <w:t>10</w:t>
        </w:r>
      </w:hyperlink>
      <w:r w:rsidRPr="00496814">
        <w:t xml:space="preserve"> tabulates the existing generating amounts and locations by Load Zone and state.</w:t>
      </w:r>
      <w:r w:rsidR="00DA00BA">
        <w:t xml:space="preserve"> </w:t>
      </w:r>
    </w:p>
    <w:p w:rsidR="00496814" w:rsidRPr="00496814" w:rsidRDefault="00496814" w:rsidP="00496814">
      <w:pPr>
        <w:spacing w:after="200" w:line="276" w:lineRule="auto"/>
      </w:pPr>
      <w:r w:rsidRPr="00496814">
        <w:br w:type="page"/>
      </w:r>
    </w:p>
    <w:p w:rsidR="00496814" w:rsidRPr="00496814" w:rsidRDefault="00496814" w:rsidP="00496814">
      <w:pPr>
        <w:keepNext/>
        <w:keepLines/>
        <w:spacing w:after="60" w:line="240" w:lineRule="auto"/>
        <w:jc w:val="center"/>
        <w:rPr>
          <w:rFonts w:ascii="Calibri" w:hAnsi="Calibri"/>
          <w:b/>
          <w:szCs w:val="18"/>
          <w:vertAlign w:val="superscript"/>
        </w:rPr>
      </w:pPr>
      <w:bookmarkStart w:id="444" w:name="_Ref421694695"/>
      <w:bookmarkStart w:id="445" w:name="_Ref8751234"/>
      <w:bookmarkStart w:id="446" w:name="Table_4_10"/>
      <w:bookmarkStart w:id="447" w:name="_Toc429063564"/>
      <w:bookmarkStart w:id="448" w:name="_Toc481053567"/>
      <w:bookmarkStart w:id="449" w:name="_Toc491244012"/>
      <w:r w:rsidRPr="00496814">
        <w:rPr>
          <w:rFonts w:ascii="Calibri" w:hAnsi="Calibri"/>
          <w:b/>
          <w:bCs/>
          <w:szCs w:val="18"/>
        </w:rPr>
        <w:t>Table 4-</w:t>
      </w:r>
      <w:r w:rsidR="00B41F4D">
        <w:rPr>
          <w:rFonts w:ascii="Calibri" w:hAnsi="Calibri"/>
          <w:b/>
          <w:bCs/>
          <w:szCs w:val="18"/>
        </w:rPr>
        <w:t>10</w:t>
      </w:r>
      <w:bookmarkEnd w:id="444"/>
      <w:bookmarkEnd w:id="445"/>
      <w:bookmarkEnd w:id="446"/>
      <w:r w:rsidRPr="00496814">
        <w:rPr>
          <w:rFonts w:ascii="Calibri" w:hAnsi="Calibri"/>
          <w:b/>
          <w:color w:val="EC1F25" w:themeColor="accent6"/>
          <w:szCs w:val="18"/>
        </w:rPr>
        <w:t xml:space="preserve"> </w:t>
      </w:r>
      <w:r w:rsidRPr="00496814">
        <w:rPr>
          <w:rFonts w:ascii="Calibri" w:hAnsi="Calibri"/>
          <w:b/>
          <w:color w:val="EC1F25" w:themeColor="accent6"/>
          <w:szCs w:val="18"/>
        </w:rPr>
        <w:br/>
      </w:r>
      <w:r w:rsidRPr="00496814">
        <w:rPr>
          <w:rFonts w:ascii="Calibri" w:hAnsi="Calibri"/>
          <w:b/>
          <w:szCs w:val="18"/>
        </w:rPr>
        <w:t>2021 Generating Capacity by State and Load Zone (MW, %)</w:t>
      </w:r>
      <w:r w:rsidRPr="00496814">
        <w:rPr>
          <w:rFonts w:ascii="Calibri" w:hAnsi="Calibri"/>
          <w:b/>
          <w:szCs w:val="18"/>
          <w:vertAlign w:val="superscript"/>
        </w:rPr>
        <w:t>(a, b)</w:t>
      </w:r>
      <w:bookmarkEnd w:id="447"/>
      <w:bookmarkEnd w:id="448"/>
      <w:bookmarkEnd w:id="449"/>
    </w:p>
    <w:tbl>
      <w:tblPr>
        <w:tblW w:w="8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7"/>
        <w:gridCol w:w="820"/>
        <w:gridCol w:w="1405"/>
        <w:gridCol w:w="960"/>
        <w:gridCol w:w="960"/>
        <w:gridCol w:w="1265"/>
        <w:gridCol w:w="810"/>
        <w:gridCol w:w="805"/>
      </w:tblGrid>
      <w:tr w:rsidR="00496814" w:rsidRPr="00496814" w:rsidTr="006E0ABA">
        <w:trPr>
          <w:cantSplit/>
          <w:trHeight w:val="20"/>
          <w:jc w:val="center"/>
        </w:trPr>
        <w:tc>
          <w:tcPr>
            <w:tcW w:w="1337" w:type="dxa"/>
            <w:vMerge w:val="restart"/>
            <w:tcBorders>
              <w:left w:val="single" w:sz="2" w:space="0" w:color="auto"/>
            </w:tcBorders>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State</w:t>
            </w:r>
          </w:p>
        </w:tc>
        <w:tc>
          <w:tcPr>
            <w:tcW w:w="820" w:type="dxa"/>
            <w:vMerge w:val="restart"/>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Load Zone</w:t>
            </w:r>
          </w:p>
        </w:tc>
        <w:tc>
          <w:tcPr>
            <w:tcW w:w="3325" w:type="dxa"/>
            <w:gridSpan w:val="3"/>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Summer</w:t>
            </w:r>
          </w:p>
        </w:tc>
        <w:tc>
          <w:tcPr>
            <w:tcW w:w="2880" w:type="dxa"/>
            <w:gridSpan w:val="3"/>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Winter</w:t>
            </w:r>
          </w:p>
        </w:tc>
      </w:tr>
      <w:tr w:rsidR="00496814" w:rsidRPr="00496814" w:rsidTr="006E0ABA">
        <w:trPr>
          <w:cantSplit/>
          <w:trHeight w:val="481"/>
          <w:jc w:val="center"/>
        </w:trPr>
        <w:tc>
          <w:tcPr>
            <w:tcW w:w="1337" w:type="dxa"/>
            <w:vMerge/>
            <w:tcBorders>
              <w:left w:val="single" w:sz="2" w:space="0" w:color="auto"/>
            </w:tcBorders>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820" w:type="dxa"/>
            <w:vMerge/>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1405"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Capacity Rating (MW)</w:t>
            </w:r>
            <w:r w:rsidRPr="00496814">
              <w:rPr>
                <w:rFonts w:asciiTheme="minorHAnsi" w:eastAsia="Times New Roman" w:hAnsiTheme="minorHAnsi" w:cstheme="minorHAnsi"/>
                <w:b/>
                <w:bCs/>
                <w:color w:val="FFFFFF"/>
                <w:sz w:val="18"/>
                <w:szCs w:val="18"/>
                <w:vertAlign w:val="superscript"/>
              </w:rPr>
              <w:t>(b)</w:t>
            </w:r>
          </w:p>
        </w:tc>
        <w:tc>
          <w:tcPr>
            <w:tcW w:w="960"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w:t>
            </w:r>
            <w:r w:rsidRPr="00496814">
              <w:rPr>
                <w:rFonts w:asciiTheme="minorHAnsi" w:eastAsia="Times New Roman" w:hAnsiTheme="minorHAnsi" w:cstheme="minorHAnsi"/>
                <w:b/>
                <w:bCs/>
                <w:color w:val="FFFFFF"/>
                <w:sz w:val="18"/>
                <w:szCs w:val="18"/>
              </w:rPr>
              <w:br/>
              <w:t>State</w:t>
            </w:r>
          </w:p>
        </w:tc>
        <w:tc>
          <w:tcPr>
            <w:tcW w:w="960"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 Load Zone</w:t>
            </w:r>
          </w:p>
        </w:tc>
        <w:tc>
          <w:tcPr>
            <w:tcW w:w="1265"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Capacity Rating (MW)</w:t>
            </w:r>
            <w:r w:rsidRPr="00496814">
              <w:rPr>
                <w:rFonts w:asciiTheme="minorHAnsi" w:eastAsia="Times New Roman" w:hAnsiTheme="minorHAnsi" w:cstheme="minorHAnsi"/>
                <w:b/>
                <w:bCs/>
                <w:color w:val="FFFFFF"/>
                <w:sz w:val="18"/>
                <w:szCs w:val="18"/>
                <w:vertAlign w:val="superscript"/>
              </w:rPr>
              <w:t>(b)</w:t>
            </w:r>
          </w:p>
        </w:tc>
        <w:tc>
          <w:tcPr>
            <w:tcW w:w="1615" w:type="dxa"/>
            <w:gridSpan w:val="2"/>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 State</w:t>
            </w:r>
            <w:r w:rsidRPr="00496814">
              <w:rPr>
                <w:rFonts w:asciiTheme="minorHAnsi" w:eastAsia="Times New Roman" w:hAnsiTheme="minorHAnsi" w:cstheme="minorHAnsi"/>
                <w:b/>
                <w:bCs/>
                <w:color w:val="FFFFFF"/>
                <w:sz w:val="18"/>
                <w:szCs w:val="18"/>
              </w:rPr>
              <w:br/>
              <w:t>% of Load Zone</w:t>
            </w:r>
          </w:p>
        </w:tc>
      </w:tr>
      <w:tr w:rsidR="00496814" w:rsidRPr="00496814" w:rsidTr="006E0ABA">
        <w:trPr>
          <w:cantSplit/>
          <w:trHeight w:val="481"/>
          <w:jc w:val="center"/>
        </w:trPr>
        <w:tc>
          <w:tcPr>
            <w:tcW w:w="1337" w:type="dxa"/>
            <w:vMerge/>
            <w:tcBorders>
              <w:left w:val="single" w:sz="2" w:space="0" w:color="auto"/>
            </w:tcBorders>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p>
        </w:tc>
        <w:tc>
          <w:tcPr>
            <w:tcW w:w="820" w:type="dxa"/>
            <w:vMerge/>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p>
        </w:tc>
        <w:tc>
          <w:tcPr>
            <w:tcW w:w="1405"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960" w:type="dxa"/>
            <w:vMerge/>
            <w:shd w:val="clear" w:color="000000" w:fill="1795D2"/>
            <w:tcMar>
              <w:left w:w="115" w:type="dxa"/>
              <w:right w:w="115"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960"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1265"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1615" w:type="dxa"/>
            <w:gridSpan w:val="2"/>
            <w:vMerge/>
            <w:shd w:val="clear" w:color="000000" w:fill="1795D2"/>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r>
      <w:tr w:rsidR="00496814" w:rsidRPr="00496814" w:rsidTr="006E0ABA">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Maine</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ME</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3,344</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3,525</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 &lt;1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&lt;1 </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&lt;1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r>
      <w:tr w:rsidR="00496814" w:rsidRPr="00496814" w:rsidTr="006E0ABA">
        <w:trPr>
          <w:cantSplit/>
          <w:trHeight w:val="20"/>
          <w:jc w:val="center"/>
        </w:trPr>
        <w:tc>
          <w:tcPr>
            <w:tcW w:w="1337" w:type="dxa"/>
            <w:vMerge/>
            <w:tcBorders>
              <w:left w:val="single" w:sz="2" w:space="0" w:color="auto"/>
              <w:right w:val="nil"/>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3,344</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3,525</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New Hampshire</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4,126</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4,385</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VT</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 &lt;1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5</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w:t>
            </w:r>
          </w:p>
        </w:tc>
      </w:tr>
      <w:tr w:rsidR="00496814" w:rsidRPr="00496814" w:rsidTr="006E0ABA">
        <w:trPr>
          <w:cantSplit/>
          <w:trHeight w:val="20"/>
          <w:jc w:val="center"/>
        </w:trPr>
        <w:tc>
          <w:tcPr>
            <w:tcW w:w="1337" w:type="dxa"/>
            <w:vMerge/>
            <w:tcBorders>
              <w:left w:val="single" w:sz="2" w:space="0" w:color="auto"/>
              <w:right w:val="nil"/>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4,127</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4,390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Vermont</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99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VT</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278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61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319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64</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99</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WCMA</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80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79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16</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r>
      <w:tr w:rsidR="00496814" w:rsidRPr="00496814" w:rsidTr="006E0ABA">
        <w:trPr>
          <w:cantSplit/>
          <w:trHeight w:val="20"/>
          <w:jc w:val="center"/>
        </w:trPr>
        <w:tc>
          <w:tcPr>
            <w:tcW w:w="1337" w:type="dxa"/>
            <w:vMerge/>
            <w:tcBorders>
              <w:left w:val="single" w:sz="2" w:space="0" w:color="auto"/>
              <w:right w:val="nil"/>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456</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497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Massachusetts</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NEMA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3,266</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27</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3,688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29</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SEMA</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4,752</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39</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4,927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39</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WCMA</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4,133</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34</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4,059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32</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r>
      <w:tr w:rsidR="00496814" w:rsidRPr="00496814" w:rsidTr="006E0ABA">
        <w:trPr>
          <w:cantSplit/>
          <w:trHeight w:val="20"/>
          <w:jc w:val="center"/>
        </w:trPr>
        <w:tc>
          <w:tcPr>
            <w:tcW w:w="1337" w:type="dxa"/>
            <w:vMerge/>
            <w:tcBorders>
              <w:left w:val="single" w:sz="2" w:space="0" w:color="auto"/>
              <w:right w:val="nil"/>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12,151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12,674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Rhode Island</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RI</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1,984 </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2,164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r>
      <w:tr w:rsidR="00496814" w:rsidRPr="00496814" w:rsidTr="006E0ABA">
        <w:trPr>
          <w:cantSplit/>
          <w:trHeight w:val="20"/>
          <w:jc w:val="center"/>
        </w:trPr>
        <w:tc>
          <w:tcPr>
            <w:tcW w:w="1337" w:type="dxa"/>
            <w:tcBorders>
              <w:left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Connecticut</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CT</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9,430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10,432</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r>
      <w:tr w:rsidR="00496814" w:rsidRPr="00496814" w:rsidTr="006E0ABA">
        <w:trPr>
          <w:cantSplit/>
          <w:trHeight w:val="20"/>
          <w:jc w:val="center"/>
        </w:trPr>
        <w:tc>
          <w:tcPr>
            <w:tcW w:w="1337" w:type="dxa"/>
            <w:tcBorders>
              <w:left w:val="single" w:sz="2" w:space="0" w:color="auto"/>
            </w:tcBorders>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Total</w:t>
            </w:r>
          </w:p>
        </w:tc>
        <w:tc>
          <w:tcPr>
            <w:tcW w:w="820" w:type="dxa"/>
            <w:shd w:val="clear" w:color="000000" w:fill="1795D2"/>
            <w:noWrap/>
            <w:tcMar>
              <w:left w:w="115" w:type="dxa"/>
              <w:right w:w="115" w:type="dxa"/>
            </w:tcMar>
            <w:vAlign w:val="center"/>
          </w:tcPr>
          <w:p w:rsidR="00496814" w:rsidRPr="00496814" w:rsidRDefault="00496814" w:rsidP="00496814">
            <w:pPr>
              <w:spacing w:before="20" w:after="20" w:line="240" w:lineRule="auto"/>
              <w:rPr>
                <w:rFonts w:asciiTheme="minorHAnsi" w:eastAsia="Times New Roman" w:hAnsiTheme="minorHAnsi" w:cstheme="minorHAnsi"/>
                <w:color w:val="62777F"/>
                <w:sz w:val="18"/>
                <w:szCs w:val="18"/>
              </w:rPr>
            </w:pPr>
          </w:p>
        </w:tc>
        <w:tc>
          <w:tcPr>
            <w:tcW w:w="1405" w:type="dxa"/>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31,493</w:t>
            </w:r>
          </w:p>
        </w:tc>
        <w:tc>
          <w:tcPr>
            <w:tcW w:w="1920" w:type="dxa"/>
            <w:gridSpan w:val="2"/>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w:t>
            </w:r>
          </w:p>
        </w:tc>
        <w:tc>
          <w:tcPr>
            <w:tcW w:w="1265" w:type="dxa"/>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33,681</w:t>
            </w:r>
          </w:p>
        </w:tc>
        <w:tc>
          <w:tcPr>
            <w:tcW w:w="1615" w:type="dxa"/>
            <w:gridSpan w:val="2"/>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p>
        </w:tc>
      </w:tr>
    </w:tbl>
    <w:p w:rsidR="00496814" w:rsidRPr="00496814" w:rsidRDefault="00496814" w:rsidP="00496814">
      <w:pPr>
        <w:keepNext/>
        <w:keepLines/>
        <w:spacing w:before="60" w:after="0" w:line="240" w:lineRule="auto"/>
        <w:ind w:left="360" w:right="-86"/>
        <w:rPr>
          <w:rFonts w:asciiTheme="minorHAnsi" w:hAnsiTheme="minorHAnsi"/>
          <w:snapToGrid w:val="0"/>
          <w:sz w:val="16"/>
          <w:szCs w:val="16"/>
        </w:rPr>
      </w:pPr>
      <w:r w:rsidRPr="00496814">
        <w:rPr>
          <w:rFonts w:asciiTheme="minorHAnsi" w:hAnsiTheme="minorHAnsi"/>
          <w:snapToGrid w:val="0"/>
          <w:sz w:val="16"/>
          <w:szCs w:val="16"/>
        </w:rPr>
        <w:t>(a) Totals may vary due to rounding.</w:t>
      </w:r>
    </w:p>
    <w:p w:rsidR="00496814" w:rsidRPr="00496814" w:rsidRDefault="00496814" w:rsidP="00496814">
      <w:pPr>
        <w:spacing w:after="0" w:line="240" w:lineRule="auto"/>
        <w:ind w:left="360" w:right="-86"/>
        <w:rPr>
          <w:rFonts w:asciiTheme="minorHAnsi" w:hAnsiTheme="minorHAnsi"/>
          <w:snapToGrid w:val="0"/>
          <w:sz w:val="16"/>
          <w:szCs w:val="16"/>
        </w:rPr>
      </w:pPr>
      <w:r w:rsidRPr="00496814">
        <w:rPr>
          <w:rFonts w:asciiTheme="minorHAnsi" w:hAnsiTheme="minorHAnsi"/>
          <w:snapToGrid w:val="0"/>
          <w:sz w:val="16"/>
          <w:szCs w:val="16"/>
        </w:rPr>
        <w:t xml:space="preserve">(b) The values shown are seasonal claimed capability based on the </w:t>
      </w:r>
      <w:r w:rsidRPr="00963B61">
        <w:rPr>
          <w:rFonts w:asciiTheme="minorHAnsi" w:hAnsiTheme="minorHAnsi"/>
          <w:i/>
          <w:snapToGrid w:val="0"/>
          <w:sz w:val="16"/>
          <w:szCs w:val="16"/>
        </w:rPr>
        <w:t>2021 CELT Report</w:t>
      </w:r>
      <w:r w:rsidRPr="00496814">
        <w:rPr>
          <w:rFonts w:asciiTheme="minorHAnsi" w:hAnsiTheme="minorHAnsi"/>
          <w:snapToGrid w:val="0"/>
          <w:sz w:val="16"/>
          <w:szCs w:val="16"/>
        </w:rPr>
        <w:t>.</w:t>
      </w:r>
    </w:p>
    <w:p w:rsidR="00496814" w:rsidRPr="00496814" w:rsidRDefault="00496814" w:rsidP="00853CE5">
      <w:pPr>
        <w:pStyle w:val="Heading3"/>
      </w:pPr>
      <w:bookmarkStart w:id="450" w:name="_Toc81544531"/>
      <w:r w:rsidRPr="00496814">
        <w:t>Generator Fuels</w:t>
      </w:r>
      <w:bookmarkEnd w:id="450"/>
      <w:r w:rsidRPr="00496814">
        <w:t xml:space="preserve"> </w:t>
      </w:r>
    </w:p>
    <w:p w:rsidR="005C1D39" w:rsidRDefault="005C1D39" w:rsidP="00496814">
      <w:pPr>
        <w:spacing w:after="120" w:line="240" w:lineRule="auto"/>
        <w:rPr>
          <w:rFonts w:cs="NeueHaasGroteskText Std"/>
          <w:color w:val="000000"/>
        </w:rPr>
      </w:pPr>
      <w:r w:rsidRPr="00496814">
        <w:rPr>
          <w:rFonts w:cs="NeueHaasGroteskText Std"/>
          <w:color w:val="000000"/>
        </w:rPr>
        <w:t xml:space="preserve">Every resource that can generate electricity has some sort of </w:t>
      </w:r>
      <w:r>
        <w:rPr>
          <w:rFonts w:cs="NeueHaasGroteskText Std"/>
          <w:color w:val="000000"/>
        </w:rPr>
        <w:t>“</w:t>
      </w:r>
      <w:r w:rsidRPr="00496814">
        <w:rPr>
          <w:rFonts w:cs="NeueHaasGroteskText Std"/>
          <w:color w:val="000000"/>
        </w:rPr>
        <w:t>fuel</w:t>
      </w:r>
      <w:r>
        <w:rPr>
          <w:rFonts w:cs="NeueHaasGroteskText Std"/>
          <w:color w:val="000000"/>
        </w:rPr>
        <w:t>”</w:t>
      </w:r>
      <w:r w:rsidRPr="00496814">
        <w:rPr>
          <w:rFonts w:cs="NeueHaasGroteskText Std"/>
          <w:color w:val="000000"/>
        </w:rPr>
        <w:t xml:space="preserve"> input to support the </w:t>
      </w:r>
      <w:r w:rsidR="0068573F">
        <w:rPr>
          <w:rFonts w:cs="NeueHaasGroteskText Std"/>
          <w:color w:val="000000"/>
        </w:rPr>
        <w:t>production of electricity</w:t>
      </w:r>
      <w:r w:rsidRPr="00496814">
        <w:rPr>
          <w:rFonts w:cs="NeueHaasGroteskText Std"/>
          <w:color w:val="000000"/>
        </w:rPr>
        <w:t>. Fossil-fueled resources use coal, oil, and natural gas. Nuclear units rely on heat released from splitting the uranium atom.</w:t>
      </w:r>
      <w:r>
        <w:rPr>
          <w:rFonts w:cs="NeueHaasGroteskText Std"/>
          <w:color w:val="000000"/>
        </w:rPr>
        <w:t xml:space="preserve"> </w:t>
      </w:r>
      <w:r w:rsidRPr="00496814">
        <w:rPr>
          <w:rFonts w:cs="NeueHaasGroteskText Std"/>
          <w:color w:val="000000"/>
        </w:rPr>
        <w:t xml:space="preserve">At any time, either due to </w:t>
      </w:r>
      <w:r w:rsidR="00B41F4D">
        <w:rPr>
          <w:rFonts w:cs="NeueHaasGroteskText Std"/>
          <w:color w:val="000000"/>
        </w:rPr>
        <w:t>physical</w:t>
      </w:r>
      <w:r w:rsidRPr="00496814">
        <w:rPr>
          <w:rFonts w:cs="NeueHaasGroteskText Std"/>
          <w:color w:val="000000"/>
        </w:rPr>
        <w:t>, market</w:t>
      </w:r>
      <w:r w:rsidR="00B41F4D">
        <w:rPr>
          <w:rFonts w:cs="NeueHaasGroteskText Std"/>
          <w:color w:val="000000"/>
        </w:rPr>
        <w:t xml:space="preserve">, </w:t>
      </w:r>
      <w:r w:rsidRPr="00496814">
        <w:rPr>
          <w:rFonts w:cs="NeueHaasGroteskText Std"/>
          <w:color w:val="000000"/>
        </w:rPr>
        <w:t xml:space="preserve">regulatory </w:t>
      </w:r>
      <w:r w:rsidR="00B41F4D">
        <w:rPr>
          <w:rFonts w:cs="NeueHaasGroteskText Std"/>
          <w:color w:val="000000"/>
        </w:rPr>
        <w:t>or cyber-security reasons</w:t>
      </w:r>
      <w:r w:rsidRPr="00496814">
        <w:rPr>
          <w:rFonts w:cs="NeueHaasGroteskText Std"/>
          <w:color w:val="000000"/>
        </w:rPr>
        <w:t>, the supply chains delivering these fuels to regional generation resources can become constrained and/or broken. Renewable resources use water, wind, and sunlight</w:t>
      </w:r>
      <w:r>
        <w:rPr>
          <w:rFonts w:cs="NeueHaasGroteskText Std"/>
          <w:color w:val="000000"/>
        </w:rPr>
        <w:t xml:space="preserve"> as their “fuel</w:t>
      </w:r>
      <w:r w:rsidR="000053F4">
        <w:rPr>
          <w:rFonts w:cs="NeueHaasGroteskText Std"/>
          <w:color w:val="000000"/>
        </w:rPr>
        <w:t>.</w:t>
      </w:r>
      <w:r>
        <w:rPr>
          <w:rFonts w:cs="NeueHaasGroteskText Std"/>
          <w:color w:val="000000"/>
        </w:rPr>
        <w:t xml:space="preserve">” In addition to </w:t>
      </w:r>
      <w:r w:rsidRPr="00496814">
        <w:rPr>
          <w:rFonts w:cs="NeueHaasGroteskText Std"/>
          <w:color w:val="000000"/>
        </w:rPr>
        <w:t>market or regulatory reasons</w:t>
      </w:r>
      <w:r>
        <w:rPr>
          <w:rFonts w:cs="NeueHaasGroteskText Std"/>
          <w:color w:val="000000"/>
        </w:rPr>
        <w:t xml:space="preserve">, these types of resources </w:t>
      </w:r>
      <w:r>
        <w:t>can also be limited by weather conditions or available “fuel” at a given time of day</w:t>
      </w:r>
      <w:r w:rsidRPr="00496814">
        <w:rPr>
          <w:rFonts w:cs="NeueHaasGroteskText Std"/>
          <w:color w:val="000000"/>
        </w:rPr>
        <w:t>.</w:t>
      </w:r>
    </w:p>
    <w:p w:rsidR="00496814" w:rsidRPr="00496814" w:rsidRDefault="00496814" w:rsidP="00496814">
      <w:pPr>
        <w:spacing w:after="120" w:line="240" w:lineRule="auto"/>
        <w:rPr>
          <w:rFonts w:cs="Arial"/>
          <w:color w:val="000000"/>
        </w:rPr>
      </w:pPr>
      <w:r w:rsidRPr="00496814">
        <w:rPr>
          <w:rFonts w:cs="Arial"/>
          <w:color w:val="000000"/>
        </w:rPr>
        <w:t xml:space="preserve">Due to New England’s commitment to develop new renewable energy resources for electric power production, </w:t>
      </w:r>
      <w:r w:rsidR="0068573F">
        <w:rPr>
          <w:rFonts w:cs="Arial"/>
          <w:color w:val="000000"/>
        </w:rPr>
        <w:t xml:space="preserve">there is little new </w:t>
      </w:r>
      <w:r w:rsidR="004A5532" w:rsidRPr="00496814">
        <w:rPr>
          <w:rFonts w:cs="Arial"/>
          <w:color w:val="000000"/>
        </w:rPr>
        <w:t>infrastructure development and/or expansion</w:t>
      </w:r>
      <w:r w:rsidR="004A5532">
        <w:rPr>
          <w:rFonts w:cs="Arial"/>
          <w:color w:val="000000"/>
        </w:rPr>
        <w:t xml:space="preserve"> to support</w:t>
      </w:r>
      <w:r w:rsidR="004A5532" w:rsidRPr="00496814">
        <w:rPr>
          <w:rFonts w:cs="Arial"/>
          <w:color w:val="000000"/>
        </w:rPr>
        <w:t xml:space="preserve"> </w:t>
      </w:r>
      <w:r w:rsidRPr="00496814">
        <w:rPr>
          <w:rFonts w:cs="Arial"/>
          <w:color w:val="000000"/>
        </w:rPr>
        <w:t>traditional fossil fuels like coal, oil, and natural gas</w:t>
      </w:r>
      <w:r w:rsidR="004A5532">
        <w:rPr>
          <w:rFonts w:cs="Arial"/>
          <w:color w:val="000000"/>
        </w:rPr>
        <w:t xml:space="preserve">.  There has been significant decrease in </w:t>
      </w:r>
      <w:r w:rsidRPr="00496814">
        <w:rPr>
          <w:rFonts w:cs="Arial"/>
          <w:color w:val="000000"/>
        </w:rPr>
        <w:t>newly proposed expansion projects for regional gas pipelines, liquefied natural gas (LNG) facilities,</w:t>
      </w:r>
      <w:r w:rsidRPr="00496814">
        <w:rPr>
          <w:color w:val="000000"/>
          <w:vertAlign w:val="superscript"/>
        </w:rPr>
        <w:footnoteReference w:id="59"/>
      </w:r>
      <w:r w:rsidRPr="00496814">
        <w:rPr>
          <w:rFonts w:cs="Arial"/>
          <w:color w:val="000000"/>
        </w:rPr>
        <w:t xml:space="preserve"> and even local </w:t>
      </w:r>
      <w:r w:rsidR="000053F4" w:rsidRPr="00496814">
        <w:rPr>
          <w:rFonts w:cs="Arial"/>
          <w:color w:val="000000"/>
        </w:rPr>
        <w:t xml:space="preserve">gas </w:t>
      </w:r>
      <w:r w:rsidRPr="00496814">
        <w:rPr>
          <w:rFonts w:cs="Arial"/>
          <w:color w:val="000000"/>
        </w:rPr>
        <w:t xml:space="preserve">distribution companies (LDCs) has significantly decreased from historical norms. Within New England, years of </w:t>
      </w:r>
      <w:r w:rsidR="00BA658B">
        <w:t xml:space="preserve">infrastructure siting resistance sentiment, </w:t>
      </w:r>
      <w:r w:rsidRPr="00496814">
        <w:rPr>
          <w:rFonts w:cs="Arial"/>
          <w:color w:val="000000"/>
        </w:rPr>
        <w:t>anti-fracking</w:t>
      </w:r>
      <w:r w:rsidRPr="00496814">
        <w:rPr>
          <w:color w:val="000000"/>
          <w:vertAlign w:val="superscript"/>
        </w:rPr>
        <w:footnoteReference w:id="60"/>
      </w:r>
      <w:r w:rsidRPr="00496814">
        <w:rPr>
          <w:rFonts w:cs="Arial"/>
          <w:color w:val="000000"/>
        </w:rPr>
        <w:t xml:space="preserve"> protests, and the recent emergence of </w:t>
      </w:r>
      <w:r w:rsidR="004A5532">
        <w:rPr>
          <w:rFonts w:cs="Arial"/>
          <w:color w:val="000000"/>
        </w:rPr>
        <w:t xml:space="preserve">the </w:t>
      </w:r>
      <w:r w:rsidRPr="00496814">
        <w:rPr>
          <w:rFonts w:eastAsia="Times New Roman"/>
          <w:szCs w:val="18"/>
        </w:rPr>
        <w:t>Environmental, Social, and Corporate Governance</w:t>
      </w:r>
      <w:r w:rsidRPr="00496814">
        <w:rPr>
          <w:rFonts w:cs="Arial"/>
          <w:color w:val="000000"/>
        </w:rPr>
        <w:t xml:space="preserve"> (ESG)</w:t>
      </w:r>
      <w:r w:rsidR="004A5532">
        <w:rPr>
          <w:rFonts w:cs="Arial"/>
          <w:color w:val="000000"/>
        </w:rPr>
        <w:t xml:space="preserve"> movement</w:t>
      </w:r>
      <w:r w:rsidRPr="00496814">
        <w:rPr>
          <w:color w:val="000000"/>
          <w:vertAlign w:val="superscript"/>
        </w:rPr>
        <w:footnoteReference w:id="61"/>
      </w:r>
      <w:r w:rsidRPr="00496814">
        <w:rPr>
          <w:rFonts w:cs="Arial"/>
          <w:color w:val="000000"/>
        </w:rPr>
        <w:t xml:space="preserve"> have </w:t>
      </w:r>
      <w:r w:rsidR="0058675F">
        <w:rPr>
          <w:rFonts w:cs="Arial"/>
          <w:color w:val="000000"/>
        </w:rPr>
        <w:t>contributed to</w:t>
      </w:r>
      <w:r w:rsidRPr="00496814">
        <w:rPr>
          <w:rFonts w:cs="Arial"/>
          <w:color w:val="000000"/>
        </w:rPr>
        <w:t xml:space="preserve"> the ra</w:t>
      </w:r>
      <w:r w:rsidR="0058675F">
        <w:rPr>
          <w:rFonts w:cs="Arial"/>
          <w:color w:val="000000"/>
        </w:rPr>
        <w:t xml:space="preserve">pid reduction in proposals for </w:t>
      </w:r>
      <w:r w:rsidRPr="00496814">
        <w:rPr>
          <w:rFonts w:cs="Arial"/>
          <w:color w:val="000000"/>
        </w:rPr>
        <w:t>new, fossil-based infrastructure project(s).</w:t>
      </w:r>
      <w:r w:rsidRPr="00496814">
        <w:rPr>
          <w:color w:val="000000"/>
          <w:vertAlign w:val="superscript"/>
        </w:rPr>
        <w:footnoteReference w:id="62"/>
      </w:r>
      <w:r w:rsidRPr="00496814">
        <w:rPr>
          <w:rFonts w:cs="Arial"/>
          <w:color w:val="000000"/>
        </w:rPr>
        <w:t xml:space="preserve"> In summary, the interest in expanding </w:t>
      </w:r>
      <w:r w:rsidR="00EE18F6">
        <w:rPr>
          <w:rFonts w:cs="Arial"/>
          <w:color w:val="000000"/>
        </w:rPr>
        <w:t>natural gas</w:t>
      </w:r>
      <w:r w:rsidRPr="00496814">
        <w:rPr>
          <w:rFonts w:cs="Arial"/>
          <w:color w:val="000000"/>
        </w:rPr>
        <w:t xml:space="preserve"> infrastructure here in New England, along with its associated capital, </w:t>
      </w:r>
      <w:r w:rsidR="004A5532">
        <w:rPr>
          <w:rFonts w:cs="Arial"/>
          <w:color w:val="000000"/>
        </w:rPr>
        <w:t xml:space="preserve">has </w:t>
      </w:r>
      <w:r w:rsidRPr="00496814">
        <w:rPr>
          <w:rFonts w:cs="Arial"/>
          <w:color w:val="000000"/>
        </w:rPr>
        <w:t>gone elsewhere. The total elimination of all fossil-fuel use for electricity generation within New England is targeted for 2050</w:t>
      </w:r>
      <w:r w:rsidR="0058675F">
        <w:rPr>
          <w:rFonts w:cs="Arial"/>
          <w:color w:val="000000"/>
        </w:rPr>
        <w:t xml:space="preserve"> by many states</w:t>
      </w:r>
      <w:r w:rsidRPr="00496814">
        <w:rPr>
          <w:rFonts w:cs="Arial"/>
          <w:color w:val="000000"/>
        </w:rPr>
        <w:t>.</w:t>
      </w:r>
    </w:p>
    <w:p w:rsidR="00496814" w:rsidRPr="00496814" w:rsidRDefault="00496814" w:rsidP="00496814">
      <w:pPr>
        <w:spacing w:after="120" w:line="240" w:lineRule="auto"/>
        <w:rPr>
          <w:rFonts w:cs="NeueHaasGroteskText Std"/>
          <w:color w:val="000000"/>
        </w:rPr>
      </w:pPr>
      <w:r w:rsidRPr="00496814">
        <w:rPr>
          <w:rFonts w:cs="NeueHaasGroteskText Std"/>
          <w:color w:val="000000"/>
        </w:rPr>
        <w:t xml:space="preserve">Fuel supply limitations that traditionally </w:t>
      </w:r>
      <w:r w:rsidR="005C1D39">
        <w:rPr>
          <w:rFonts w:cs="NeueHaasGroteskText Std"/>
          <w:color w:val="000000"/>
        </w:rPr>
        <w:t>affect</w:t>
      </w:r>
      <w:r w:rsidR="005C1D39" w:rsidRPr="00496814">
        <w:rPr>
          <w:rFonts w:cs="NeueHaasGroteskText Std"/>
          <w:color w:val="000000"/>
        </w:rPr>
        <w:t xml:space="preserve"> </w:t>
      </w:r>
      <w:r w:rsidRPr="00496814">
        <w:rPr>
          <w:rFonts w:cs="NeueHaasGroteskText Std"/>
          <w:color w:val="000000"/>
        </w:rPr>
        <w:t>New England’s power generation resources include:</w:t>
      </w:r>
    </w:p>
    <w:p w:rsidR="00496814" w:rsidRPr="00496814" w:rsidRDefault="00496814" w:rsidP="002F1C44">
      <w:pPr>
        <w:numPr>
          <w:ilvl w:val="0"/>
          <w:numId w:val="45"/>
        </w:numPr>
        <w:spacing w:after="120" w:line="240" w:lineRule="auto"/>
        <w:ind w:left="720"/>
        <w:rPr>
          <w:rFonts w:eastAsia="Times New Roman" w:cs="NeueHaasGroteskText Std"/>
          <w:color w:val="000000"/>
          <w:szCs w:val="24"/>
        </w:rPr>
      </w:pPr>
      <w:r w:rsidRPr="00496814">
        <w:rPr>
          <w:rFonts w:eastAsia="Times New Roman" w:cs="NeueHaasGroteskText Std"/>
          <w:b/>
          <w:color w:val="000000"/>
          <w:szCs w:val="24"/>
        </w:rPr>
        <w:t>Natural Gas</w:t>
      </w:r>
      <w:r w:rsidRPr="00496814">
        <w:rPr>
          <w:rFonts w:eastAsia="Times New Roman" w:cs="NeueHaasGroteskText Std"/>
          <w:color w:val="000000"/>
          <w:szCs w:val="24"/>
        </w:rPr>
        <w:t xml:space="preserve"> – Peak demands are driven by space-heating needs during winter. Regional gas utilities contract for 365-day, firm pipeline transportation service(s) in order to reliably bring firm gas supply to their </w:t>
      </w:r>
      <w:r w:rsidRPr="00261C12">
        <w:rPr>
          <w:rFonts w:eastAsia="Times New Roman" w:cs="NeueHaasGroteskText Std"/>
          <w:color w:val="000000"/>
          <w:szCs w:val="24"/>
        </w:rPr>
        <w:t>citygates</w:t>
      </w:r>
      <w:r w:rsidRPr="00496814">
        <w:rPr>
          <w:rFonts w:eastAsia="Times New Roman" w:cs="NeueHaasGroteskText Std"/>
          <w:color w:val="000000"/>
          <w:szCs w:val="24"/>
        </w:rPr>
        <w:t xml:space="preserve"> for distribution. During winter, the firm entitlements held by gas LDCs ensure that their gas delivery is </w:t>
      </w:r>
      <w:r w:rsidR="004A5532">
        <w:rPr>
          <w:rFonts w:eastAsia="Times New Roman" w:cs="NeueHaasGroteskText Std"/>
          <w:color w:val="000000"/>
          <w:szCs w:val="24"/>
        </w:rPr>
        <w:t xml:space="preserve">the </w:t>
      </w:r>
      <w:r w:rsidRPr="00496814">
        <w:rPr>
          <w:rFonts w:eastAsia="Times New Roman" w:cs="NeueHaasGroteskText Std"/>
          <w:color w:val="000000"/>
          <w:szCs w:val="24"/>
        </w:rPr>
        <w:t xml:space="preserve">top priority and only curtailed in the event of planned maintenance and/or force majeure. During winter, when pipelines run full with LDC gas, there is </w:t>
      </w:r>
      <w:r w:rsidR="004A5532">
        <w:rPr>
          <w:rFonts w:eastAsia="Times New Roman" w:cs="NeueHaasGroteskText Std"/>
          <w:color w:val="000000"/>
          <w:szCs w:val="24"/>
        </w:rPr>
        <w:t>little</w:t>
      </w:r>
      <w:r w:rsidR="004A5532" w:rsidRPr="00496814">
        <w:rPr>
          <w:rFonts w:eastAsia="Times New Roman" w:cs="NeueHaasGroteskText Std"/>
          <w:color w:val="000000"/>
          <w:szCs w:val="24"/>
        </w:rPr>
        <w:t xml:space="preserve"> </w:t>
      </w:r>
      <w:r w:rsidRPr="00496814">
        <w:rPr>
          <w:rFonts w:eastAsia="Times New Roman" w:cs="NeueHaasGroteskText Std"/>
          <w:color w:val="000000"/>
          <w:szCs w:val="24"/>
        </w:rPr>
        <w:t xml:space="preserve">excess pipeline capacity to flow additional gas to non-firm customers – the regional power generators. The regional </w:t>
      </w:r>
      <w:r w:rsidR="00EE18F6">
        <w:rPr>
          <w:rFonts w:eastAsia="Times New Roman" w:cs="NeueHaasGroteskText Std"/>
          <w:color w:val="000000"/>
          <w:szCs w:val="24"/>
        </w:rPr>
        <w:t>natural gas</w:t>
      </w:r>
      <w:r w:rsidRPr="00496814">
        <w:rPr>
          <w:rFonts w:eastAsia="Times New Roman" w:cs="NeueHaasGroteskText Std"/>
          <w:color w:val="000000"/>
          <w:szCs w:val="24"/>
        </w:rPr>
        <w:t xml:space="preserve"> grid was never designed nor funded to supply the coincidental winter demands of both the gas and electric sectors. That being said, the </w:t>
      </w:r>
      <w:r w:rsidR="00EE18F6">
        <w:rPr>
          <w:rFonts w:eastAsia="Times New Roman" w:cs="NeueHaasGroteskText Std"/>
          <w:color w:val="000000"/>
          <w:szCs w:val="24"/>
        </w:rPr>
        <w:t>natural gas</w:t>
      </w:r>
      <w:r w:rsidRPr="00496814">
        <w:rPr>
          <w:rFonts w:eastAsia="Times New Roman" w:cs="NeueHaasGroteskText Std"/>
          <w:color w:val="000000"/>
          <w:szCs w:val="24"/>
        </w:rPr>
        <w:t xml:space="preserve"> system into and within New England is not </w:t>
      </w:r>
      <w:r w:rsidR="004A5532">
        <w:rPr>
          <w:rFonts w:eastAsia="Times New Roman" w:cs="NeueHaasGroteskText Std"/>
          <w:color w:val="000000"/>
          <w:szCs w:val="24"/>
        </w:rPr>
        <w:t xml:space="preserve">considered </w:t>
      </w:r>
      <w:r w:rsidRPr="00496814">
        <w:rPr>
          <w:rFonts w:eastAsia="Times New Roman" w:cs="NeueHaasGroteskText Std"/>
          <w:color w:val="000000"/>
          <w:szCs w:val="24"/>
        </w:rPr>
        <w:t xml:space="preserve">constrained because it satisfies the transportation requirements of all firm contract customers.  </w:t>
      </w:r>
    </w:p>
    <w:p w:rsidR="00496814" w:rsidRPr="00496814" w:rsidRDefault="00496814" w:rsidP="00496814">
      <w:pPr>
        <w:spacing w:after="120" w:line="240" w:lineRule="auto"/>
        <w:ind w:left="720"/>
        <w:rPr>
          <w:color w:val="000000"/>
        </w:rPr>
      </w:pPr>
      <w:r w:rsidRPr="00496814">
        <w:rPr>
          <w:rFonts w:cs="Arial"/>
          <w:color w:val="000000"/>
        </w:rPr>
        <w:t xml:space="preserve">As of the Northeast Gas Association’s (NGA) </w:t>
      </w:r>
      <w:r w:rsidR="00510D72">
        <w:rPr>
          <w:rFonts w:cs="Arial"/>
          <w:color w:val="000000"/>
        </w:rPr>
        <w:t>June 2021</w:t>
      </w:r>
      <w:r w:rsidRPr="00496814">
        <w:rPr>
          <w:rFonts w:cs="Arial"/>
          <w:color w:val="000000"/>
        </w:rPr>
        <w:t xml:space="preserve"> quarterly update to their </w:t>
      </w:r>
      <w:r w:rsidRPr="00496814">
        <w:rPr>
          <w:rFonts w:cs="Arial"/>
          <w:i/>
          <w:color w:val="000000"/>
        </w:rPr>
        <w:t>Proposed Pipeline System Enhancements</w:t>
      </w:r>
      <w:r w:rsidRPr="00496814">
        <w:rPr>
          <w:rFonts w:cs="Arial"/>
          <w:color w:val="000000"/>
        </w:rPr>
        <w:t xml:space="preserve"> list, there are only </w:t>
      </w:r>
      <w:r w:rsidR="00813FAA">
        <w:rPr>
          <w:color w:val="000000"/>
        </w:rPr>
        <w:t>two</w:t>
      </w:r>
      <w:r w:rsidR="00813FAA" w:rsidRPr="00496814">
        <w:rPr>
          <w:color w:val="000000"/>
        </w:rPr>
        <w:t xml:space="preserve"> </w:t>
      </w:r>
      <w:r w:rsidRPr="00496814">
        <w:rPr>
          <w:color w:val="000000"/>
        </w:rPr>
        <w:t>relatively small projects that would benefit New England – the Portland Natural Gas Transmission System Westbrook X</w:t>
      </w:r>
      <w:r w:rsidR="00813FAA" w:rsidRPr="00496814">
        <w:rPr>
          <w:color w:val="000000"/>
        </w:rPr>
        <w:t>p</w:t>
      </w:r>
      <w:r w:rsidRPr="00496814">
        <w:rPr>
          <w:color w:val="000000"/>
        </w:rPr>
        <w:t>ress</w:t>
      </w:r>
      <w:r w:rsidR="00813FAA">
        <w:rPr>
          <w:color w:val="000000"/>
        </w:rPr>
        <w:t xml:space="preserve"> and</w:t>
      </w:r>
      <w:r w:rsidRPr="00496814">
        <w:rPr>
          <w:color w:val="000000"/>
        </w:rPr>
        <w:t xml:space="preserve"> Tennessee Gas Pipeline Station 261.</w:t>
      </w:r>
      <w:r w:rsidRPr="00496814">
        <w:rPr>
          <w:color w:val="000000"/>
          <w:vertAlign w:val="superscript"/>
        </w:rPr>
        <w:footnoteReference w:id="63"/>
      </w:r>
      <w:r w:rsidRPr="00496814">
        <w:rPr>
          <w:color w:val="000000"/>
        </w:rPr>
        <w:t xml:space="preserve">  </w:t>
      </w:r>
    </w:p>
    <w:p w:rsidR="00496814" w:rsidRPr="00496814" w:rsidRDefault="00496814" w:rsidP="00496814">
      <w:pPr>
        <w:spacing w:after="120" w:line="240" w:lineRule="auto"/>
        <w:ind w:left="720"/>
      </w:pPr>
      <w:r w:rsidRPr="00496814">
        <w:t xml:space="preserve">The region relies on </w:t>
      </w:r>
      <w:r w:rsidR="00EE18F6">
        <w:t>natural gas</w:t>
      </w:r>
      <w:r w:rsidRPr="00496814">
        <w:t xml:space="preserve">-fired generators to continuously balance supply with demand. This reliance will only increase with </w:t>
      </w:r>
      <w:r w:rsidR="000053F4">
        <w:t xml:space="preserve">the </w:t>
      </w:r>
      <w:r w:rsidRPr="00496814">
        <w:t xml:space="preserve">addition of </w:t>
      </w:r>
      <w:r w:rsidR="000053F4">
        <w:t xml:space="preserve">more </w:t>
      </w:r>
      <w:r w:rsidRPr="00496814">
        <w:t>variable renewable resources. T</w:t>
      </w:r>
      <w:r w:rsidRPr="00496814">
        <w:rPr>
          <w:rFonts w:cs="Arial"/>
          <w:color w:val="000000"/>
        </w:rPr>
        <w:t xml:space="preserve">he gas pipelines serving New England </w:t>
      </w:r>
      <w:r w:rsidR="004A5532">
        <w:rPr>
          <w:rFonts w:cs="Arial"/>
          <w:color w:val="000000"/>
        </w:rPr>
        <w:t>are utilized</w:t>
      </w:r>
      <w:r w:rsidRPr="00496814">
        <w:rPr>
          <w:rFonts w:cs="Arial"/>
          <w:color w:val="000000"/>
        </w:rPr>
        <w:t xml:space="preserve"> year-round, due to firm winter gas demands from </w:t>
      </w:r>
      <w:r w:rsidRPr="00496814">
        <w:rPr>
          <w:rFonts w:cs="NeueHaasGroteskText Std"/>
          <w:color w:val="000000"/>
        </w:rPr>
        <w:t>residential, commercial and industrial sectors</w:t>
      </w:r>
      <w:r w:rsidR="00B107E5">
        <w:rPr>
          <w:rFonts w:cs="NeueHaasGroteskText Std"/>
          <w:color w:val="000000"/>
        </w:rPr>
        <w:t>’</w:t>
      </w:r>
      <w:r w:rsidRPr="00496814">
        <w:rPr>
          <w:rFonts w:cs="Arial"/>
          <w:color w:val="000000"/>
        </w:rPr>
        <w:t xml:space="preserve"> gas customers and, during the off-season, flowing gas to (non-firm) gas-fired power generation. To assist in understanding the gas infrastructure that serves New England generators, t</w:t>
      </w:r>
      <w:r w:rsidRPr="00496814">
        <w:t xml:space="preserve">he ISO maintains a </w:t>
      </w:r>
      <w:hyperlink r:id="rId159" w:history="1">
        <w:r w:rsidRPr="00726DA4">
          <w:rPr>
            <w:rStyle w:val="Hyperlink"/>
          </w:rPr>
          <w:t>pipeline diagram</w:t>
        </w:r>
      </w:hyperlink>
      <w:r w:rsidRPr="00496814">
        <w:t xml:space="preserve"> and related information on its website.</w:t>
      </w:r>
      <w:r w:rsidRPr="00496814" w:rsidDel="00A24240">
        <w:rPr>
          <w:vertAlign w:val="superscript"/>
        </w:rPr>
        <w:t xml:space="preserve"> </w:t>
      </w:r>
    </w:p>
    <w:p w:rsidR="00496814" w:rsidRPr="00496814" w:rsidRDefault="00496814" w:rsidP="00496814">
      <w:pPr>
        <w:spacing w:after="120" w:line="240" w:lineRule="auto"/>
        <w:ind w:left="720"/>
      </w:pPr>
      <w:r w:rsidRPr="00496814">
        <w:t xml:space="preserve"> </w:t>
      </w:r>
    </w:p>
    <w:p w:rsidR="00496814" w:rsidRPr="00496814" w:rsidRDefault="00496814" w:rsidP="002F1C44">
      <w:pPr>
        <w:numPr>
          <w:ilvl w:val="0"/>
          <w:numId w:val="44"/>
        </w:numPr>
        <w:spacing w:after="120" w:line="240" w:lineRule="auto"/>
        <w:rPr>
          <w:rFonts w:eastAsia="Times New Roman" w:cs="NeueHaasGroteskText Std"/>
          <w:color w:val="000000"/>
          <w:szCs w:val="24"/>
        </w:rPr>
      </w:pPr>
      <w:r w:rsidRPr="00496814">
        <w:rPr>
          <w:rFonts w:eastAsia="Times New Roman" w:cs="NeueHaasGroteskText Std"/>
          <w:b/>
          <w:color w:val="000000"/>
          <w:szCs w:val="24"/>
        </w:rPr>
        <w:t xml:space="preserve">Fuel Oil </w:t>
      </w:r>
      <w:r w:rsidRPr="00496814">
        <w:rPr>
          <w:rFonts w:eastAsia="Times New Roman" w:cs="NeueHaasGroteskText Std"/>
          <w:color w:val="000000"/>
          <w:szCs w:val="24"/>
        </w:rPr>
        <w:t>– In the past, the</w:t>
      </w:r>
      <w:r w:rsidR="004A5532">
        <w:rPr>
          <w:rFonts w:eastAsia="Times New Roman" w:cs="NeueHaasGroteskText Std"/>
          <w:color w:val="000000"/>
          <w:szCs w:val="24"/>
        </w:rPr>
        <w:t>re was substantial</w:t>
      </w:r>
      <w:r w:rsidRPr="00496814">
        <w:rPr>
          <w:rFonts w:eastAsia="Times New Roman" w:cs="NeueHaasGroteskText Std"/>
          <w:color w:val="000000"/>
          <w:szCs w:val="24"/>
        </w:rPr>
        <w:t xml:space="preserve"> oil storage and delivery infrastructure in New England to satisfy the wintertime </w:t>
      </w:r>
      <w:r w:rsidRPr="00FF45B8">
        <w:rPr>
          <w:rFonts w:eastAsia="Times New Roman" w:cs="NeueHaasGroteskText Std"/>
          <w:color w:val="000000"/>
          <w:szCs w:val="24"/>
        </w:rPr>
        <w:t>coincidental</w:t>
      </w:r>
      <w:r w:rsidRPr="00496814">
        <w:rPr>
          <w:rFonts w:eastAsia="Times New Roman" w:cs="NeueHaasGroteskText Std"/>
          <w:color w:val="000000"/>
          <w:szCs w:val="24"/>
        </w:rPr>
        <w:t xml:space="preserve"> demands from the residential, commercial and industrial sectors and oil-fired, power generation sector. However, as the gas-fired fleet in New England began to dominate the fuel mix, oil- and coal- fired generation became uneconomic. Over time, both oil- and coal- fired generation went from base load to intermediate to peaking resources</w:t>
      </w:r>
      <w:r w:rsidR="00510D72">
        <w:rPr>
          <w:rFonts w:eastAsia="Times New Roman" w:cs="NeueHaasGroteskText Std"/>
          <w:color w:val="000000"/>
          <w:szCs w:val="24"/>
        </w:rPr>
        <w:t xml:space="preserve"> (despite </w:t>
      </w:r>
      <w:r w:rsidR="007C7000">
        <w:rPr>
          <w:rFonts w:eastAsia="Times New Roman" w:cs="NeueHaasGroteskText Std"/>
          <w:color w:val="000000"/>
          <w:szCs w:val="24"/>
        </w:rPr>
        <w:t xml:space="preserve">their </w:t>
      </w:r>
      <w:r w:rsidR="00510D72">
        <w:rPr>
          <w:rFonts w:eastAsia="Times New Roman" w:cs="NeueHaasGroteskText Std"/>
          <w:color w:val="000000"/>
          <w:szCs w:val="24"/>
        </w:rPr>
        <w:t>original inten</w:t>
      </w:r>
      <w:r w:rsidR="004A5532">
        <w:rPr>
          <w:rFonts w:eastAsia="Times New Roman" w:cs="NeueHaasGroteskText Std"/>
          <w:color w:val="000000"/>
          <w:szCs w:val="24"/>
        </w:rPr>
        <w:t>ded</w:t>
      </w:r>
      <w:r w:rsidR="00510D72">
        <w:rPr>
          <w:rFonts w:eastAsia="Times New Roman" w:cs="NeueHaasGroteskText Std"/>
          <w:color w:val="000000"/>
          <w:szCs w:val="24"/>
        </w:rPr>
        <w:t xml:space="preserve"> classification)</w:t>
      </w:r>
      <w:r w:rsidRPr="00496814">
        <w:rPr>
          <w:rFonts w:eastAsia="Times New Roman" w:cs="NeueHaasGroteskText Std"/>
          <w:color w:val="000000"/>
          <w:szCs w:val="24"/>
        </w:rPr>
        <w:t xml:space="preserve">, </w:t>
      </w:r>
      <w:r w:rsidR="0058675F">
        <w:rPr>
          <w:rFonts w:eastAsia="Times New Roman" w:cs="NeueHaasGroteskText Std"/>
          <w:color w:val="000000"/>
          <w:szCs w:val="24"/>
        </w:rPr>
        <w:t xml:space="preserve">because they are being </w:t>
      </w:r>
      <w:r w:rsidRPr="00496814">
        <w:rPr>
          <w:rFonts w:eastAsia="Times New Roman" w:cs="NeueHaasGroteskText Std"/>
          <w:color w:val="000000"/>
          <w:szCs w:val="24"/>
        </w:rPr>
        <w:t xml:space="preserve">used during summer to satisfy peak electrical demands and during winter as a backup for gas-fired generation. The capacity factors of the regional oil fleet plummeted to historic lows. Correspondingly, the regional oil infrastructure went </w:t>
      </w:r>
      <w:r w:rsidR="002514A4" w:rsidRPr="00496814">
        <w:rPr>
          <w:rFonts w:eastAsia="Times New Roman" w:cs="NeueHaasGroteskText Std"/>
          <w:color w:val="000000"/>
          <w:szCs w:val="24"/>
        </w:rPr>
        <w:t>from high</w:t>
      </w:r>
      <w:r w:rsidRPr="00496814">
        <w:rPr>
          <w:rFonts w:eastAsia="Times New Roman" w:cs="NeueHaasGroteskText Std"/>
          <w:color w:val="000000"/>
          <w:szCs w:val="24"/>
        </w:rPr>
        <w:t xml:space="preserve"> to low utilization, and </w:t>
      </w:r>
      <w:r w:rsidR="0058675F">
        <w:rPr>
          <w:rFonts w:eastAsia="Times New Roman" w:cs="NeueHaasGroteskText Std"/>
          <w:color w:val="000000"/>
          <w:szCs w:val="24"/>
        </w:rPr>
        <w:t>with a reduction in</w:t>
      </w:r>
      <w:r w:rsidR="00110D9A" w:rsidRPr="00496814">
        <w:rPr>
          <w:rFonts w:eastAsia="Times New Roman" w:cs="NeueHaasGroteskText Std"/>
          <w:color w:val="000000"/>
          <w:szCs w:val="24"/>
        </w:rPr>
        <w:t xml:space="preserve"> </w:t>
      </w:r>
      <w:r w:rsidRPr="00496814">
        <w:rPr>
          <w:rFonts w:eastAsia="Times New Roman" w:cs="NeueHaasGroteskText Std"/>
          <w:color w:val="000000"/>
          <w:szCs w:val="24"/>
        </w:rPr>
        <w:t>its support infrastructure along the way.</w:t>
      </w:r>
    </w:p>
    <w:p w:rsidR="00496814" w:rsidRPr="00496814" w:rsidRDefault="00496814" w:rsidP="00496814">
      <w:pPr>
        <w:spacing w:after="120" w:line="240" w:lineRule="auto"/>
        <w:ind w:left="720"/>
        <w:rPr>
          <w:rFonts w:eastAsia="Times New Roman" w:cs="NeueHaasGroteskText Std"/>
          <w:color w:val="000000"/>
          <w:szCs w:val="24"/>
        </w:rPr>
      </w:pPr>
      <w:r w:rsidRPr="00496814">
        <w:rPr>
          <w:rFonts w:eastAsia="Times New Roman" w:cs="NeueHaasGroteskText Std"/>
          <w:color w:val="000000"/>
          <w:szCs w:val="24"/>
        </w:rPr>
        <w:t xml:space="preserve">Today, the primary customer </w:t>
      </w:r>
      <w:r w:rsidR="0055434C">
        <w:rPr>
          <w:rFonts w:eastAsia="Times New Roman" w:cs="NeueHaasGroteskText Std"/>
          <w:color w:val="000000"/>
          <w:szCs w:val="24"/>
        </w:rPr>
        <w:t>for</w:t>
      </w:r>
      <w:r w:rsidRPr="00496814">
        <w:rPr>
          <w:rFonts w:eastAsia="Times New Roman" w:cs="NeueHaasGroteskText Std"/>
          <w:color w:val="000000"/>
          <w:szCs w:val="24"/>
        </w:rPr>
        <w:t xml:space="preserve"> fuel-oil is the </w:t>
      </w:r>
      <w:r w:rsidR="00510290">
        <w:rPr>
          <w:rFonts w:eastAsia="Times New Roman" w:cs="NeueHaasGroteskText Std"/>
          <w:color w:val="000000"/>
          <w:szCs w:val="24"/>
        </w:rPr>
        <w:t>Residential, Commercial and Industrial (</w:t>
      </w:r>
      <w:r w:rsidRPr="00496814">
        <w:rPr>
          <w:rFonts w:eastAsia="Times New Roman" w:cs="NeueHaasGroteskText Std"/>
          <w:color w:val="000000"/>
          <w:szCs w:val="24"/>
        </w:rPr>
        <w:t>RCI</w:t>
      </w:r>
      <w:r w:rsidR="00510290">
        <w:rPr>
          <w:rFonts w:eastAsia="Times New Roman" w:cs="NeueHaasGroteskText Std"/>
          <w:color w:val="000000"/>
          <w:szCs w:val="24"/>
        </w:rPr>
        <w:t>)</w:t>
      </w:r>
      <w:r w:rsidRPr="00496814">
        <w:rPr>
          <w:rFonts w:eastAsia="Times New Roman" w:cs="NeueHaasGroteskText Std"/>
          <w:color w:val="000000"/>
          <w:szCs w:val="24"/>
        </w:rPr>
        <w:t xml:space="preserve"> sector. However, during severe cold snaps and prolonged cold spells, ISO-NE’s dispatch of oil-fired generation to replace unavailable gas-fired capacity quickly </w:t>
      </w:r>
      <w:r w:rsidR="0058675F">
        <w:rPr>
          <w:rFonts w:eastAsia="Times New Roman" w:cs="NeueHaasGroteskText Std"/>
          <w:color w:val="000000"/>
          <w:szCs w:val="24"/>
        </w:rPr>
        <w:t>increases</w:t>
      </w:r>
      <w:r w:rsidRPr="00496814">
        <w:rPr>
          <w:rFonts w:eastAsia="Times New Roman" w:cs="NeueHaasGroteskText Std"/>
          <w:color w:val="000000"/>
          <w:szCs w:val="24"/>
        </w:rPr>
        <w:t xml:space="preserve"> the region’s liquid-fuel needs. Trying to coincidentally serve the demands of both sectors quickly reduces locally-stored oil inventories, and resupply is limited by the diminished fleet of oil tankers, barges, trains, and trucks serving the region. </w:t>
      </w:r>
      <w:r w:rsidRPr="00496814">
        <w:rPr>
          <w:rFonts w:eastAsia="Times New Roman" w:cs="Arial"/>
          <w:color w:val="000000"/>
          <w:szCs w:val="24"/>
        </w:rPr>
        <w:t>To assist in understanding the oil-delivery arrangement</w:t>
      </w:r>
      <w:r w:rsidR="0055434C">
        <w:rPr>
          <w:rFonts w:eastAsia="Times New Roman" w:cs="Arial"/>
          <w:color w:val="000000"/>
          <w:szCs w:val="24"/>
        </w:rPr>
        <w:t>s</w:t>
      </w:r>
      <w:r w:rsidRPr="00496814">
        <w:rPr>
          <w:rFonts w:eastAsia="Times New Roman" w:cs="Arial"/>
          <w:color w:val="000000"/>
          <w:szCs w:val="24"/>
        </w:rPr>
        <w:t xml:space="preserve"> that serve New England generators, t</w:t>
      </w:r>
      <w:r w:rsidRPr="00496814">
        <w:rPr>
          <w:rFonts w:eastAsia="Times New Roman"/>
          <w:szCs w:val="24"/>
        </w:rPr>
        <w:t xml:space="preserve">he ISO maintains </w:t>
      </w:r>
      <w:hyperlink r:id="rId160" w:history="1">
        <w:r w:rsidRPr="00726DA4">
          <w:rPr>
            <w:rStyle w:val="Hyperlink"/>
          </w:rPr>
          <w:t>oil infrastructure diagrams</w:t>
        </w:r>
      </w:hyperlink>
      <w:r w:rsidRPr="00496814">
        <w:rPr>
          <w:rFonts w:eastAsia="Times New Roman"/>
          <w:szCs w:val="24"/>
        </w:rPr>
        <w:t xml:space="preserve"> and related information on its website.</w:t>
      </w:r>
    </w:p>
    <w:p w:rsidR="00496814" w:rsidRPr="00496814" w:rsidRDefault="00496814" w:rsidP="00496814">
      <w:pPr>
        <w:spacing w:after="120" w:line="240" w:lineRule="auto"/>
        <w:ind w:left="720"/>
        <w:rPr>
          <w:rFonts w:cs="Arial"/>
          <w:color w:val="000000"/>
        </w:rPr>
      </w:pPr>
      <w:r w:rsidRPr="00496814">
        <w:rPr>
          <w:rFonts w:cs="NeueHaasGroteskText Std"/>
          <w:color w:val="000000"/>
        </w:rPr>
        <w:t>Resupply of liquid fuels from either the refineries in New Brunswick or New Jersey, the oil storage terminals in and around New York harbor, or destination-free cargoes from Europe, all take time to occur and can also be delayed by mariti</w:t>
      </w:r>
      <w:r w:rsidR="0058675F">
        <w:rPr>
          <w:rFonts w:cs="NeueHaasGroteskText Std"/>
          <w:color w:val="000000"/>
        </w:rPr>
        <w:t xml:space="preserve">me weather. During coincident </w:t>
      </w:r>
      <w:r w:rsidRPr="00496814">
        <w:rPr>
          <w:rFonts w:cs="NeueHaasGroteskText Std"/>
          <w:color w:val="000000"/>
        </w:rPr>
        <w:t>peak winter demand, regional oil suppliers must choose where their oil resupplies will go, to either their primary, year-round firm RCI customer</w:t>
      </w:r>
      <w:r w:rsidR="0055434C">
        <w:rPr>
          <w:rFonts w:cs="NeueHaasGroteskText Std"/>
          <w:color w:val="000000"/>
        </w:rPr>
        <w:t>s</w:t>
      </w:r>
      <w:r w:rsidRPr="00496814">
        <w:rPr>
          <w:rFonts w:cs="NeueHaasGroteskText Std"/>
          <w:color w:val="000000"/>
        </w:rPr>
        <w:t xml:space="preserve"> or the power sector, </w:t>
      </w:r>
      <w:r w:rsidR="00E23976">
        <w:rPr>
          <w:rFonts w:cs="NeueHaasGroteskText Std"/>
          <w:color w:val="000000"/>
        </w:rPr>
        <w:t>which</w:t>
      </w:r>
      <w:r w:rsidR="00E23976" w:rsidRPr="00496814">
        <w:rPr>
          <w:rFonts w:cs="NeueHaasGroteskText Std"/>
          <w:color w:val="000000"/>
        </w:rPr>
        <w:t xml:space="preserve"> </w:t>
      </w:r>
      <w:r w:rsidRPr="00496814">
        <w:rPr>
          <w:rFonts w:cs="NeueHaasGroteskText Std"/>
          <w:color w:val="000000"/>
        </w:rPr>
        <w:t xml:space="preserve">has purchased fuel </w:t>
      </w:r>
      <w:r w:rsidR="0058675F">
        <w:rPr>
          <w:rFonts w:cs="NeueHaasGroteskText Std"/>
          <w:color w:val="000000"/>
        </w:rPr>
        <w:t xml:space="preserve">only sporadically </w:t>
      </w:r>
      <w:r w:rsidRPr="00496814">
        <w:rPr>
          <w:rFonts w:cs="NeueHaasGroteskText Std"/>
          <w:color w:val="000000"/>
        </w:rPr>
        <w:t xml:space="preserve">across the year. </w:t>
      </w:r>
    </w:p>
    <w:p w:rsidR="00496814" w:rsidRPr="00496814" w:rsidRDefault="00496814" w:rsidP="00496814">
      <w:pPr>
        <w:spacing w:after="120" w:line="240" w:lineRule="auto"/>
      </w:pPr>
      <w:r w:rsidRPr="00496814">
        <w:rPr>
          <w:rFonts w:cs="Arial"/>
          <w:color w:val="000000"/>
        </w:rPr>
        <w:t xml:space="preserve">ISO New England and its stakeholders continue to </w:t>
      </w:r>
      <w:r w:rsidR="0055434C">
        <w:rPr>
          <w:rFonts w:cs="Arial"/>
          <w:color w:val="000000"/>
        </w:rPr>
        <w:t xml:space="preserve">focus </w:t>
      </w:r>
      <w:r w:rsidRPr="00496814">
        <w:rPr>
          <w:rFonts w:cs="Arial"/>
          <w:color w:val="000000"/>
        </w:rPr>
        <w:t xml:space="preserve">on improving </w:t>
      </w:r>
      <w:hyperlink r:id="rId161" w:history="1">
        <w:r w:rsidRPr="00726DA4">
          <w:rPr>
            <w:rStyle w:val="Hyperlink"/>
          </w:rPr>
          <w:t>winter energy security</w:t>
        </w:r>
      </w:hyperlink>
      <w:r w:rsidRPr="00496814">
        <w:rPr>
          <w:rFonts w:cs="Arial"/>
          <w:color w:val="000000"/>
        </w:rPr>
        <w:t xml:space="preserve"> in the region</w:t>
      </w:r>
      <w:r w:rsidR="0055434C">
        <w:rPr>
          <w:rFonts w:cs="Arial"/>
          <w:color w:val="000000"/>
        </w:rPr>
        <w:t>.</w:t>
      </w:r>
      <w:r w:rsidRPr="00496814">
        <w:rPr>
          <w:rFonts w:cs="Arial"/>
          <w:color w:val="000000"/>
        </w:rPr>
        <w:t xml:space="preserve"> Multiple solution paths are being considered. </w:t>
      </w:r>
      <w:r w:rsidRPr="00496814">
        <w:t xml:space="preserve">In addition to developing market-based solutions to address the winter energy security issues, ISO-NE also understands that portions of these core reliability concerns can manifest year-round, thus translating into “generic” energy production/security issues at any time. </w:t>
      </w:r>
    </w:p>
    <w:p w:rsidR="00496814" w:rsidRPr="00496814" w:rsidRDefault="00496814" w:rsidP="00496814">
      <w:pPr>
        <w:spacing w:after="120" w:line="240" w:lineRule="auto"/>
      </w:pPr>
      <w:r w:rsidRPr="00496814">
        <w:t xml:space="preserve">Energy adequacy, especially during periods of extreme weather events, remains a top concern when considering </w:t>
      </w:r>
      <w:r w:rsidR="007C7000">
        <w:t xml:space="preserve">the </w:t>
      </w:r>
      <w:r w:rsidRPr="00496814">
        <w:t>reliability of the New England system over the planning horizon.</w:t>
      </w:r>
      <w:r w:rsidRPr="00496814">
        <w:rPr>
          <w:vertAlign w:val="superscript"/>
        </w:rPr>
        <w:footnoteReference w:id="64"/>
      </w:r>
      <w:r w:rsidRPr="00496814">
        <w:t xml:space="preserve"> Significant co-dependencies exist between the electric system and </w:t>
      </w:r>
      <w:r w:rsidR="0055434C">
        <w:t xml:space="preserve">the </w:t>
      </w:r>
      <w:r w:rsidRPr="00496814">
        <w:t xml:space="preserve">gas-distribution system. </w:t>
      </w:r>
      <w:r w:rsidR="00EE18F6">
        <w:t>Natural gas</w:t>
      </w:r>
      <w:r w:rsidRPr="00496814">
        <w:t xml:space="preserve">-based generation technologies rely on the “just-in-time” delivery of their fuel. This may be problematic, especially during times of extreme weather events or extended durations of unexpected weather. To address this concern, the ISO and its stakeholders have been discussing ways to improve energy security through the wholesale markets. The ISO’s planned work to advance </w:t>
      </w:r>
      <w:hyperlink r:id="rId162" w:history="1">
        <w:r w:rsidRPr="00726DA4">
          <w:rPr>
            <w:rStyle w:val="Hyperlink"/>
          </w:rPr>
          <w:t>Energy Security Improvements</w:t>
        </w:r>
      </w:hyperlink>
      <w:r w:rsidRPr="00496814">
        <w:t xml:space="preserve"> (ESI) was contingent on FERC’s response to the ISO’s </w:t>
      </w:r>
      <w:hyperlink r:id="rId163" w:history="1">
        <w:r w:rsidRPr="00726DA4">
          <w:rPr>
            <w:rStyle w:val="Hyperlink"/>
          </w:rPr>
          <w:t>ESI filing</w:t>
        </w:r>
      </w:hyperlink>
      <w:r w:rsidRPr="00496814">
        <w:t xml:space="preserve">, which FERC rejected on </w:t>
      </w:r>
      <w:hyperlink r:id="rId164" w:history="1">
        <w:r w:rsidRPr="00726DA4">
          <w:rPr>
            <w:rStyle w:val="Hyperlink"/>
          </w:rPr>
          <w:t>October 30, 2020</w:t>
        </w:r>
      </w:hyperlink>
      <w:r w:rsidRPr="00496814">
        <w:t>. The ISO understands FERC’s rejection of ESI was a result of several concerns, including:</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 lack of clear continuing evidence of fuel-based reliability risks (esp. in the Impact Analysis) </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High potential total costs, relative to the benefits </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Absence of a mitigation proposal and </w:t>
      </w:r>
      <w:r w:rsidR="0055434C">
        <w:rPr>
          <w:rFonts w:eastAsia="Times New Roman"/>
          <w:szCs w:val="24"/>
        </w:rPr>
        <w:t xml:space="preserve">supporting </w:t>
      </w:r>
      <w:r w:rsidRPr="00496814">
        <w:rPr>
          <w:rFonts w:eastAsia="Times New Roman"/>
          <w:szCs w:val="24"/>
        </w:rPr>
        <w:t>analysis</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 desire for a forward procurement component </w:t>
      </w:r>
    </w:p>
    <w:p w:rsidR="00496814" w:rsidRPr="00496814" w:rsidRDefault="00496814" w:rsidP="00496814">
      <w:pPr>
        <w:spacing w:after="120" w:line="240" w:lineRule="auto"/>
      </w:pPr>
    </w:p>
    <w:p w:rsidR="00496814" w:rsidRPr="00496814" w:rsidRDefault="00496814" w:rsidP="00496814">
      <w:pPr>
        <w:spacing w:after="120" w:line="240" w:lineRule="auto"/>
        <w:rPr>
          <w:rFonts w:cs="Arial"/>
          <w:color w:val="000000"/>
        </w:rPr>
      </w:pPr>
      <w:r w:rsidRPr="00496814">
        <w:t xml:space="preserve">Consequently, ESI is on hold and the ISO will be revisiting solutions in 2022. This </w:t>
      </w:r>
      <w:r w:rsidR="0058675F">
        <w:t>delay is a concern</w:t>
      </w:r>
      <w:r w:rsidRPr="00496814">
        <w:t xml:space="preserve"> given the potential to experience high demand on the power system during an extreme cold weather event and </w:t>
      </w:r>
      <w:r w:rsidR="0055434C" w:rsidRPr="00496814">
        <w:t xml:space="preserve">simultaneously </w:t>
      </w:r>
      <w:r w:rsidRPr="00496814">
        <w:t xml:space="preserve">lose energy production from both gas-fired and renewable resources. While tail-risk events may be infrequent, their operational impacts are </w:t>
      </w:r>
      <w:r w:rsidR="00591DD5">
        <w:t xml:space="preserve">very </w:t>
      </w:r>
      <w:r w:rsidRPr="00496814">
        <w:t>significant and must be adequately assessed and understood. When considering extreme-weather events, transmission owners and the ISO have also begun to consider how major storms and increases in sea level are factored into assessments of transmission upgrades for regional cost allocation. The ISO will initiate a regional study effort in late 2021 centering on tail-risk events.</w:t>
      </w:r>
      <w:r w:rsidR="0058675F">
        <w:rPr>
          <w:rStyle w:val="FootnoteReference"/>
        </w:rPr>
        <w:footnoteReference w:id="65"/>
      </w:r>
      <w:r w:rsidRPr="00496814">
        <w:t xml:space="preserve"> The study process will focus initially on understanding the modeling approaches to quantifying such extreme risks and subsequently understanding if the region should </w:t>
      </w:r>
      <w:r w:rsidR="0055434C">
        <w:t xml:space="preserve">better </w:t>
      </w:r>
      <w:r w:rsidRPr="00496814">
        <w:t xml:space="preserve">protect against these risks. If the region chooses to </w:t>
      </w:r>
      <w:r w:rsidR="0055434C">
        <w:t xml:space="preserve">increase </w:t>
      </w:r>
      <w:r w:rsidR="002514A4" w:rsidRPr="00496814">
        <w:t>protect</w:t>
      </w:r>
      <w:r w:rsidR="002514A4">
        <w:t>ion</w:t>
      </w:r>
      <w:r w:rsidRPr="00496814">
        <w:t xml:space="preserve"> against such events, together with the stakeholders, the ISO will determine how best to accomplish this</w:t>
      </w:r>
      <w:r w:rsidR="006C61B9">
        <w:t xml:space="preserve"> </w:t>
      </w:r>
      <w:r w:rsidRPr="00496814">
        <w:t>in a cost-effective manner.</w:t>
      </w:r>
    </w:p>
    <w:p w:rsidR="00496814" w:rsidRPr="00496814" w:rsidRDefault="00496814" w:rsidP="00496814">
      <w:pPr>
        <w:spacing w:after="120" w:line="240" w:lineRule="auto"/>
        <w:rPr>
          <w:rFonts w:cs="Arial"/>
          <w:color w:val="000000"/>
        </w:rPr>
      </w:pPr>
    </w:p>
    <w:p w:rsidR="00DB3A74" w:rsidRPr="00DB3A74" w:rsidRDefault="00DB3A74" w:rsidP="0008531A">
      <w:pPr>
        <w:pStyle w:val="Heading3"/>
        <w:rPr>
          <w:rFonts w:eastAsia="Times New Roman"/>
        </w:rPr>
      </w:pPr>
      <w:bookmarkStart w:id="451" w:name="_Toc490323035"/>
      <w:bookmarkStart w:id="452" w:name="_Toc481053269"/>
      <w:bookmarkStart w:id="453" w:name="_Toc429063403"/>
      <w:bookmarkStart w:id="454" w:name="_Toc396807630"/>
      <w:bookmarkStart w:id="455" w:name="_Toc365441000"/>
      <w:bookmarkStart w:id="456" w:name="_Toc303086385"/>
      <w:bookmarkStart w:id="457" w:name="_Toc271632227"/>
      <w:bookmarkStart w:id="458" w:name="_Toc239157072"/>
      <w:bookmarkStart w:id="459" w:name="_Ref231185835"/>
      <w:bookmarkStart w:id="460" w:name="_Toc334601036"/>
      <w:bookmarkStart w:id="461" w:name="_Ref327873597"/>
      <w:bookmarkStart w:id="462" w:name="_Toc81544532"/>
      <w:r w:rsidRPr="00DB3A74">
        <w:rPr>
          <w:rFonts w:eastAsia="Times New Roman"/>
        </w:rPr>
        <w:t>Summer and Winter Seasonal Claimed Capabilities of New England’s Generating</w:t>
      </w:r>
      <w:r w:rsidR="00DF213A">
        <w:rPr>
          <w:rFonts w:eastAsia="Times New Roman"/>
        </w:rPr>
        <w:t> </w:t>
      </w:r>
      <w:r w:rsidRPr="00DB3A74">
        <w:rPr>
          <w:rFonts w:eastAsia="Times New Roman"/>
        </w:rPr>
        <w:t>Resources</w:t>
      </w:r>
      <w:bookmarkEnd w:id="451"/>
      <w:bookmarkEnd w:id="452"/>
      <w:bookmarkEnd w:id="453"/>
      <w:bookmarkEnd w:id="454"/>
      <w:bookmarkEnd w:id="455"/>
      <w:bookmarkEnd w:id="456"/>
      <w:bookmarkEnd w:id="457"/>
      <w:bookmarkEnd w:id="458"/>
      <w:bookmarkEnd w:id="459"/>
      <w:bookmarkEnd w:id="460"/>
      <w:bookmarkEnd w:id="461"/>
      <w:bookmarkEnd w:id="462"/>
    </w:p>
    <w:p w:rsidR="00DB3A74" w:rsidRPr="00DB3A74" w:rsidRDefault="00D37EB1" w:rsidP="00DB3A74">
      <w:pPr>
        <w:keepNext/>
        <w:keepLines/>
        <w:rPr>
          <w:rFonts w:eastAsia="Calibri"/>
        </w:rPr>
      </w:pPr>
      <w:hyperlink w:anchor="Table_4_11" w:history="1">
        <w:r w:rsidR="00DB3A74" w:rsidRPr="00FB0619">
          <w:rPr>
            <w:rStyle w:val="Hyperlink"/>
            <w:rFonts w:eastAsia="Calibri"/>
          </w:rPr>
          <w:t>Table 4-11</w:t>
        </w:r>
      </w:hyperlink>
      <w:r w:rsidR="00DB3A74" w:rsidRPr="00DB3A74">
        <w:rPr>
          <w:rFonts w:eastAsia="Calibri"/>
        </w:rPr>
        <w:t xml:space="preserve"> shows the megawatt amount of summer and winter seasonal claimed capabilities of the </w:t>
      </w:r>
      <w:r w:rsidR="001249CF">
        <w:rPr>
          <w:rFonts w:eastAsia="Calibri"/>
        </w:rPr>
        <w:t>region</w:t>
      </w:r>
      <w:r w:rsidR="000053F4">
        <w:rPr>
          <w:rFonts w:eastAsia="Calibri"/>
        </w:rPr>
        <w:t>’</w:t>
      </w:r>
      <w:r w:rsidR="001249CF">
        <w:rPr>
          <w:rFonts w:eastAsia="Calibri"/>
        </w:rPr>
        <w:t xml:space="preserve">s </w:t>
      </w:r>
      <w:r w:rsidR="00DB3A74" w:rsidRPr="00DB3A74">
        <w:rPr>
          <w:rFonts w:eastAsia="Calibri"/>
        </w:rPr>
        <w:t xml:space="preserve">generating resources, both systemwide and for each load zone, categorized by the assumed operating classification of the resource design. </w:t>
      </w:r>
    </w:p>
    <w:p w:rsidR="00DB3A74" w:rsidRPr="00DB3A74" w:rsidRDefault="00DB3A74" w:rsidP="00DB3A74">
      <w:pPr>
        <w:keepNext/>
        <w:spacing w:after="120" w:line="240" w:lineRule="auto"/>
        <w:jc w:val="center"/>
        <w:rPr>
          <w:rFonts w:ascii="Calibri" w:eastAsia="Calibri" w:hAnsi="Calibri"/>
          <w:szCs w:val="18"/>
        </w:rPr>
      </w:pPr>
      <w:bookmarkStart w:id="463" w:name="Table_4_11"/>
      <w:bookmarkStart w:id="464" w:name="_Toc491244013"/>
      <w:bookmarkStart w:id="465" w:name="_Toc481053568"/>
      <w:bookmarkStart w:id="466" w:name="_Toc429063565"/>
      <w:bookmarkStart w:id="467" w:name="_Toc391985613"/>
      <w:bookmarkStart w:id="468" w:name="_Toc365440712"/>
      <w:r w:rsidRPr="00DB3A74">
        <w:rPr>
          <w:rFonts w:ascii="Calibri" w:eastAsia="Calibri" w:hAnsi="Calibri"/>
          <w:b/>
          <w:szCs w:val="18"/>
        </w:rPr>
        <w:t>Table 4-11</w:t>
      </w:r>
      <w:bookmarkEnd w:id="463"/>
      <w:r w:rsidRPr="00DB3A74">
        <w:rPr>
          <w:rFonts w:ascii="Calibri" w:eastAsia="Calibri" w:hAnsi="Calibri"/>
          <w:b/>
          <w:color w:val="EC1F25" w:themeColor="accent6"/>
          <w:szCs w:val="18"/>
        </w:rPr>
        <w:br/>
      </w:r>
      <w:r w:rsidRPr="00DB3A74">
        <w:rPr>
          <w:rFonts w:ascii="Calibri" w:eastAsia="Calibri" w:hAnsi="Calibri"/>
          <w:b/>
          <w:szCs w:val="18"/>
        </w:rPr>
        <w:t>Summer and Winter Seasonal Claimed Capabilities for ISO New England Generating Resources,</w:t>
      </w:r>
      <w:r w:rsidRPr="00DB3A74">
        <w:rPr>
          <w:rFonts w:ascii="Calibri" w:eastAsia="Calibri" w:hAnsi="Calibri"/>
          <w:b/>
          <w:szCs w:val="18"/>
        </w:rPr>
        <w:br/>
        <w:t>by Assumed Operating Classification, Systemwide and by Load Zone, 2021 in megawatts (MW)</w:t>
      </w:r>
      <w:bookmarkEnd w:id="464"/>
      <w:bookmarkEnd w:id="465"/>
      <w:bookmarkEnd w:id="466"/>
      <w:bookmarkEnd w:id="467"/>
      <w:bookmarkEnd w:id="468"/>
      <w:r w:rsidRPr="00DB3A74">
        <w:rPr>
          <w:rFonts w:ascii="Calibri" w:eastAsia="Calibri" w:hAnsi="Calibri"/>
          <w:b/>
          <w:szCs w:val="18"/>
          <w:vertAlign w:val="superscript"/>
        </w:rPr>
        <w:t>(a)</w:t>
      </w:r>
    </w:p>
    <w:tbl>
      <w:tblPr>
        <w:tblW w:w="61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6"/>
        <w:gridCol w:w="1314"/>
        <w:gridCol w:w="1334"/>
        <w:gridCol w:w="1071"/>
        <w:gridCol w:w="59"/>
        <w:gridCol w:w="1353"/>
      </w:tblGrid>
      <w:tr w:rsidR="00DB3A74" w:rsidRPr="00DB3A74" w:rsidTr="00DB3A74">
        <w:trPr>
          <w:trHeight w:val="607"/>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Load Zone</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Baseload</w:t>
            </w:r>
            <w:r w:rsidRPr="00DB3A74">
              <w:rPr>
                <w:rFonts w:ascii="Calibri" w:eastAsia="Calibri" w:hAnsi="Calibri" w:cs="Calibri"/>
                <w:b/>
                <w:bCs/>
                <w:color w:val="FFFFFF"/>
                <w:sz w:val="18"/>
                <w:szCs w:val="18"/>
                <w:vertAlign w:val="superscript"/>
              </w:rPr>
              <w:t>(b)</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Intermediate</w:t>
            </w:r>
            <w:r w:rsidRPr="00DB3A74">
              <w:rPr>
                <w:rFonts w:ascii="Calibri" w:eastAsia="Calibri" w:hAnsi="Calibri" w:cs="Calibri"/>
                <w:b/>
                <w:bCs/>
                <w:color w:val="FFFFFF"/>
                <w:sz w:val="18"/>
                <w:szCs w:val="18"/>
                <w:vertAlign w:val="superscript"/>
              </w:rPr>
              <w:t>(c)</w:t>
            </w:r>
          </w:p>
        </w:tc>
        <w:tc>
          <w:tcPr>
            <w:tcW w:w="1071"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Peaking</w:t>
            </w:r>
            <w:r w:rsidRPr="00DB3A74">
              <w:rPr>
                <w:rFonts w:ascii="Calibri" w:eastAsia="Calibri" w:hAnsi="Calibri" w:cs="Calibri"/>
                <w:b/>
                <w:bCs/>
                <w:color w:val="FFFFFF"/>
                <w:sz w:val="18"/>
                <w:szCs w:val="18"/>
                <w:vertAlign w:val="superscript"/>
              </w:rPr>
              <w:t>(d)</w:t>
            </w:r>
          </w:p>
        </w:tc>
        <w:tc>
          <w:tcPr>
            <w:tcW w:w="1412"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Variable Energy</w:t>
            </w:r>
            <w:r w:rsidRPr="00DB3A74">
              <w:rPr>
                <w:rFonts w:ascii="Calibri" w:eastAsia="Calibri" w:hAnsi="Calibri" w:cs="Calibri"/>
                <w:b/>
                <w:bCs/>
                <w:color w:val="FFFFFF"/>
                <w:sz w:val="18"/>
                <w:szCs w:val="18"/>
                <w:vertAlign w:val="superscript"/>
              </w:rPr>
              <w:t>(e)</w:t>
            </w:r>
          </w:p>
        </w:tc>
      </w:tr>
      <w:tr w:rsidR="00DB3A74" w:rsidRPr="00DB3A74" w:rsidTr="00DB3A74">
        <w:trPr>
          <w:trHeight w:val="270"/>
          <w:jc w:val="center"/>
        </w:trPr>
        <w:tc>
          <w:tcPr>
            <w:tcW w:w="6117" w:type="dxa"/>
            <w:gridSpan w:val="6"/>
            <w:tcBorders>
              <w:top w:val="single" w:sz="2" w:space="0" w:color="auto"/>
              <w:left w:val="single" w:sz="2" w:space="0" w:color="auto"/>
              <w:bottom w:val="single" w:sz="2" w:space="0" w:color="auto"/>
              <w:right w:val="single" w:sz="2" w:space="0" w:color="auto"/>
            </w:tcBorders>
            <w:shd w:val="clear" w:color="auto" w:fill="9AD6F4" w:themeFill="accent1" w:themeFillTint="66"/>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sz w:val="18"/>
                <w:szCs w:val="18"/>
              </w:rPr>
            </w:pPr>
            <w:r w:rsidRPr="00DB3A74">
              <w:rPr>
                <w:rFonts w:ascii="Calibri" w:eastAsia="Calibri" w:hAnsi="Calibri" w:cs="Calibri"/>
                <w:b/>
                <w:sz w:val="18"/>
                <w:szCs w:val="18"/>
              </w:rPr>
              <w:t>Summer</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CT</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3,993</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3,797</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1,568</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72</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ME</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1,479</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1,438</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192</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235</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 xml:space="preserve">NEMA </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614</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2,344</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264</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45</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NH</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2,856</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1,222</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84</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62</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RI</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32</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1,832</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0</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121</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SEMA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1,213</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2,609</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717</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214</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VT</w:t>
            </w:r>
          </w:p>
        </w:tc>
        <w:tc>
          <w:tcPr>
            <w:tcW w:w="1314" w:type="dxa"/>
            <w:tcBorders>
              <w:top w:val="single" w:sz="2" w:space="0" w:color="auto"/>
              <w:left w:val="single" w:sz="2" w:space="0" w:color="auto"/>
              <w:bottom w:val="single" w:sz="2" w:space="0" w:color="auto"/>
              <w:right w:val="single" w:sz="2" w:space="0" w:color="auto"/>
            </w:tcBorders>
            <w:tcMar>
              <w:top w:w="0" w:type="dxa"/>
              <w:left w:w="115"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102</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0</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133</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43</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WCMA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280</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1,443</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2,101</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389</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bCs/>
                <w:color w:val="FFFFFF"/>
                <w:sz w:val="18"/>
                <w:szCs w:val="18"/>
              </w:rPr>
            </w:pPr>
            <w:r w:rsidRPr="00DB3A74">
              <w:rPr>
                <w:rFonts w:ascii="Calibri" w:eastAsia="Calibri" w:hAnsi="Calibri" w:cs="Calibri"/>
                <w:b/>
                <w:bCs/>
                <w:color w:val="FFFFFF"/>
                <w:sz w:val="18"/>
                <w:szCs w:val="18"/>
              </w:rPr>
              <w:t>Total</w:t>
            </w:r>
            <w:r w:rsidRPr="00DB3A74">
              <w:rPr>
                <w:rFonts w:ascii="Calibri" w:eastAsia="Calibri" w:hAnsi="Calibri" w:cs="Calibri"/>
                <w:b/>
                <w:bCs/>
                <w:color w:val="FFFFFF"/>
                <w:sz w:val="18"/>
                <w:szCs w:val="18"/>
                <w:vertAlign w:val="superscript"/>
              </w:rPr>
              <w:t>(f)</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10,570</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14,684</w:t>
            </w:r>
          </w:p>
        </w:tc>
        <w:tc>
          <w:tcPr>
            <w:tcW w:w="1071"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5,059</w:t>
            </w:r>
          </w:p>
        </w:tc>
        <w:tc>
          <w:tcPr>
            <w:tcW w:w="1412"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1,180</w:t>
            </w:r>
          </w:p>
        </w:tc>
      </w:tr>
      <w:tr w:rsidR="00DB3A74" w:rsidRPr="00DB3A74" w:rsidTr="00DB3A74">
        <w:trPr>
          <w:trHeight w:val="300"/>
          <w:jc w:val="center"/>
        </w:trPr>
        <w:tc>
          <w:tcPr>
            <w:tcW w:w="6117" w:type="dxa"/>
            <w:gridSpan w:val="6"/>
            <w:tcBorders>
              <w:top w:val="single" w:sz="2" w:space="0" w:color="auto"/>
              <w:left w:val="single" w:sz="2" w:space="0" w:color="auto"/>
              <w:bottom w:val="single" w:sz="2" w:space="0" w:color="auto"/>
              <w:right w:val="single" w:sz="2" w:space="0" w:color="auto"/>
            </w:tcBorders>
            <w:shd w:val="clear" w:color="auto" w:fill="9AD6F4" w:themeFill="accent1" w:themeFillTint="66"/>
            <w:tcMar>
              <w:top w:w="0" w:type="dxa"/>
              <w:left w:w="108" w:type="dxa"/>
              <w:bottom w:w="0" w:type="dxa"/>
              <w:right w:w="108" w:type="dxa"/>
            </w:tcMar>
            <w:vAlign w:val="center"/>
            <w:hideMark/>
          </w:tcPr>
          <w:p w:rsidR="00DB3A74" w:rsidRPr="00DB3A74" w:rsidRDefault="00DB3A74" w:rsidP="00DB3A74">
            <w:pPr>
              <w:keepNext/>
              <w:keepLines/>
              <w:spacing w:after="0" w:line="240" w:lineRule="auto"/>
              <w:jc w:val="center"/>
              <w:rPr>
                <w:rFonts w:ascii="Calibri" w:eastAsia="Calibri" w:hAnsi="Calibri" w:cs="Calibri"/>
                <w:b/>
                <w:color w:val="000000"/>
                <w:sz w:val="18"/>
                <w:szCs w:val="18"/>
              </w:rPr>
            </w:pPr>
            <w:r w:rsidRPr="00DB3A74">
              <w:rPr>
                <w:rFonts w:ascii="Calibri" w:eastAsia="Calibri" w:hAnsi="Calibri" w:cs="Calibri"/>
                <w:b/>
                <w:color w:val="000000"/>
                <w:sz w:val="18"/>
                <w:szCs w:val="18"/>
              </w:rPr>
              <w:t>Winter</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CT</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4,427</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4,178</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1,804</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23</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ME</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1,318</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1,558</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211</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437</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 xml:space="preserve">NEMA </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661</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2,665</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361</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NH</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2,878</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1,373</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102</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130</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RI</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27</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2,105</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0</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32</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SEMA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1,213</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2,956</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754</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VT</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104</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0</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116</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103</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WCMA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284</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1,618</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2,127</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108</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DB3A74">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FFFFFF"/>
                <w:sz w:val="18"/>
                <w:szCs w:val="18"/>
              </w:rPr>
              <w:t>Total</w:t>
            </w:r>
            <w:r w:rsidRPr="00DB3A74">
              <w:rPr>
                <w:rFonts w:ascii="Calibri" w:eastAsia="Calibri" w:hAnsi="Calibri" w:cs="Calibri"/>
                <w:b/>
                <w:bCs/>
                <w:color w:val="FFFFFF"/>
                <w:sz w:val="18"/>
                <w:szCs w:val="18"/>
                <w:vertAlign w:val="superscript"/>
              </w:rPr>
              <w:t>(f)</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10,913</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16,454</w:t>
            </w:r>
          </w:p>
        </w:tc>
        <w:tc>
          <w:tcPr>
            <w:tcW w:w="1130"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5,475</w:t>
            </w:r>
          </w:p>
        </w:tc>
        <w:tc>
          <w:tcPr>
            <w:tcW w:w="1353"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DB3A74">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840</w:t>
            </w:r>
          </w:p>
        </w:tc>
      </w:tr>
    </w:tbl>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(a) </w:t>
      </w:r>
      <w:r w:rsidRPr="00DB3A74">
        <w:rPr>
          <w:rFonts w:ascii="Calibri" w:eastAsia="Calibri" w:hAnsi="Calibri"/>
          <w:sz w:val="16"/>
          <w:szCs w:val="16"/>
        </w:rPr>
        <w:tab/>
        <w:t xml:space="preserve">The values shown are seasonal claimed capability based on the </w:t>
      </w:r>
      <w:r w:rsidRPr="00963B61">
        <w:rPr>
          <w:rFonts w:ascii="Calibri" w:eastAsia="Calibri" w:hAnsi="Calibri"/>
          <w:i/>
          <w:sz w:val="16"/>
          <w:szCs w:val="16"/>
        </w:rPr>
        <w:t>2021 CELT Report</w:t>
      </w:r>
      <w:r w:rsidRPr="00DB3A74">
        <w:rPr>
          <w:rFonts w:ascii="Calibri" w:eastAsia="Calibri" w:hAnsi="Calibri"/>
          <w:sz w:val="16"/>
          <w:szCs w:val="16"/>
        </w:rPr>
        <w:t>, specifically January and July 2021.</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(b) </w:t>
      </w:r>
      <w:r w:rsidRPr="00DB3A74">
        <w:rPr>
          <w:rFonts w:ascii="Calibri" w:eastAsia="Calibri" w:hAnsi="Calibri"/>
          <w:sz w:val="16"/>
          <w:szCs w:val="16"/>
        </w:rPr>
        <w:tab/>
        <w:t>Baseload generators are assumed to run for long continuous hours at a constant output and have little flexibility. For operating classification purposes, bio/refuse, coal, fuel cell, pondage hydro, weekly hydro, nuclear, and thermal steam generators are assumed in the baseload category.</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(c) </w:t>
      </w:r>
      <w:r w:rsidRPr="00DB3A74">
        <w:rPr>
          <w:rFonts w:ascii="Calibri" w:eastAsia="Calibri" w:hAnsi="Calibri"/>
          <w:sz w:val="16"/>
          <w:szCs w:val="16"/>
        </w:rPr>
        <w:tab/>
        <w:t>Intermediate generators</w:t>
      </w:r>
      <w:r w:rsidRPr="00DB3A74">
        <w:rPr>
          <w:rFonts w:ascii="Calibri" w:eastAsia="Calibri" w:hAnsi="Calibri"/>
          <w:i/>
          <w:sz w:val="16"/>
          <w:szCs w:val="16"/>
        </w:rPr>
        <w:t xml:space="preserve"> </w:t>
      </w:r>
      <w:r w:rsidRPr="00DB3A74">
        <w:rPr>
          <w:rFonts w:ascii="Calibri" w:eastAsia="Calibri" w:hAnsi="Calibri"/>
          <w:sz w:val="16"/>
          <w:szCs w:val="16"/>
        </w:rPr>
        <w:t xml:space="preserve">have the ability to dispatch flexibly and can follow variations in the system load. Combined-cycle generators are assumed in the intermediate category. </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(d) </w:t>
      </w:r>
      <w:r w:rsidRPr="00DB3A74">
        <w:rPr>
          <w:rFonts w:ascii="Calibri" w:eastAsia="Calibri" w:hAnsi="Calibri"/>
          <w:sz w:val="16"/>
          <w:szCs w:val="16"/>
        </w:rPr>
        <w:tab/>
        <w:t xml:space="preserve">Peaking generators can be dispatched to meet peak demand for relatively short periods. Internal combustion, gas turbine, and pumped-storage generators, as well as battery-storage facilities, are assumed in the peaking category. </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(e) </w:t>
      </w:r>
      <w:r w:rsidRPr="00DB3A74">
        <w:rPr>
          <w:rFonts w:ascii="Calibri" w:eastAsia="Calibri" w:hAnsi="Calibri"/>
          <w:sz w:val="16"/>
          <w:szCs w:val="16"/>
        </w:rPr>
        <w:tab/>
        <w:t>Variable Energy Resources, such as wind and photovoltaic (PV), produce energy subject to variations in “fuel” determined by weather and, additionally for PV, the time of day.</w:t>
      </w:r>
    </w:p>
    <w:p w:rsidR="00DB3A74" w:rsidRPr="00DB3A74" w:rsidRDefault="00DB3A74" w:rsidP="00DB3A74">
      <w:pPr>
        <w:tabs>
          <w:tab w:val="left" w:pos="8010"/>
        </w:tabs>
        <w:spacing w:after="0" w:line="240" w:lineRule="auto"/>
        <w:ind w:left="1710" w:right="1350" w:hanging="270"/>
        <w:rPr>
          <w:rFonts w:ascii="Calibri" w:eastAsia="Calibri" w:hAnsi="Calibri" w:cs="Arial"/>
          <w:bCs/>
          <w:sz w:val="16"/>
          <w:szCs w:val="16"/>
        </w:rPr>
      </w:pPr>
      <w:r w:rsidRPr="00DB3A74">
        <w:rPr>
          <w:rFonts w:ascii="Calibri" w:eastAsia="Calibri" w:hAnsi="Calibri"/>
          <w:sz w:val="16"/>
          <w:szCs w:val="16"/>
        </w:rPr>
        <w:t xml:space="preserve">(f) </w:t>
      </w:r>
      <w:r w:rsidRPr="00DB3A74">
        <w:rPr>
          <w:rFonts w:ascii="Calibri" w:eastAsia="Calibri" w:hAnsi="Calibri"/>
          <w:sz w:val="16"/>
          <w:szCs w:val="16"/>
        </w:rPr>
        <w:tab/>
        <w:t>Totals may not</w:t>
      </w:r>
      <w:r w:rsidRPr="00DB3A74">
        <w:rPr>
          <w:rFonts w:ascii="Calibri" w:eastAsia="Calibri" w:hAnsi="Calibri" w:cs="Arial"/>
          <w:bCs/>
          <w:sz w:val="16"/>
          <w:szCs w:val="16"/>
        </w:rPr>
        <w:t xml:space="preserve"> equal the sum due to rounding. </w:t>
      </w:r>
    </w:p>
    <w:p w:rsidR="00DB3A74" w:rsidRPr="00DB3A74" w:rsidRDefault="00DB3A74" w:rsidP="0008531A">
      <w:pPr>
        <w:pStyle w:val="Heading2"/>
        <w:rPr>
          <w:rFonts w:eastAsia="Times New Roman"/>
        </w:rPr>
      </w:pPr>
      <w:bookmarkStart w:id="469" w:name="_Toc490323037"/>
      <w:bookmarkStart w:id="470" w:name="_Toc429063405"/>
      <w:bookmarkStart w:id="471" w:name="_Toc396807632"/>
      <w:bookmarkStart w:id="472" w:name="_Toc365441002"/>
      <w:bookmarkStart w:id="473" w:name="_Toc334601038"/>
      <w:bookmarkStart w:id="474" w:name="_Ref329080869"/>
      <w:bookmarkStart w:id="475" w:name="_Ref11668385"/>
      <w:bookmarkStart w:id="476" w:name="_Ref10720535"/>
      <w:bookmarkStart w:id="477" w:name="_Toc481053271"/>
      <w:bookmarkStart w:id="478" w:name="_Toc81544533"/>
      <w:r w:rsidRPr="00DB3A74">
        <w:rPr>
          <w:rFonts w:eastAsia="Times New Roman"/>
        </w:rPr>
        <w:t>ISO Interconnection Request Queue</w:t>
      </w:r>
      <w:bookmarkEnd w:id="469"/>
      <w:bookmarkEnd w:id="470"/>
      <w:bookmarkEnd w:id="471"/>
      <w:bookmarkEnd w:id="472"/>
      <w:bookmarkEnd w:id="473"/>
      <w:bookmarkEnd w:id="474"/>
      <w:r w:rsidRPr="00DB3A74">
        <w:rPr>
          <w:rFonts w:eastAsia="Times New Roman"/>
        </w:rPr>
        <w:t xml:space="preserve"> and Clustering</w:t>
      </w:r>
      <w:r w:rsidR="00DF213A">
        <w:rPr>
          <w:rFonts w:eastAsia="Times New Roman"/>
        </w:rPr>
        <w:t> </w:t>
      </w:r>
      <w:r w:rsidRPr="00DB3A74">
        <w:rPr>
          <w:rFonts w:eastAsia="Times New Roman"/>
        </w:rPr>
        <w:t>Interconnection</w:t>
      </w:r>
      <w:bookmarkEnd w:id="475"/>
      <w:bookmarkEnd w:id="478"/>
      <w:r w:rsidRPr="00DB3A74">
        <w:rPr>
          <w:rFonts w:eastAsia="Times New Roman"/>
        </w:rPr>
        <w:t xml:space="preserve"> </w:t>
      </w:r>
      <w:bookmarkEnd w:id="476"/>
      <w:bookmarkEnd w:id="477"/>
    </w:p>
    <w:p w:rsidR="00DB3A74" w:rsidRPr="00DB3A74" w:rsidRDefault="00DB3A74" w:rsidP="00DB3A74">
      <w:pPr>
        <w:keepNext/>
        <w:keepLines/>
        <w:rPr>
          <w:rFonts w:eastAsia="Calibri"/>
        </w:rPr>
      </w:pPr>
      <w:r w:rsidRPr="00DB3A74">
        <w:rPr>
          <w:rFonts w:eastAsia="Calibri"/>
          <w:noProof/>
        </w:rPr>
        <w:drawing>
          <wp:anchor distT="0" distB="182880" distL="182880" distR="182880" simplePos="0" relativeHeight="251681792" behindDoc="0" locked="0" layoutInCell="1" allowOverlap="1" wp14:anchorId="0AE71B57" wp14:editId="5F107D18">
            <wp:simplePos x="0" y="0"/>
            <wp:positionH relativeFrom="margin">
              <wp:align>right</wp:align>
            </wp:positionH>
            <wp:positionV relativeFrom="paragraph">
              <wp:posOffset>55880</wp:posOffset>
            </wp:positionV>
            <wp:extent cx="1600200" cy="1600200"/>
            <wp:effectExtent l="0" t="0" r="0" b="0"/>
            <wp:wrapSquare wrapText="bothSides"/>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This section presents information on the resources in the ISO </w:t>
      </w:r>
      <w:hyperlink r:id="rId166" w:history="1">
        <w:r w:rsidRPr="00F66927">
          <w:rPr>
            <w:rStyle w:val="Hyperlink"/>
            <w:rFonts w:eastAsia="Calibri"/>
          </w:rPr>
          <w:t>Interconnection Request Queue</w:t>
        </w:r>
      </w:hyperlink>
      <w:r w:rsidRPr="00DB3A74">
        <w:rPr>
          <w:rFonts w:eastAsia="Calibri"/>
        </w:rPr>
        <w:t xml:space="preserve"> and describes the new interconnection </w:t>
      </w:r>
      <w:hyperlink r:id="rId167" w:history="1">
        <w:r w:rsidRPr="00F66927">
          <w:rPr>
            <w:rStyle w:val="Hyperlink"/>
            <w:rFonts w:eastAsia="Calibri"/>
          </w:rPr>
          <w:t>process</w:t>
        </w:r>
      </w:hyperlink>
      <w:r w:rsidRPr="00DB3A74">
        <w:rPr>
          <w:rFonts w:eastAsia="Calibri"/>
        </w:rPr>
        <w:t xml:space="preserve"> that </w:t>
      </w:r>
      <w:hyperlink r:id="rId168" w:history="1">
        <w:r w:rsidRPr="00F66927">
          <w:rPr>
            <w:rStyle w:val="Hyperlink"/>
            <w:rFonts w:eastAsia="Calibri"/>
          </w:rPr>
          <w:t>clusters resources</w:t>
        </w:r>
      </w:hyperlink>
      <w:r w:rsidR="00BA49CF">
        <w:rPr>
          <w:rStyle w:val="Hyperlink"/>
          <w:rFonts w:eastAsia="Calibri"/>
        </w:rPr>
        <w:t xml:space="preserve">, which allows consideration of </w:t>
      </w:r>
      <w:r w:rsidRPr="00DB3A74">
        <w:rPr>
          <w:rFonts w:eastAsia="Calibri"/>
        </w:rPr>
        <w:t xml:space="preserve">multiple requests in the same study and </w:t>
      </w:r>
      <w:r w:rsidR="00BA49CF">
        <w:rPr>
          <w:rFonts w:eastAsia="Calibri"/>
        </w:rPr>
        <w:t>allocates</w:t>
      </w:r>
      <w:r w:rsidR="00BA49CF" w:rsidRPr="00DB3A74">
        <w:rPr>
          <w:rFonts w:eastAsia="Calibri"/>
        </w:rPr>
        <w:t xml:space="preserve"> </w:t>
      </w:r>
      <w:r w:rsidRPr="00DB3A74">
        <w:rPr>
          <w:rFonts w:eastAsia="Calibri"/>
        </w:rPr>
        <w:t>the costs of significant upgrades among the cluster participants.</w:t>
      </w:r>
    </w:p>
    <w:p w:rsidR="00DB3A74" w:rsidRPr="00DB3A74" w:rsidRDefault="00DB3A74" w:rsidP="0008531A">
      <w:pPr>
        <w:pStyle w:val="Heading3"/>
        <w:rPr>
          <w:rFonts w:eastAsia="Times New Roman"/>
        </w:rPr>
      </w:pPr>
      <w:bookmarkStart w:id="479" w:name="_Ref12110918"/>
      <w:bookmarkStart w:id="480" w:name="_Toc81544534"/>
      <w:r w:rsidRPr="00DB3A74">
        <w:rPr>
          <w:rFonts w:eastAsia="Times New Roman"/>
        </w:rPr>
        <w:t>Interconnection Requests and Generating Resources in the Interconnection</w:t>
      </w:r>
      <w:r w:rsidR="00DF213A">
        <w:rPr>
          <w:rFonts w:eastAsia="Times New Roman"/>
        </w:rPr>
        <w:t> </w:t>
      </w:r>
      <w:r w:rsidRPr="00DB3A74">
        <w:rPr>
          <w:rFonts w:eastAsia="Times New Roman"/>
        </w:rPr>
        <w:t>Queue</w:t>
      </w:r>
      <w:bookmarkEnd w:id="479"/>
      <w:bookmarkEnd w:id="480"/>
    </w:p>
    <w:p w:rsidR="00DB3A74" w:rsidRPr="00DB3A74" w:rsidRDefault="00DB3A74" w:rsidP="00DB3A74">
      <w:pPr>
        <w:rPr>
          <w:rFonts w:eastAsia="Calibri"/>
        </w:rPr>
      </w:pPr>
      <w:r w:rsidRPr="00DB3A74">
        <w:rPr>
          <w:rFonts w:eastAsia="Calibri"/>
        </w:rPr>
        <w:t>The interconnection requests in the ISO’s Interconnection Request Queue reflect the region’s interest in building new generation capacity.</w:t>
      </w:r>
      <w:r w:rsidRPr="00DB3A74">
        <w:rPr>
          <w:rFonts w:eastAsia="Calibri"/>
          <w:vertAlign w:val="superscript"/>
        </w:rPr>
        <w:footnoteReference w:id="66"/>
      </w:r>
      <w:r w:rsidRPr="00DB3A74">
        <w:rPr>
          <w:rFonts w:eastAsia="Calibri"/>
        </w:rPr>
        <w:t xml:space="preserve"> </w:t>
      </w:r>
      <w:r w:rsidR="00AC1EAC">
        <w:rPr>
          <w:rFonts w:eastAsia="Calibri"/>
        </w:rPr>
        <w:t xml:space="preserve"> </w:t>
      </w:r>
      <w:hyperlink w:anchor="Figure_4_1_top" w:history="1">
        <w:r w:rsidRPr="00FB0619">
          <w:rPr>
            <w:rStyle w:val="Hyperlink"/>
            <w:rFonts w:eastAsia="Calibri"/>
          </w:rPr>
          <w:t>Figure 4-1</w:t>
        </w:r>
      </w:hyperlink>
      <w:r w:rsidRPr="00DB3A74">
        <w:rPr>
          <w:rFonts w:eastAsia="Calibri"/>
        </w:rPr>
        <w:t xml:space="preserve"> shows the capacity of the withdrawn, active, and commercial generation-interconnection requests in the queue by load zone as of April 1, 2021. As shown, nearly 26,000 megawatts (MW) of projects spread throughout New England have requested an interconnection study. The top five load zones with the most project proposals are Southeastern Massachusetts (SEMA) at approximately 10,850 MW, followed by Connecticut (CT) (7,400 MW), Maine (ME) (2,400 MW), Northeast Massachusetts (NEMA) (1,850 MW) and Rhode Island RI (1,500 MW). </w:t>
      </w:r>
      <w:r w:rsidR="00BA49CF">
        <w:rPr>
          <w:rFonts w:eastAsia="Calibri"/>
        </w:rPr>
        <w:t xml:space="preserve">These load zones have significant ocean access which drives interest in interconnecting offshore wind to these zones. </w:t>
      </w:r>
      <w:r w:rsidRPr="00DB3A74">
        <w:rPr>
          <w:rFonts w:eastAsia="Calibri"/>
        </w:rPr>
        <w:t>Though the load zones of Western and Central Massachusetts (WCMA), New Hampshire (NH) and Vermont (VT) have had less activity, there is still interest in building in these areas.</w:t>
      </w:r>
    </w:p>
    <w:p w:rsidR="00DB3A74" w:rsidRPr="00DB3A74" w:rsidRDefault="00DB3A74" w:rsidP="00DB3A74">
      <w:pPr>
        <w:jc w:val="center"/>
        <w:rPr>
          <w:rFonts w:eastAsia="Calibri"/>
        </w:rPr>
      </w:pPr>
      <w:bookmarkStart w:id="481" w:name="Figure_4_1_top"/>
      <w:r w:rsidRPr="00DB3A74">
        <w:rPr>
          <w:rFonts w:eastAsia="Calibri"/>
          <w:noProof/>
        </w:rPr>
        <w:drawing>
          <wp:inline distT="0" distB="0" distL="0" distR="0" wp14:anchorId="169BED2B" wp14:editId="76E6503A">
            <wp:extent cx="4143375" cy="2067734"/>
            <wp:effectExtent l="19050" t="19050" r="9525" b="2794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88164" cy="2090086"/>
                    </a:xfrm>
                    <a:prstGeom prst="rect">
                      <a:avLst/>
                    </a:prstGeom>
                    <a:noFill/>
                    <a:ln w="9525" cmpd="sng">
                      <a:solidFill>
                        <a:srgbClr val="62777F"/>
                      </a:solidFill>
                      <a:miter lim="800000"/>
                      <a:headEnd/>
                      <a:tailEnd/>
                    </a:ln>
                    <a:effectLst/>
                  </pic:spPr>
                </pic:pic>
              </a:graphicData>
            </a:graphic>
          </wp:inline>
        </w:drawing>
      </w:r>
      <w:bookmarkEnd w:id="481"/>
    </w:p>
    <w:p w:rsidR="00DB3A74" w:rsidRPr="00DB6489" w:rsidRDefault="00FD407C" w:rsidP="001D69A5">
      <w:pPr>
        <w:pStyle w:val="Caption"/>
        <w:rPr>
          <w:rFonts w:eastAsia="Calibri"/>
        </w:rPr>
      </w:pPr>
      <w:bookmarkStart w:id="482" w:name="Figure_4_1"/>
      <w:bookmarkStart w:id="483" w:name="_Toc81544607"/>
      <w:r>
        <w:t xml:space="preserve">Figure </w:t>
      </w:r>
      <w:fldSimple w:instr=" STYLEREF 1 \s ">
        <w:r w:rsidR="00F85E49">
          <w:rPr>
            <w:noProof/>
          </w:rPr>
          <w:t>4</w:t>
        </w:r>
      </w:fldSimple>
      <w:r w:rsidR="00F85E49">
        <w:noBreakHyphen/>
      </w:r>
      <w:fldSimple w:instr=" SEQ Figure \* ARABIC \s 1 ">
        <w:r w:rsidR="00F85E49">
          <w:rPr>
            <w:noProof/>
          </w:rPr>
          <w:t>1</w:t>
        </w:r>
      </w:fldSimple>
      <w:bookmarkEnd w:id="482"/>
      <w:r w:rsidR="00DB3A74" w:rsidRPr="00DB3A74">
        <w:rPr>
          <w:rFonts w:eastAsia="Calibri"/>
          <w:b w:val="0"/>
          <w:bCs w:val="0"/>
        </w:rPr>
        <w:t>:</w:t>
      </w:r>
      <w:r w:rsidR="00DB3A74" w:rsidRPr="00DB6489">
        <w:rPr>
          <w:rFonts w:eastAsia="Calibri"/>
          <w:bCs w:val="0"/>
        </w:rPr>
        <w:t xml:space="preserve"> Capacity of </w:t>
      </w:r>
      <w:r w:rsidR="00A76CD4">
        <w:rPr>
          <w:rFonts w:eastAsia="Calibri"/>
          <w:bCs w:val="0"/>
        </w:rPr>
        <w:t>g</w:t>
      </w:r>
      <w:r w:rsidR="00DB3A74" w:rsidRPr="00DB6489">
        <w:rPr>
          <w:rFonts w:eastAsia="Calibri"/>
          <w:bCs w:val="0"/>
        </w:rPr>
        <w:t xml:space="preserve">eneration </w:t>
      </w:r>
      <w:r w:rsidR="00A76CD4">
        <w:rPr>
          <w:rFonts w:eastAsia="Calibri"/>
          <w:bCs w:val="0"/>
        </w:rPr>
        <w:t>i</w:t>
      </w:r>
      <w:r w:rsidR="00DB3A74" w:rsidRPr="00DB6489">
        <w:rPr>
          <w:rFonts w:eastAsia="Calibri"/>
          <w:bCs w:val="0"/>
        </w:rPr>
        <w:t xml:space="preserve">nterconnection </w:t>
      </w:r>
      <w:r w:rsidR="00A76CD4">
        <w:rPr>
          <w:rFonts w:eastAsia="Calibri"/>
          <w:bCs w:val="0"/>
        </w:rPr>
        <w:t>r</w:t>
      </w:r>
      <w:r w:rsidR="00DB3A74" w:rsidRPr="00DB6489">
        <w:rPr>
          <w:rFonts w:eastAsia="Calibri"/>
          <w:bCs w:val="0"/>
        </w:rPr>
        <w:t>equests by Load Zone, November 1997 to April 2021 (MW)</w:t>
      </w:r>
      <w:bookmarkEnd w:id="483"/>
    </w:p>
    <w:p w:rsidR="00DB3A74" w:rsidRPr="00DB3A74" w:rsidRDefault="00DB3A74" w:rsidP="00DB3A74">
      <w:pPr>
        <w:tabs>
          <w:tab w:val="left" w:pos="90"/>
          <w:tab w:val="left" w:pos="9720"/>
        </w:tabs>
        <w:spacing w:line="240" w:lineRule="auto"/>
        <w:ind w:right="-274"/>
        <w:rPr>
          <w:rFonts w:ascii="Calibri" w:eastAsia="Times New Roman" w:hAnsi="Calibri"/>
          <w:sz w:val="16"/>
          <w:szCs w:val="16"/>
        </w:rPr>
      </w:pPr>
      <w:r w:rsidRPr="00DB3A74">
        <w:rPr>
          <w:rFonts w:ascii="Calibri" w:eastAsia="Times New Roman" w:hAnsi="Calibri"/>
          <w:b/>
          <w:sz w:val="16"/>
          <w:szCs w:val="16"/>
        </w:rPr>
        <w:t>Notes:</w:t>
      </w:r>
      <w:r w:rsidRPr="00DB3A74">
        <w:rPr>
          <w:rFonts w:ascii="Calibri" w:eastAsia="Times New Roman" w:hAnsi="Calibri"/>
          <w:sz w:val="16"/>
          <w:szCs w:val="16"/>
        </w:rPr>
        <w:t xml:space="preserve"> All capacities are based on the projects in the ISO Interconnection Request Queue as of April 1, 2021, that would interconnect with the ISO system. Projects involving only transmission or that did not increase an existing generator’s capacity were excluded. Projects with more than one listing in the queue, representing different interconnection configurations, were counted only once.</w:t>
      </w:r>
    </w:p>
    <w:p w:rsidR="00867F96" w:rsidRDefault="00DB3A74" w:rsidP="00DB3A74">
      <w:pPr>
        <w:rPr>
          <w:rFonts w:eastAsia="Calibri"/>
        </w:rPr>
      </w:pPr>
      <w:bookmarkStart w:id="484" w:name="_Toc303086729"/>
      <w:bookmarkStart w:id="485" w:name="_Toc271552375"/>
      <w:bookmarkStart w:id="486" w:name="_Toc239157189"/>
      <w:bookmarkStart w:id="487" w:name="_Ref235272106"/>
      <w:bookmarkStart w:id="488" w:name="_Ref230869634"/>
      <w:r w:rsidRPr="00DB3A74">
        <w:rPr>
          <w:rFonts w:eastAsia="Calibri"/>
        </w:rPr>
        <w:t>Since the first publication of the Interconnection Request Queue (</w:t>
      </w:r>
      <w:r w:rsidRPr="00DB3A74">
        <w:rPr>
          <w:rFonts w:eastAsia="Calibri"/>
          <w:i/>
        </w:rPr>
        <w:t>the</w:t>
      </w:r>
      <w:r w:rsidRPr="00DB3A74">
        <w:rPr>
          <w:rFonts w:eastAsia="Calibri"/>
        </w:rPr>
        <w:t xml:space="preserve"> </w:t>
      </w:r>
      <w:r w:rsidRPr="00DB3A74">
        <w:rPr>
          <w:rFonts w:eastAsia="Calibri"/>
          <w:i/>
        </w:rPr>
        <w:t>queue</w:t>
      </w:r>
      <w:r w:rsidRPr="00DB3A74">
        <w:rPr>
          <w:rFonts w:eastAsia="Calibri"/>
        </w:rPr>
        <w:t xml:space="preserve">) in November 1997, 171 generating projects (19,166 MW) out of 827 total generator applications (totaling 121,404 MW) have become commercial. Since the queue’s inception, 385 proposed projects totaling approximately 76,001 MW have been withdrawn, reflecting a megawatt attrition rate of 63%. The 271 active projects in the queue total 25,873 MW. </w:t>
      </w:r>
      <w:hyperlink w:anchor="Figure_4_2_top" w:history="1">
        <w:r w:rsidRPr="00FB0619">
          <w:rPr>
            <w:rStyle w:val="Hyperlink"/>
            <w:rFonts w:eastAsia="Calibri"/>
          </w:rPr>
          <w:t>Figure 4-2</w:t>
        </w:r>
      </w:hyperlink>
      <w:r w:rsidRPr="00DB3A74">
        <w:rPr>
          <w:rFonts w:eastAsia="Calibri"/>
        </w:rPr>
        <w:t xml:space="preserve"> shows resources in the queue, by state and fuel type, while </w:t>
      </w:r>
      <w:hyperlink w:anchor="Figure_4_3_top" w:history="1">
        <w:r w:rsidRPr="00BD3C05">
          <w:rPr>
            <w:rStyle w:val="Hyperlink"/>
            <w:rFonts w:eastAsia="Calibri"/>
          </w:rPr>
          <w:t>Figure 4-3</w:t>
        </w:r>
      </w:hyperlink>
      <w:r w:rsidRPr="00DB3A74">
        <w:rPr>
          <w:rFonts w:eastAsia="Calibri"/>
        </w:rPr>
        <w:t xml:space="preserve"> shows these resources by Load Zone, as of April 1, 2021. </w:t>
      </w:r>
      <w:r w:rsidR="000053F4">
        <w:rPr>
          <w:rFonts w:eastAsia="Calibri"/>
        </w:rPr>
        <w:t>A n</w:t>
      </w:r>
      <w:r w:rsidRPr="00DB3A74">
        <w:rPr>
          <w:rFonts w:eastAsia="Calibri"/>
        </w:rPr>
        <w:t xml:space="preserve">otable increase in the queue </w:t>
      </w:r>
      <w:r w:rsidR="00BA49CF">
        <w:rPr>
          <w:rFonts w:eastAsia="Calibri"/>
        </w:rPr>
        <w:t>is the quantity of</w:t>
      </w:r>
      <w:r w:rsidRPr="00DB3A74">
        <w:rPr>
          <w:rFonts w:eastAsia="Calibri"/>
        </w:rPr>
        <w:t xml:space="preserve"> battery-storage resources, which increased from approximately 1,400 MW in the April 1, 2019 queue </w:t>
      </w:r>
      <w:r w:rsidR="00590C1F">
        <w:rPr>
          <w:rFonts w:eastAsia="Calibri"/>
        </w:rPr>
        <w:t>(</w:t>
      </w:r>
      <w:r w:rsidRPr="00DB3A74">
        <w:rPr>
          <w:rFonts w:eastAsia="Calibri"/>
        </w:rPr>
        <w:t>as published in the 2019 RSP</w:t>
      </w:r>
      <w:r w:rsidR="00590C1F">
        <w:rPr>
          <w:rFonts w:eastAsia="Calibri"/>
        </w:rPr>
        <w:t>) to</w:t>
      </w:r>
      <w:r w:rsidRPr="00DB3A74">
        <w:rPr>
          <w:rFonts w:eastAsia="Calibri"/>
        </w:rPr>
        <w:t xml:space="preserve"> approximately 4,700 MW in the queue as of April 1, 2021. </w:t>
      </w:r>
      <w:r w:rsidR="00867F96">
        <w:rPr>
          <w:rFonts w:eastAsia="Calibri"/>
        </w:rPr>
        <w:t>Though not all of these proposed new generating resources will be built, the possibility of transmission bottlenecks is likely</w:t>
      </w:r>
      <w:r w:rsidR="00684049">
        <w:rPr>
          <w:rFonts w:eastAsia="Calibri"/>
        </w:rPr>
        <w:t>, and</w:t>
      </w:r>
      <w:r w:rsidR="00867F96">
        <w:rPr>
          <w:rFonts w:eastAsia="Calibri"/>
        </w:rPr>
        <w:t xml:space="preserve"> additional transmission buildout </w:t>
      </w:r>
      <w:r w:rsidR="00684049">
        <w:rPr>
          <w:rFonts w:eastAsia="Calibri"/>
        </w:rPr>
        <w:t xml:space="preserve">may </w:t>
      </w:r>
      <w:r w:rsidR="00867F96">
        <w:rPr>
          <w:rFonts w:eastAsia="Calibri"/>
        </w:rPr>
        <w:t xml:space="preserve">be required to </w:t>
      </w:r>
      <w:r w:rsidR="000053F4">
        <w:rPr>
          <w:rFonts w:eastAsia="Calibri"/>
        </w:rPr>
        <w:t>reliably</w:t>
      </w:r>
      <w:r w:rsidR="00867F96">
        <w:rPr>
          <w:rFonts w:eastAsia="Calibri"/>
        </w:rPr>
        <w:t xml:space="preserve"> i</w:t>
      </w:r>
      <w:r w:rsidR="00DF20D3">
        <w:rPr>
          <w:rFonts w:eastAsia="Calibri"/>
        </w:rPr>
        <w:t>nterconnect</w:t>
      </w:r>
      <w:r w:rsidR="00867F96">
        <w:rPr>
          <w:rFonts w:eastAsia="Calibri"/>
        </w:rPr>
        <w:t xml:space="preserve"> renewable </w:t>
      </w:r>
      <w:r w:rsidR="00DF20D3">
        <w:rPr>
          <w:rFonts w:eastAsia="Calibri"/>
        </w:rPr>
        <w:t xml:space="preserve">resources currently </w:t>
      </w:r>
      <w:r w:rsidR="00867F96">
        <w:rPr>
          <w:rFonts w:eastAsia="Calibri"/>
        </w:rPr>
        <w:t>in the queue.</w:t>
      </w:r>
    </w:p>
    <w:p w:rsidR="00867F96" w:rsidRPr="00DB3A74" w:rsidRDefault="00867F96" w:rsidP="00DB3A74">
      <w:pPr>
        <w:rPr>
          <w:rFonts w:eastAsia="Calibri"/>
        </w:rPr>
      </w:pPr>
    </w:p>
    <w:p w:rsidR="00DB3A74" w:rsidRPr="00DB3A74" w:rsidRDefault="00DB3A74" w:rsidP="00DB3A74">
      <w:pPr>
        <w:rPr>
          <w:rFonts w:eastAsia="Calibri"/>
        </w:rPr>
      </w:pPr>
      <w:bookmarkStart w:id="489" w:name="Figure_4_2_top"/>
      <w:r w:rsidRPr="00DB3A74">
        <w:rPr>
          <w:rFonts w:eastAsia="Calibri"/>
          <w:noProof/>
        </w:rPr>
        <w:drawing>
          <wp:inline distT="0" distB="0" distL="0" distR="0" wp14:anchorId="7CA0B774" wp14:editId="3CAADD0B">
            <wp:extent cx="5654040" cy="3097530"/>
            <wp:effectExtent l="19050" t="19050" r="22860" b="2667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654040" cy="3097530"/>
                    </a:xfrm>
                    <a:prstGeom prst="rect">
                      <a:avLst/>
                    </a:prstGeom>
                    <a:noFill/>
                    <a:ln w="9525" cmpd="sng">
                      <a:solidFill>
                        <a:srgbClr val="62777F"/>
                      </a:solidFill>
                      <a:miter lim="800000"/>
                      <a:headEnd/>
                      <a:tailEnd/>
                    </a:ln>
                    <a:effectLst/>
                  </pic:spPr>
                </pic:pic>
              </a:graphicData>
            </a:graphic>
          </wp:inline>
        </w:drawing>
      </w:r>
      <w:bookmarkEnd w:id="489"/>
    </w:p>
    <w:p w:rsidR="00DB3A74" w:rsidRPr="00D2356F" w:rsidRDefault="00FD407C" w:rsidP="00A76CD4">
      <w:pPr>
        <w:pStyle w:val="Caption"/>
        <w:spacing w:after="0"/>
        <w:ind w:right="-90"/>
        <w:jc w:val="left"/>
        <w:rPr>
          <w:rFonts w:eastAsia="Calibri"/>
        </w:rPr>
      </w:pPr>
      <w:bookmarkStart w:id="490" w:name="Figure_4_2"/>
      <w:bookmarkStart w:id="491" w:name="_Toc81544608"/>
      <w:bookmarkEnd w:id="484"/>
      <w:bookmarkEnd w:id="485"/>
      <w:bookmarkEnd w:id="486"/>
      <w:bookmarkEnd w:id="487"/>
      <w:bookmarkEnd w:id="488"/>
      <w:r w:rsidRPr="00D2356F">
        <w:t xml:space="preserve">Figure </w:t>
      </w:r>
      <w:fldSimple w:instr=" STYLEREF 1 \s ">
        <w:r w:rsidR="00F85E49">
          <w:rPr>
            <w:noProof/>
          </w:rPr>
          <w:t>4</w:t>
        </w:r>
      </w:fldSimple>
      <w:r w:rsidR="00F85E49">
        <w:noBreakHyphen/>
      </w:r>
      <w:fldSimple w:instr=" SEQ Figure \* ARABIC \s 1 ">
        <w:r w:rsidR="00F85E49">
          <w:rPr>
            <w:noProof/>
          </w:rPr>
          <w:t>2</w:t>
        </w:r>
      </w:fldSimple>
      <w:bookmarkEnd w:id="490"/>
      <w:r w:rsidR="00DB3A74" w:rsidRPr="00D2356F">
        <w:rPr>
          <w:rFonts w:eastAsia="Calibri"/>
          <w:b w:val="0"/>
          <w:bCs w:val="0"/>
        </w:rPr>
        <w:t>:</w:t>
      </w:r>
      <w:r w:rsidR="00201B3A" w:rsidRPr="00D2356F">
        <w:rPr>
          <w:rFonts w:eastAsia="Calibri"/>
          <w:b w:val="0"/>
          <w:bCs w:val="0"/>
        </w:rPr>
        <w:t xml:space="preserve"> </w:t>
      </w:r>
      <w:r w:rsidR="00DB3A74" w:rsidRPr="00D2356F">
        <w:rPr>
          <w:rFonts w:eastAsia="Calibri"/>
          <w:bCs w:val="0"/>
        </w:rPr>
        <w:t xml:space="preserve">Resources active in the ISO </w:t>
      </w:r>
      <w:r w:rsidR="00A76CD4" w:rsidRPr="00D2356F">
        <w:rPr>
          <w:rFonts w:eastAsia="Calibri"/>
          <w:bCs w:val="0"/>
        </w:rPr>
        <w:t>i</w:t>
      </w:r>
      <w:r w:rsidR="00DB3A74" w:rsidRPr="00D2356F">
        <w:rPr>
          <w:rFonts w:eastAsia="Calibri"/>
          <w:bCs w:val="0"/>
        </w:rPr>
        <w:t xml:space="preserve">nterconnection </w:t>
      </w:r>
      <w:r w:rsidR="00A76CD4" w:rsidRPr="00D2356F">
        <w:rPr>
          <w:rFonts w:eastAsia="Calibri"/>
          <w:bCs w:val="0"/>
        </w:rPr>
        <w:t>r</w:t>
      </w:r>
      <w:r w:rsidR="00DB3A74" w:rsidRPr="00D2356F">
        <w:rPr>
          <w:rFonts w:eastAsia="Calibri"/>
          <w:bCs w:val="0"/>
        </w:rPr>
        <w:t xml:space="preserve">equest </w:t>
      </w:r>
      <w:r w:rsidR="00A76CD4" w:rsidRPr="00D2356F">
        <w:rPr>
          <w:rFonts w:eastAsia="Calibri"/>
          <w:bCs w:val="0"/>
        </w:rPr>
        <w:t>q</w:t>
      </w:r>
      <w:r w:rsidR="00DB3A74" w:rsidRPr="00D2356F">
        <w:rPr>
          <w:rFonts w:eastAsia="Calibri"/>
          <w:bCs w:val="0"/>
        </w:rPr>
        <w:t>ueue by state and fuel type, as of April 1, 2021 (MW and %)</w:t>
      </w:r>
      <w:bookmarkEnd w:id="491"/>
    </w:p>
    <w:p w:rsidR="00DB3A74" w:rsidRPr="00DB3A74" w:rsidRDefault="00DB3A74" w:rsidP="00DB3A74">
      <w:pPr>
        <w:spacing w:after="0" w:line="240" w:lineRule="auto"/>
        <w:rPr>
          <w:rFonts w:ascii="Calibri" w:eastAsia="Times New Roman" w:hAnsi="Calibri" w:cs="Arial"/>
          <w:b/>
          <w:sz w:val="16"/>
          <w:szCs w:val="16"/>
        </w:rPr>
      </w:pPr>
    </w:p>
    <w:p w:rsidR="00DB3A74" w:rsidRPr="00DB3A74" w:rsidRDefault="00DB3A74" w:rsidP="00DB3A74">
      <w:pPr>
        <w:spacing w:after="0" w:line="240" w:lineRule="auto"/>
        <w:rPr>
          <w:rFonts w:eastAsia="Times New Roman"/>
        </w:rPr>
      </w:pPr>
      <w:r w:rsidRPr="00DB3A74">
        <w:rPr>
          <w:rFonts w:ascii="Calibri" w:eastAsia="Times New Roman" w:hAnsi="Calibri" w:cs="Arial"/>
          <w:b/>
          <w:sz w:val="16"/>
          <w:szCs w:val="16"/>
        </w:rPr>
        <w:t>Notes:</w:t>
      </w:r>
      <w:r w:rsidRPr="00DB3A74">
        <w:rPr>
          <w:rFonts w:ascii="Calibri" w:eastAsia="Times New Roman" w:hAnsi="Calibri" w:cs="Arial"/>
          <w:sz w:val="16"/>
          <w:szCs w:val="16"/>
        </w:rPr>
        <w:t xml:space="preserve"> The “Other Renewables” category includes Biomass/Wood Waste 8 MW and 54 MW fuel cell. The totals for all categories reflect all queue projects that would interconnect with the system and not all projects in New England.</w:t>
      </w:r>
      <w:r w:rsidRPr="00DB3A74">
        <w:rPr>
          <w:rFonts w:eastAsia="Times New Roman"/>
          <w:b/>
        </w:rPr>
        <w:t xml:space="preserve"> </w:t>
      </w: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bookmarkStart w:id="492" w:name="Figure_4_3_top"/>
      <w:r w:rsidRPr="00DB3A74">
        <w:rPr>
          <w:rFonts w:eastAsia="Calibri"/>
          <w:noProof/>
        </w:rPr>
        <w:drawing>
          <wp:inline distT="0" distB="0" distL="0" distR="0" wp14:anchorId="01EECB3D" wp14:editId="40F78747">
            <wp:extent cx="5654040" cy="3536315"/>
            <wp:effectExtent l="0" t="0" r="3810" b="698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54040" cy="3536315"/>
                    </a:xfrm>
                    <a:prstGeom prst="rect">
                      <a:avLst/>
                    </a:prstGeom>
                    <a:noFill/>
                    <a:ln>
                      <a:noFill/>
                    </a:ln>
                  </pic:spPr>
                </pic:pic>
              </a:graphicData>
            </a:graphic>
          </wp:inline>
        </w:drawing>
      </w:r>
      <w:bookmarkEnd w:id="492"/>
    </w:p>
    <w:p w:rsidR="00DB3A74" w:rsidRPr="00A76CD4" w:rsidRDefault="00FD407C" w:rsidP="00A76CD4">
      <w:pPr>
        <w:pStyle w:val="Caption"/>
        <w:spacing w:after="0"/>
        <w:ind w:right="-90"/>
        <w:jc w:val="left"/>
        <w:rPr>
          <w:rFonts w:eastAsia="Calibri"/>
        </w:rPr>
      </w:pPr>
      <w:bookmarkStart w:id="493" w:name="Figure_4_3"/>
      <w:bookmarkStart w:id="494" w:name="_Toc81544609"/>
      <w:r>
        <w:t xml:space="preserve">Figure </w:t>
      </w:r>
      <w:fldSimple w:instr=" STYLEREF 1 \s ">
        <w:r w:rsidR="00F85E49">
          <w:rPr>
            <w:noProof/>
          </w:rPr>
          <w:t>4</w:t>
        </w:r>
      </w:fldSimple>
      <w:r w:rsidR="00F85E49">
        <w:noBreakHyphen/>
      </w:r>
      <w:fldSimple w:instr=" SEQ Figure \* ARABIC \s 1 ">
        <w:r w:rsidR="00F85E49">
          <w:rPr>
            <w:noProof/>
          </w:rPr>
          <w:t>3</w:t>
        </w:r>
      </w:fldSimple>
      <w:bookmarkEnd w:id="493"/>
      <w:r w:rsidR="00DB3A74" w:rsidRPr="00DB3A74">
        <w:rPr>
          <w:rFonts w:eastAsia="Calibri"/>
          <w:b w:val="0"/>
          <w:bCs w:val="0"/>
        </w:rPr>
        <w:t>:</w:t>
      </w:r>
      <w:r w:rsidR="00D2356F">
        <w:rPr>
          <w:rFonts w:eastAsia="Calibri"/>
          <w:b w:val="0"/>
          <w:bCs w:val="0"/>
        </w:rPr>
        <w:t xml:space="preserve"> </w:t>
      </w:r>
      <w:r w:rsidR="00DB3A74" w:rsidRPr="00A76CD4">
        <w:rPr>
          <w:rFonts w:eastAsia="Calibri"/>
          <w:bCs w:val="0"/>
        </w:rPr>
        <w:t xml:space="preserve">Resources active in the ISO </w:t>
      </w:r>
      <w:r w:rsidR="00A76CD4">
        <w:rPr>
          <w:rFonts w:eastAsia="Calibri"/>
          <w:bCs w:val="0"/>
        </w:rPr>
        <w:t>i</w:t>
      </w:r>
      <w:r w:rsidR="00DB3A74" w:rsidRPr="00A76CD4">
        <w:rPr>
          <w:rFonts w:eastAsia="Calibri"/>
          <w:bCs w:val="0"/>
        </w:rPr>
        <w:t xml:space="preserve">nterconnection </w:t>
      </w:r>
      <w:r w:rsidR="00A76CD4">
        <w:rPr>
          <w:rFonts w:eastAsia="Calibri"/>
          <w:bCs w:val="0"/>
        </w:rPr>
        <w:t>r</w:t>
      </w:r>
      <w:r w:rsidR="00DB3A74" w:rsidRPr="00A76CD4">
        <w:rPr>
          <w:rFonts w:eastAsia="Calibri"/>
          <w:bCs w:val="0"/>
        </w:rPr>
        <w:t xml:space="preserve">equest </w:t>
      </w:r>
      <w:r w:rsidR="00A76CD4">
        <w:rPr>
          <w:rFonts w:eastAsia="Calibri"/>
          <w:bCs w:val="0"/>
        </w:rPr>
        <w:t>q</w:t>
      </w:r>
      <w:r w:rsidR="00DB3A74" w:rsidRPr="00A76CD4">
        <w:rPr>
          <w:rFonts w:eastAsia="Calibri"/>
          <w:bCs w:val="0"/>
        </w:rPr>
        <w:t>ueue, by Load Zone and fuel type, as of April 1, 2021 (MW)</w:t>
      </w:r>
      <w:bookmarkEnd w:id="494"/>
    </w:p>
    <w:p w:rsidR="00DB3A74" w:rsidRPr="00DB3A74" w:rsidRDefault="00DB3A74" w:rsidP="0008531A">
      <w:pPr>
        <w:pStyle w:val="Heading4"/>
      </w:pPr>
      <w:bookmarkStart w:id="495" w:name="_Ref11870792"/>
      <w:r w:rsidRPr="00DB3A74">
        <w:t>Interconnection Process</w:t>
      </w:r>
      <w:bookmarkEnd w:id="495"/>
    </w:p>
    <w:p w:rsidR="00DB3A74" w:rsidRPr="00DB3A74" w:rsidRDefault="00DB3A74" w:rsidP="00DB3A74">
      <w:pPr>
        <w:rPr>
          <w:rFonts w:eastAsia="Calibri"/>
        </w:rPr>
      </w:pPr>
      <w:r w:rsidRPr="00DB3A74">
        <w:rPr>
          <w:rFonts w:eastAsia="Calibri"/>
        </w:rPr>
        <w:t>In acc</w:t>
      </w:r>
      <w:r w:rsidR="00A86C5C">
        <w:rPr>
          <w:rFonts w:eastAsia="Calibri"/>
        </w:rPr>
        <w:t xml:space="preserve">ordance with provisions of the </w:t>
      </w:r>
      <w:hyperlink r:id="rId172" w:history="1">
        <w:r w:rsidR="00A86C5C" w:rsidRPr="00726DA4">
          <w:rPr>
            <w:rStyle w:val="Hyperlink"/>
            <w:i/>
          </w:rPr>
          <w:t xml:space="preserve">Open Access Transmission Tariff </w:t>
        </w:r>
      </w:hyperlink>
      <w:r w:rsidRPr="00DB3A74">
        <w:rPr>
          <w:rFonts w:eastAsia="Calibri"/>
        </w:rPr>
        <w:t xml:space="preserve"> (OATT), interconnection studies include proposals for generator and elective transmission upgrade interconnections and supplemental transmission service for New England’s grid. The projects listed in the ISO's Interconnection Request Queue are typically studied serially, according to the order in which the requests are received. Studies are performed to ensure that system reliability criteria and standards for no adverse impact are met. They typically consist of thermal, voltage, stability, </w:t>
      </w:r>
      <w:r w:rsidR="0041184E">
        <w:rPr>
          <w:rFonts w:eastAsia="Calibri"/>
        </w:rPr>
        <w:t xml:space="preserve">and </w:t>
      </w:r>
      <w:r w:rsidRPr="00DB3A74">
        <w:rPr>
          <w:rFonts w:eastAsia="Calibri"/>
        </w:rPr>
        <w:t xml:space="preserve">short-circuit analyses, </w:t>
      </w:r>
      <w:r w:rsidR="0041184E">
        <w:rPr>
          <w:rFonts w:eastAsia="Calibri"/>
        </w:rPr>
        <w:t>with</w:t>
      </w:r>
      <w:r w:rsidR="0041184E" w:rsidRPr="00DB3A74">
        <w:rPr>
          <w:rFonts w:eastAsia="Calibri"/>
        </w:rPr>
        <w:t xml:space="preserve"> </w:t>
      </w:r>
      <w:r w:rsidRPr="00DB3A74">
        <w:rPr>
          <w:rFonts w:eastAsia="Calibri"/>
        </w:rPr>
        <w:t xml:space="preserve">electromagnetic transient (EMT) analysis </w:t>
      </w:r>
      <w:r w:rsidR="0041184E">
        <w:rPr>
          <w:rFonts w:eastAsia="Calibri"/>
        </w:rPr>
        <w:t xml:space="preserve">also performed </w:t>
      </w:r>
      <w:r w:rsidRPr="00DB3A74">
        <w:rPr>
          <w:rFonts w:eastAsia="Calibri"/>
        </w:rPr>
        <w:t xml:space="preserve">for inverter-based resources. </w:t>
      </w:r>
    </w:p>
    <w:p w:rsidR="00DB3A74" w:rsidRPr="00DB3A74" w:rsidRDefault="00DB3A74" w:rsidP="00DB3A74">
      <w:pPr>
        <w:rPr>
          <w:rFonts w:eastAsia="Calibri"/>
        </w:rPr>
      </w:pPr>
      <w:r w:rsidRPr="00DB3A74">
        <w:rPr>
          <w:rFonts w:eastAsia="Calibri"/>
        </w:rPr>
        <w:t>The interconnection of distributed energy resources (DERs) will continue to add complexity to the power grid.  In recent years, more and more small resources are seeking to interconnect to the distribution system</w:t>
      </w:r>
      <w:r w:rsidRPr="00DB3A74">
        <w:rPr>
          <w:rFonts w:eastAsia="Calibri"/>
          <w:vertAlign w:val="superscript"/>
        </w:rPr>
        <w:footnoteReference w:id="67"/>
      </w:r>
      <w:r w:rsidRPr="00DB3A74">
        <w:rPr>
          <w:rFonts w:eastAsia="Calibri"/>
        </w:rPr>
        <w:t xml:space="preserve"> and participate in the wholesale markets.  The ISO recognizes there will be an impact to the ISO</w:t>
      </w:r>
      <w:r w:rsidR="0041184E">
        <w:rPr>
          <w:rFonts w:eastAsia="Calibri"/>
        </w:rPr>
        <w:t>-</w:t>
      </w:r>
      <w:r w:rsidRPr="00DB3A74">
        <w:rPr>
          <w:rFonts w:eastAsia="Calibri"/>
        </w:rPr>
        <w:t xml:space="preserve">administered transmission system as more DERs interconnect.  Therefore, to ensure a reliable grid, it is essential that the ISO continue to work closely with transmission owners to ensure the proper </w:t>
      </w:r>
      <w:hyperlink r:id="rId173" w:history="1">
        <w:r w:rsidRPr="00726DA4">
          <w:rPr>
            <w:rStyle w:val="Hyperlink"/>
          </w:rPr>
          <w:t>interconnection process</w:t>
        </w:r>
      </w:hyperlink>
      <w:r w:rsidRPr="00DB3A74">
        <w:rPr>
          <w:rFonts w:eastAsia="Calibri"/>
        </w:rPr>
        <w:t xml:space="preserve"> is followed.</w:t>
      </w:r>
    </w:p>
    <w:p w:rsidR="00DB3A74" w:rsidRPr="00DB3A74" w:rsidRDefault="00DB3A74" w:rsidP="00DB3A74">
      <w:pPr>
        <w:rPr>
          <w:rFonts w:eastAsia="Calibri"/>
        </w:rPr>
      </w:pPr>
      <w:r w:rsidRPr="00DB3A74">
        <w:rPr>
          <w:rFonts w:eastAsia="Calibri"/>
        </w:rPr>
        <w:t xml:space="preserve">In certain circumstances, projects interconnecting through the FERC jurisdictional process can be studied in a </w:t>
      </w:r>
      <w:r w:rsidRPr="00DB3A74">
        <w:rPr>
          <w:rFonts w:eastAsia="Calibri"/>
          <w:i/>
        </w:rPr>
        <w:t>cluster</w:t>
      </w:r>
      <w:r w:rsidRPr="00DB3A74">
        <w:rPr>
          <w:rFonts w:eastAsia="Calibri"/>
        </w:rPr>
        <w:t xml:space="preserve">, in accordance with the Clustering Provisions in Schedules </w:t>
      </w:r>
      <w:hyperlink r:id="rId174" w:history="1">
        <w:r w:rsidRPr="00726DA4">
          <w:rPr>
            <w:rStyle w:val="Hyperlink"/>
          </w:rPr>
          <w:t>22</w:t>
        </w:r>
      </w:hyperlink>
      <w:r w:rsidRPr="00DB3A74">
        <w:rPr>
          <w:rFonts w:eastAsia="Calibri"/>
        </w:rPr>
        <w:t xml:space="preserve">, </w:t>
      </w:r>
      <w:hyperlink r:id="rId175" w:history="1">
        <w:r w:rsidRPr="00726DA4">
          <w:rPr>
            <w:rStyle w:val="Hyperlink"/>
          </w:rPr>
          <w:t>23</w:t>
        </w:r>
      </w:hyperlink>
      <w:r w:rsidRPr="00DB3A74">
        <w:rPr>
          <w:rFonts w:eastAsia="Calibri"/>
        </w:rPr>
        <w:t xml:space="preserve">, and </w:t>
      </w:r>
      <w:hyperlink r:id="rId176" w:history="1">
        <w:r w:rsidRPr="00726DA4">
          <w:rPr>
            <w:rStyle w:val="Hyperlink"/>
          </w:rPr>
          <w:t>25</w:t>
        </w:r>
      </w:hyperlink>
      <w:r w:rsidRPr="00DB3A74">
        <w:rPr>
          <w:rFonts w:eastAsia="Calibri"/>
        </w:rPr>
        <w:t xml:space="preserve"> of the OATT. The study reports and other related materials for projects that are evaluated as part of a cluster </w:t>
      </w:r>
      <w:r w:rsidR="0041184E">
        <w:rPr>
          <w:rFonts w:eastAsia="Calibri"/>
        </w:rPr>
        <w:t>are described in the next section</w:t>
      </w:r>
      <w:r w:rsidR="002514A4">
        <w:rPr>
          <w:rFonts w:eastAsia="Calibri"/>
        </w:rPr>
        <w:t xml:space="preserve">, </w:t>
      </w:r>
      <w:r w:rsidR="002514A4" w:rsidRPr="00DB3A74">
        <w:rPr>
          <w:rFonts w:eastAsia="Calibri"/>
        </w:rPr>
        <w:t>study</w:t>
      </w:r>
      <w:r w:rsidRPr="00DB3A74">
        <w:rPr>
          <w:rFonts w:eastAsia="Calibri"/>
        </w:rPr>
        <w:t xml:space="preserve"> reports for projects that are being studied serially can be found on the </w:t>
      </w:r>
      <w:hyperlink r:id="rId177" w:history="1">
        <w:r w:rsidRPr="00F66927">
          <w:rPr>
            <w:rStyle w:val="Hyperlink"/>
            <w:rFonts w:eastAsia="Calibri"/>
          </w:rPr>
          <w:t>Interconnection Request Studies</w:t>
        </w:r>
      </w:hyperlink>
      <w:r w:rsidRPr="00DB3A74">
        <w:rPr>
          <w:rFonts w:eastAsia="Calibri"/>
        </w:rPr>
        <w:t xml:space="preserve"> webpage.   </w:t>
      </w:r>
    </w:p>
    <w:p w:rsidR="00DB3A74" w:rsidRPr="00DB3A74" w:rsidRDefault="00DB3A74" w:rsidP="0008531A">
      <w:pPr>
        <w:pStyle w:val="Heading4"/>
      </w:pPr>
      <w:bookmarkStart w:id="496" w:name="_Cluster_Studies"/>
      <w:bookmarkEnd w:id="496"/>
      <w:r w:rsidRPr="00DB3A74">
        <w:t>Cluster Studies</w:t>
      </w:r>
    </w:p>
    <w:p w:rsidR="0091289A" w:rsidRDefault="00DB3A74" w:rsidP="00DB3A74">
      <w:pPr>
        <w:rPr>
          <w:rFonts w:eastAsia="Calibri"/>
        </w:rPr>
      </w:pPr>
      <w:r w:rsidRPr="00DB3A74">
        <w:rPr>
          <w:rFonts w:eastAsia="Calibri"/>
        </w:rPr>
        <w:t>As of April 1, 2021, System Impact Studies</w:t>
      </w:r>
      <w:r w:rsidRPr="00DB3A74">
        <w:rPr>
          <w:rFonts w:eastAsia="Calibri"/>
          <w:vertAlign w:val="superscript"/>
        </w:rPr>
        <w:footnoteReference w:id="68"/>
      </w:r>
      <w:r w:rsidRPr="00DB3A74">
        <w:rPr>
          <w:rFonts w:eastAsia="Calibri"/>
        </w:rPr>
        <w:t xml:space="preserve"> have already been completed for 1,600 megawatts (MW) of offshore wind interconnecting to Cape Cod. Cape Cod is just one of the areas</w:t>
      </w:r>
      <w:r w:rsidRPr="00DB3A74">
        <w:rPr>
          <w:rFonts w:eastAsia="Calibri"/>
          <w:vertAlign w:val="superscript"/>
        </w:rPr>
        <w:footnoteReference w:id="69"/>
      </w:r>
      <w:r w:rsidRPr="00DB3A74">
        <w:rPr>
          <w:rFonts w:eastAsia="Calibri"/>
        </w:rPr>
        <w:t xml:space="preserve"> within New England where offshore wind interconnections have been proposed due to the completed auction of U.S. Bureau of Ocean Energy Management (BOEM) </w:t>
      </w:r>
      <w:hyperlink r:id="rId178" w:anchor="x=-74.00&amp;y=39.00&amp;z=7&amp;logo=true&amp;controls=true&amp;dls%5B%5D=true&amp;dls%5B%5D=0.6&amp;dls%5B%5D=310&amp;basemap=ocean&amp;themes%5Bids%5D%5B%5D=3&amp;tab=data&amp;legends=false&amp;layers=true" w:history="1">
        <w:r w:rsidRPr="00726DA4">
          <w:rPr>
            <w:rStyle w:val="Hyperlink"/>
          </w:rPr>
          <w:t>lease areas</w:t>
        </w:r>
      </w:hyperlink>
      <w:r w:rsidRPr="00DB3A74">
        <w:rPr>
          <w:rFonts w:eastAsia="Calibri"/>
        </w:rPr>
        <w:t xml:space="preserve">, off the shores of Massachusetts and Rhode Island, and in Wind </w:t>
      </w:r>
      <w:r w:rsidRPr="00DB3A74">
        <w:rPr>
          <w:rFonts w:eastAsia="Calibri"/>
        </w:rPr>
        <w:t xml:space="preserve">Energy Areas (WEAs) on the Outer Continental Shelf. </w:t>
      </w:r>
    </w:p>
    <w:p w:rsidR="00845391" w:rsidRDefault="0091289A" w:rsidP="00845391">
      <w:pPr>
        <w:rPr>
          <w:rFonts w:eastAsia="Calibri"/>
        </w:rPr>
      </w:pPr>
      <w:r w:rsidRPr="00DB3A74">
        <w:rPr>
          <w:rFonts w:eastAsia="Calibri"/>
        </w:rPr>
        <w:t xml:space="preserve">ISO New England recognizes the need to expeditiously study wind interconnections. The </w:t>
      </w:r>
      <w:hyperlink r:id="rId179" w:history="1">
        <w:r w:rsidRPr="00950EEB">
          <w:rPr>
            <w:rStyle w:val="Hyperlink"/>
            <w:i/>
          </w:rPr>
          <w:t>2016/2017 Maine Resource Integration Study</w:t>
        </w:r>
      </w:hyperlink>
      <w:r w:rsidR="002B0C68">
        <w:rPr>
          <w:rStyle w:val="Hyperlink"/>
          <w:i/>
        </w:rPr>
        <w:t xml:space="preserve"> (MRIS)</w:t>
      </w:r>
      <w:r w:rsidRPr="00DB3A74">
        <w:rPr>
          <w:rFonts w:eastAsia="Calibri"/>
          <w:i/>
        </w:rPr>
        <w:t xml:space="preserve"> </w:t>
      </w:r>
      <w:r w:rsidRPr="00DB3A74">
        <w:rPr>
          <w:rFonts w:eastAsia="Calibri"/>
        </w:rPr>
        <w:t xml:space="preserve">identified transmission upgrades necessary for interconnecting proposed resources </w:t>
      </w:r>
      <w:r w:rsidR="00845391">
        <w:rPr>
          <w:rFonts w:eastAsia="Calibri"/>
        </w:rPr>
        <w:t>in northern and western Maine. More recently, a</w:t>
      </w:r>
      <w:r w:rsidRPr="00DB3A74">
        <w:rPr>
          <w:rFonts w:eastAsia="Calibri"/>
        </w:rPr>
        <w:t xml:space="preserve"> </w:t>
      </w:r>
      <w:hyperlink r:id="rId180" w:history="1">
        <w:r w:rsidRPr="00950EEB">
          <w:rPr>
            <w:rStyle w:val="Hyperlink"/>
            <w:i/>
          </w:rPr>
          <w:t>Second Maine Integration Study</w:t>
        </w:r>
      </w:hyperlink>
      <w:r w:rsidRPr="00DB3A74">
        <w:rPr>
          <w:rFonts w:eastAsia="Calibri"/>
        </w:rPr>
        <w:t xml:space="preserve"> </w:t>
      </w:r>
      <w:r w:rsidRPr="0021238F">
        <w:rPr>
          <w:rFonts w:eastAsia="Calibri"/>
          <w:i/>
        </w:rPr>
        <w:t>(Second MRIS)</w:t>
      </w:r>
      <w:r w:rsidRPr="00DB3A74">
        <w:rPr>
          <w:rFonts w:eastAsia="Calibri"/>
        </w:rPr>
        <w:t xml:space="preserve"> was completed in October 2020 and identified transmission upgrades necessary to enable the interconnection of proposed new resources in northern Maine. </w:t>
      </w:r>
    </w:p>
    <w:p w:rsidR="00845391" w:rsidRPr="00845391" w:rsidRDefault="00845391" w:rsidP="00845391">
      <w:pPr>
        <w:rPr>
          <w:rFonts w:eastAsia="Calibri"/>
        </w:rPr>
      </w:pPr>
      <w:r w:rsidRPr="00845391">
        <w:rPr>
          <w:rFonts w:eastAsia="Calibri"/>
        </w:rPr>
        <w:t>The Second MRIS identifies a set of cluster-eligible generation Queue Positions in northern Maine. To interconnect these approximately 520 MW of proposed resources in the Aroostook County area, a new 345</w:t>
      </w:r>
      <w:r w:rsidR="00710D6E">
        <w:rPr>
          <w:rFonts w:eastAsia="Calibri"/>
        </w:rPr>
        <w:t> </w:t>
      </w:r>
      <w:r w:rsidRPr="00845391">
        <w:rPr>
          <w:rFonts w:eastAsia="Calibri"/>
        </w:rPr>
        <w:t>kV line will need to be extended from a new substation in the vicinity of the “Number Nine” wind farm to a new substation on the existing 345 kV Orrington–Albion 3023 line in the vicinity of Pittsfield. In addition, a new 345 kV line will be required between Pittsfield and Coopers Mills. The addition of a second 345 kV Coopers Mills–Maine Yankee 392 line was identified as a required upgrade for Queue Position 639</w:t>
      </w:r>
      <w:r w:rsidR="00512977">
        <w:rPr>
          <w:rFonts w:eastAsia="Calibri"/>
        </w:rPr>
        <w:t>,</w:t>
      </w:r>
      <w:r w:rsidRPr="00845391">
        <w:rPr>
          <w:rFonts w:eastAsia="Calibri"/>
        </w:rPr>
        <w:t xml:space="preserve"> and this upgrade is a Contingent Facility for this cluster. These upgrades would allow the identified 520 MW of generation to interconnect in a manner that meets the Network Capability Interconnection Standard. The upgrades would not enable the generation to connect in a way that meets the Capacity Capability Interconnection Standard if earlier-queued projects proceed and interconnect according to this standard.</w:t>
      </w:r>
    </w:p>
    <w:p w:rsidR="0091289A" w:rsidRPr="00DB3A74" w:rsidRDefault="00845391" w:rsidP="00845391">
      <w:pPr>
        <w:rPr>
          <w:rFonts w:eastAsia="Calibri"/>
        </w:rPr>
      </w:pPr>
      <w:r w:rsidRPr="00845391">
        <w:rPr>
          <w:rFonts w:eastAsia="Calibri"/>
        </w:rPr>
        <w:t xml:space="preserve">Five Elective Transmission Upgrades (ETUs) were also identified as eligible to </w:t>
      </w:r>
      <w:r w:rsidR="000053F4" w:rsidRPr="00845391">
        <w:rPr>
          <w:rFonts w:eastAsia="Calibri"/>
        </w:rPr>
        <w:t>participate</w:t>
      </w:r>
      <w:r w:rsidRPr="00845391">
        <w:rPr>
          <w:rFonts w:eastAsia="Calibri"/>
        </w:rPr>
        <w:t xml:space="preserve"> in this Second MRIS</w:t>
      </w:r>
      <w:r w:rsidR="00D524EB">
        <w:rPr>
          <w:rFonts w:eastAsia="Calibri"/>
        </w:rPr>
        <w:t xml:space="preserve">. </w:t>
      </w:r>
      <w:r w:rsidRPr="00845391">
        <w:rPr>
          <w:rFonts w:eastAsia="Calibri"/>
        </w:rPr>
        <w:t>These ETUs themselves constitute significant new transmission line infrastructure rated at or above 115 kV alternating current (AC) or high-voltage direct current (HVDC). This significant new infrastructure would allow these ETUs to connect either individually or on a cluster basis.</w:t>
      </w:r>
      <w:r w:rsidR="00D524EB">
        <w:rPr>
          <w:rFonts w:eastAsia="Calibri"/>
        </w:rPr>
        <w:t xml:space="preserve"> </w:t>
      </w:r>
      <w:r w:rsidR="00D524EB" w:rsidRPr="00D524EB">
        <w:rPr>
          <w:rFonts w:eastAsia="Calibri"/>
        </w:rPr>
        <w:t xml:space="preserve">The window to participate in this </w:t>
      </w:r>
      <w:r w:rsidR="00D524EB" w:rsidRPr="00D524EB">
        <w:rPr>
          <w:rFonts w:eastAsia="Times New Roman"/>
        </w:rPr>
        <w:t>cluster study closed and no interconnection requests opted to join the cluster.</w:t>
      </w:r>
    </w:p>
    <w:p w:rsidR="000D27F9" w:rsidRDefault="00845391" w:rsidP="00DB3A74">
      <w:pPr>
        <w:rPr>
          <w:szCs w:val="22"/>
        </w:rPr>
      </w:pPr>
      <w:r>
        <w:rPr>
          <w:rFonts w:eastAsia="Calibri"/>
        </w:rPr>
        <w:t>Significant o</w:t>
      </w:r>
      <w:r w:rsidRPr="00DB3A74">
        <w:rPr>
          <w:rFonts w:eastAsia="Calibri"/>
        </w:rPr>
        <w:t xml:space="preserve">ffshore wind is being proposed in southern New England and being studied </w:t>
      </w:r>
      <w:r w:rsidR="000D27F9">
        <w:rPr>
          <w:rFonts w:eastAsia="Calibri"/>
        </w:rPr>
        <w:t xml:space="preserve">as </w:t>
      </w:r>
      <w:r>
        <w:rPr>
          <w:rFonts w:eastAsia="Calibri"/>
        </w:rPr>
        <w:t>another cluster study.</w:t>
      </w:r>
      <w:r w:rsidRPr="00DB3A74">
        <w:rPr>
          <w:rFonts w:eastAsia="Calibri"/>
        </w:rPr>
        <w:t xml:space="preserve"> </w:t>
      </w:r>
      <w:hyperlink r:id="rId181" w:history="1">
        <w:r w:rsidR="000D27F9" w:rsidRPr="00E85815">
          <w:rPr>
            <w:rStyle w:val="Hyperlink"/>
            <w:i/>
            <w:iCs/>
            <w:szCs w:val="22"/>
          </w:rPr>
          <w:t>First Cape Cod Resource Integration Study</w:t>
        </w:r>
      </w:hyperlink>
      <w:r w:rsidR="000D27F9" w:rsidRPr="000D27F9">
        <w:rPr>
          <w:i/>
          <w:iCs/>
          <w:szCs w:val="22"/>
        </w:rPr>
        <w:t xml:space="preserve"> </w:t>
      </w:r>
      <w:r w:rsidR="000D27F9" w:rsidRPr="0021238F">
        <w:rPr>
          <w:i/>
          <w:szCs w:val="22"/>
        </w:rPr>
        <w:t>(CCRIS)</w:t>
      </w:r>
      <w:r w:rsidR="000D27F9" w:rsidRPr="000D27F9">
        <w:rPr>
          <w:szCs w:val="22"/>
        </w:rPr>
        <w:t xml:space="preserve"> was completed on July 30, 2021. The study sought to identify the transmission upgrades necessary to enable the interconnection of proposed new offshore wind resources to Cape Cod. The transmission infrastructure that serves the Cape Cod area was developed to serve the area load and historically connected generation, particularly Canal </w:t>
      </w:r>
      <w:r w:rsidR="00614B78">
        <w:rPr>
          <w:szCs w:val="22"/>
        </w:rPr>
        <w:t>S</w:t>
      </w:r>
      <w:r w:rsidR="000D27F9" w:rsidRPr="000D27F9">
        <w:rPr>
          <w:szCs w:val="22"/>
        </w:rPr>
        <w:t xml:space="preserve">tation and Pilgrim </w:t>
      </w:r>
      <w:r w:rsidR="00614B78">
        <w:rPr>
          <w:szCs w:val="22"/>
        </w:rPr>
        <w:t>S</w:t>
      </w:r>
      <w:r w:rsidR="000D27F9" w:rsidRPr="000D27F9">
        <w:rPr>
          <w:szCs w:val="22"/>
        </w:rPr>
        <w:t>tation. Significant amounts of offshore wind resources are now projected to interconnect to the New England region. Offshore lease areas have been established to the south of Martha’s Vineyard and Nantucket. Cape Cod is one of the closer landing points from these lease areas and, as a result, several projects have proposed to connect to this part of the system. The total quantity of proposed connections, however, is much higher than what was contemplated by the current area infrastructure. Significant new transmission infrastructure is likely to be required to interconnect all of</w:t>
      </w:r>
      <w:r w:rsidR="00B107E5">
        <w:rPr>
          <w:szCs w:val="22"/>
        </w:rPr>
        <w:t xml:space="preserve"> the</w:t>
      </w:r>
      <w:r w:rsidR="000D27F9" w:rsidRPr="000D27F9">
        <w:rPr>
          <w:szCs w:val="22"/>
        </w:rPr>
        <w:t xml:space="preserve"> proposed resources in Cape Cod.</w:t>
      </w:r>
    </w:p>
    <w:p w:rsidR="00DB3A74" w:rsidRPr="00DB3A74" w:rsidRDefault="00DB3A74" w:rsidP="00DB3A74">
      <w:pPr>
        <w:rPr>
          <w:rFonts w:eastAsia="Calibri"/>
        </w:rPr>
      </w:pPr>
      <w:r w:rsidRPr="00DB3A74">
        <w:rPr>
          <w:rFonts w:eastAsia="Calibri"/>
        </w:rPr>
        <w:t xml:space="preserve">A </w:t>
      </w:r>
      <w:hyperlink r:id="rId182" w:history="1">
        <w:r w:rsidRPr="000D27F9">
          <w:rPr>
            <w:rStyle w:val="Hyperlink"/>
            <w:rFonts w:eastAsia="Calibri"/>
          </w:rPr>
          <w:t>second CCRIS</w:t>
        </w:r>
      </w:hyperlink>
      <w:r w:rsidRPr="00DB3A74">
        <w:rPr>
          <w:rFonts w:eastAsia="Calibri"/>
        </w:rPr>
        <w:t xml:space="preserve"> </w:t>
      </w:r>
      <w:r w:rsidR="000D27F9">
        <w:rPr>
          <w:rFonts w:eastAsia="Calibri"/>
        </w:rPr>
        <w:t>commenced in May 2021</w:t>
      </w:r>
      <w:r w:rsidRPr="00DB3A74">
        <w:rPr>
          <w:rFonts w:eastAsia="Calibri"/>
        </w:rPr>
        <w:t xml:space="preserve"> to identify enabling upgrades for </w:t>
      </w:r>
      <w:r w:rsidR="000D27F9">
        <w:rPr>
          <w:rFonts w:eastAsia="Calibri"/>
        </w:rPr>
        <w:t>up</w:t>
      </w:r>
      <w:r w:rsidR="00773942">
        <w:rPr>
          <w:rFonts w:eastAsia="Calibri"/>
        </w:rPr>
        <w:t xml:space="preserve"> </w:t>
      </w:r>
      <w:r w:rsidR="000D27F9">
        <w:rPr>
          <w:rFonts w:eastAsia="Calibri"/>
        </w:rPr>
        <w:t xml:space="preserve">to 3,200 MW of </w:t>
      </w:r>
      <w:r w:rsidRPr="00DB3A74">
        <w:rPr>
          <w:rFonts w:eastAsia="Calibri"/>
        </w:rPr>
        <w:t>additional offshore wind interconnections in the Cape Cod area</w:t>
      </w:r>
      <w:r w:rsidR="000D27F9">
        <w:rPr>
          <w:rFonts w:eastAsia="Calibri"/>
        </w:rPr>
        <w:t xml:space="preserve"> and new transmission between Cape Cod and Boston</w:t>
      </w:r>
      <w:r w:rsidRPr="00DB3A74">
        <w:rPr>
          <w:rFonts w:eastAsia="Calibri"/>
        </w:rPr>
        <w:t>.</w:t>
      </w:r>
    </w:p>
    <w:p w:rsidR="00DB3A74" w:rsidRPr="00DB3A74" w:rsidRDefault="00DB3A74" w:rsidP="0008531A">
      <w:pPr>
        <w:pStyle w:val="Heading2"/>
        <w:rPr>
          <w:rFonts w:eastAsia="Times New Roman"/>
        </w:rPr>
      </w:pPr>
      <w:bookmarkStart w:id="497" w:name="_Ref11055351"/>
      <w:bookmarkStart w:id="498" w:name="_Toc81544535"/>
      <w:r w:rsidRPr="00DB3A74">
        <w:rPr>
          <w:rFonts w:eastAsia="Times New Roman"/>
        </w:rPr>
        <w:t>A Changing Grid</w:t>
      </w:r>
      <w:bookmarkEnd w:id="497"/>
      <w:bookmarkEnd w:id="498"/>
    </w:p>
    <w:p w:rsidR="00DB3A74" w:rsidRPr="00DB3A74" w:rsidRDefault="00DB3A74" w:rsidP="00DB3A74">
      <w:pPr>
        <w:rPr>
          <w:rFonts w:eastAsia="Calibri"/>
        </w:rPr>
      </w:pPr>
      <w:r w:rsidRPr="00DB3A74">
        <w:rPr>
          <w:rFonts w:eastAsia="Calibri"/>
        </w:rPr>
        <w:t>Environmental laws, regulations</w:t>
      </w:r>
      <w:r w:rsidR="00E87570">
        <w:rPr>
          <w:rFonts w:eastAsia="Calibri"/>
        </w:rPr>
        <w:t>,</w:t>
      </w:r>
      <w:r w:rsidRPr="00DB3A74">
        <w:rPr>
          <w:rFonts w:eastAsia="Calibri"/>
        </w:rPr>
        <w:t xml:space="preserve"> policies, and a desire for grid resiliency continue </w:t>
      </w:r>
      <w:r w:rsidR="00E87570">
        <w:rPr>
          <w:rFonts w:eastAsia="Calibri"/>
        </w:rPr>
        <w:t xml:space="preserve">to </w:t>
      </w:r>
      <w:r w:rsidRPr="00DB3A74">
        <w:rPr>
          <w:rFonts w:eastAsia="Calibri"/>
        </w:rPr>
        <w:t xml:space="preserve">transform the electric-power grid into one where renewable resources provide increasing amounts of electric energy. </w:t>
      </w:r>
      <w:r w:rsidR="00E87570">
        <w:rPr>
          <w:rFonts w:eastAsia="Calibri"/>
        </w:rPr>
        <w:t>The</w:t>
      </w:r>
      <w:r w:rsidRPr="00DB3A74">
        <w:rPr>
          <w:rFonts w:eastAsia="Calibri"/>
        </w:rPr>
        <w:t xml:space="preserve"> long-term decarbonization relies on </w:t>
      </w:r>
      <w:r w:rsidR="006438A6">
        <w:rPr>
          <w:rFonts w:eastAsia="Calibri"/>
        </w:rPr>
        <w:t xml:space="preserve">the </w:t>
      </w:r>
      <w:r w:rsidRPr="00DB3A74">
        <w:rPr>
          <w:rFonts w:eastAsia="Calibri"/>
        </w:rPr>
        <w:t>grow</w:t>
      </w:r>
      <w:r w:rsidR="00E87570">
        <w:rPr>
          <w:rFonts w:eastAsia="Calibri"/>
        </w:rPr>
        <w:t>ing</w:t>
      </w:r>
      <w:r w:rsidRPr="00DB3A74">
        <w:rPr>
          <w:rFonts w:eastAsia="Calibri"/>
        </w:rPr>
        <w:t xml:space="preserve"> of renewable electric energy supplies coupled with the electrification of the transportation and heating sectors. With the continued decline in the capital costs for renewable resources, along with efficiency and performance improvements</w:t>
      </w:r>
      <w:r w:rsidR="00E87570">
        <w:rPr>
          <w:rFonts w:eastAsia="Calibri"/>
        </w:rPr>
        <w:t xml:space="preserve"> enabled by</w:t>
      </w:r>
      <w:r w:rsidRPr="00DB3A74">
        <w:rPr>
          <w:rFonts w:eastAsia="Calibri"/>
        </w:rPr>
        <w:t xml:space="preserve"> technological innovations</w:t>
      </w:r>
      <w:r w:rsidR="00E87570">
        <w:rPr>
          <w:rFonts w:eastAsia="Calibri"/>
        </w:rPr>
        <w:t>,</w:t>
      </w:r>
      <w:r w:rsidRPr="00DB3A74">
        <w:rPr>
          <w:rFonts w:eastAsia="Calibri"/>
        </w:rPr>
        <w:t xml:space="preserve"> large amounts of variable energy resources (VERs) such as wind and PV</w:t>
      </w:r>
      <w:r w:rsidR="00931233">
        <w:rPr>
          <w:rFonts w:eastAsia="Calibri"/>
        </w:rPr>
        <w:t xml:space="preserve">, </w:t>
      </w:r>
      <w:r w:rsidRPr="00DB3A74">
        <w:rPr>
          <w:rFonts w:eastAsia="Calibri"/>
        </w:rPr>
        <w:t>DERs</w:t>
      </w:r>
      <w:r w:rsidRPr="00DB3A74">
        <w:rPr>
          <w:rFonts w:eastAsia="Calibri"/>
          <w:vertAlign w:val="superscript"/>
        </w:rPr>
        <w:footnoteReference w:id="70"/>
      </w:r>
      <w:r w:rsidRPr="00DB3A74">
        <w:rPr>
          <w:rFonts w:eastAsia="Calibri"/>
        </w:rPr>
        <w:t xml:space="preserve"> and energy-storage resources </w:t>
      </w:r>
      <w:r w:rsidR="00E87570">
        <w:rPr>
          <w:rFonts w:eastAsia="Calibri"/>
        </w:rPr>
        <w:t>are being proposed, developed and integrated in</w:t>
      </w:r>
      <w:r w:rsidRPr="00DB3A74">
        <w:rPr>
          <w:rFonts w:eastAsia="Calibri"/>
        </w:rPr>
        <w:t>to the electric grid. Additionally, high-voltage direct-current (HVDC) and flexible alternating-current transmission system (FACTS) devices are helping increase transmission system transfer limits and enabling renewable resource development in locations far from load centers.</w:t>
      </w:r>
      <w:r w:rsidRPr="00DB3A74">
        <w:rPr>
          <w:rFonts w:eastAsia="Calibri"/>
          <w:vertAlign w:val="superscript"/>
        </w:rPr>
        <w:footnoteReference w:id="71"/>
      </w:r>
      <w:r w:rsidRPr="00DB3A74">
        <w:rPr>
          <w:rFonts w:eastAsia="Calibri"/>
        </w:rPr>
        <w:t xml:space="preserve"> This large-scale development of inverter-based technologies, however, is adding complexity to planning and operating the power system. </w:t>
      </w:r>
    </w:p>
    <w:p w:rsidR="00DB3A74" w:rsidRPr="00DB3A74" w:rsidRDefault="00DB3A74" w:rsidP="00DB3A74">
      <w:pPr>
        <w:rPr>
          <w:rFonts w:eastAsia="Calibri"/>
        </w:rPr>
      </w:pPr>
      <w:r w:rsidRPr="00DB3A74">
        <w:rPr>
          <w:rFonts w:eastAsia="Calibri"/>
        </w:rPr>
        <w:t xml:space="preserve">To address these complexities, the ISO has been conducting a number of studies, gathering operational data and observations, and participating in projects assessing the integration of VERs to the New England grid. </w:t>
      </w:r>
    </w:p>
    <w:p w:rsidR="00DB3A74" w:rsidRDefault="00DB3A74" w:rsidP="00DB3A74">
      <w:pPr>
        <w:rPr>
          <w:rFonts w:eastAsia="Calibri"/>
        </w:rPr>
      </w:pPr>
      <w:r w:rsidRPr="00DB3A74">
        <w:rPr>
          <w:rFonts w:eastAsia="Calibri"/>
        </w:rPr>
        <w:t>To meet the region’s environmental goals, the New England states have individually and collectively established targets for renewable energy and energy efficiency (EE). As a result, the use of inverter-based technologies and EE has grown rapidly and is transforming the New England power grid.</w:t>
      </w:r>
    </w:p>
    <w:p w:rsidR="00A8418B" w:rsidRDefault="00A8418B" w:rsidP="00DB3A74">
      <w:pPr>
        <w:rPr>
          <w:rFonts w:eastAsia="Calibri"/>
        </w:rPr>
      </w:pPr>
      <w:r>
        <w:rPr>
          <w:rFonts w:eastAsia="Calibri"/>
        </w:rPr>
        <w:t>It is an exciting time for New England as the grid evolves. The change</w:t>
      </w:r>
      <w:r w:rsidR="00C80C19">
        <w:rPr>
          <w:rFonts w:eastAsia="Calibri"/>
        </w:rPr>
        <w:t>s</w:t>
      </w:r>
      <w:r>
        <w:rPr>
          <w:rFonts w:eastAsia="Calibri"/>
        </w:rPr>
        <w:t xml:space="preserve"> described in this chapter will undoubtedly require transmission enhancements and operational changes to ensure reliability. </w:t>
      </w:r>
      <w:r w:rsidR="006202EF" w:rsidRPr="00726DA4">
        <w:rPr>
          <w:rFonts w:eastAsia="Calibri"/>
          <w:color w:val="0070C0"/>
          <w:u w:val="single"/>
        </w:rPr>
        <w:fldChar w:fldCharType="begin"/>
      </w:r>
      <w:r w:rsidR="006202EF" w:rsidRPr="00726DA4">
        <w:rPr>
          <w:rFonts w:eastAsia="Calibri"/>
          <w:color w:val="0070C0"/>
          <w:u w:val="single"/>
        </w:rPr>
        <w:instrText xml:space="preserve"> REF _Ref77575544 \h </w:instrText>
      </w:r>
      <w:r w:rsidR="004D78D8" w:rsidRPr="00726DA4">
        <w:rPr>
          <w:rFonts w:eastAsia="Calibri"/>
          <w:color w:val="0070C0"/>
          <w:u w:val="single"/>
        </w:rPr>
        <w:instrText xml:space="preserve"> \* MERGEFORMAT </w:instrText>
      </w:r>
      <w:r w:rsidR="006202EF" w:rsidRPr="00726DA4">
        <w:rPr>
          <w:rFonts w:eastAsia="Calibri"/>
          <w:color w:val="0070C0"/>
          <w:u w:val="single"/>
        </w:rPr>
      </w:r>
      <w:r w:rsidR="006202EF" w:rsidRPr="00726DA4">
        <w:rPr>
          <w:rFonts w:eastAsia="Calibri"/>
          <w:color w:val="0070C0"/>
          <w:u w:val="single"/>
        </w:rPr>
        <w:fldChar w:fldCharType="separate"/>
      </w:r>
      <w:r w:rsidR="006202EF" w:rsidRPr="00726DA4">
        <w:rPr>
          <w:color w:val="0070C0"/>
          <w:u w:val="single"/>
        </w:rPr>
        <w:t xml:space="preserve">Figure </w:t>
      </w:r>
      <w:r w:rsidR="006202EF" w:rsidRPr="00726DA4">
        <w:rPr>
          <w:noProof/>
          <w:color w:val="0070C0"/>
          <w:u w:val="single"/>
        </w:rPr>
        <w:t>4</w:t>
      </w:r>
      <w:r w:rsidR="006202EF" w:rsidRPr="00726DA4">
        <w:rPr>
          <w:color w:val="0070C0"/>
          <w:u w:val="single"/>
        </w:rPr>
        <w:noBreakHyphen/>
      </w:r>
      <w:r w:rsidR="006202EF" w:rsidRPr="00726DA4">
        <w:rPr>
          <w:noProof/>
          <w:color w:val="0070C0"/>
          <w:u w:val="single"/>
        </w:rPr>
        <w:t>4</w:t>
      </w:r>
      <w:r w:rsidR="006202EF" w:rsidRPr="00726DA4">
        <w:rPr>
          <w:rFonts w:eastAsia="Calibri"/>
          <w:color w:val="0070C0"/>
          <w:u w:val="single"/>
        </w:rPr>
        <w:fldChar w:fldCharType="end"/>
      </w:r>
      <w:r w:rsidR="006202EF">
        <w:rPr>
          <w:rFonts w:eastAsia="Calibri"/>
        </w:rPr>
        <w:t xml:space="preserve"> </w:t>
      </w:r>
      <w:r>
        <w:rPr>
          <w:rFonts w:eastAsia="Calibri"/>
        </w:rPr>
        <w:t xml:space="preserve">highlights the significant changes expected over the </w:t>
      </w:r>
      <w:r w:rsidR="00C80C19">
        <w:rPr>
          <w:rFonts w:eastAsia="Calibri"/>
        </w:rPr>
        <w:t>10</w:t>
      </w:r>
      <w:r>
        <w:rPr>
          <w:rFonts w:eastAsia="Calibri"/>
        </w:rPr>
        <w:t xml:space="preserve">-year planning horizon. </w:t>
      </w:r>
    </w:p>
    <w:p w:rsidR="00A8418B" w:rsidRDefault="00A8418B" w:rsidP="00A8418B">
      <w:pPr>
        <w:spacing w:after="0"/>
        <w:jc w:val="center"/>
        <w:rPr>
          <w:rFonts w:eastAsia="Calibri"/>
        </w:rPr>
      </w:pPr>
    </w:p>
    <w:p w:rsidR="00A8418B" w:rsidRDefault="00A8418B" w:rsidP="00AA7CDD">
      <w:pPr>
        <w:jc w:val="center"/>
        <w:rPr>
          <w:rFonts w:eastAsia="Calibri"/>
        </w:rPr>
      </w:pPr>
    </w:p>
    <w:p w:rsidR="005B4D6E" w:rsidRPr="00DB3A74" w:rsidRDefault="005B4D6E" w:rsidP="00AA7CDD">
      <w:pPr>
        <w:jc w:val="center"/>
        <w:rPr>
          <w:rFonts w:eastAsia="Calibri"/>
        </w:rPr>
      </w:pPr>
      <w:r w:rsidRPr="005B4D6E">
        <w:rPr>
          <w:noProof/>
        </w:rPr>
        <w:drawing>
          <wp:inline distT="0" distB="0" distL="0" distR="0" wp14:anchorId="3461C397" wp14:editId="2599446F">
            <wp:extent cx="5943600" cy="3595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3595370"/>
                    </a:xfrm>
                    <a:prstGeom prst="rect">
                      <a:avLst/>
                    </a:prstGeom>
                  </pic:spPr>
                </pic:pic>
              </a:graphicData>
            </a:graphic>
          </wp:inline>
        </w:drawing>
      </w:r>
    </w:p>
    <w:p w:rsidR="006202EF" w:rsidRPr="00A76CD4" w:rsidRDefault="006202EF" w:rsidP="00A762B8">
      <w:pPr>
        <w:pStyle w:val="Caption"/>
        <w:spacing w:after="0"/>
        <w:jc w:val="left"/>
        <w:rPr>
          <w:rFonts w:eastAsia="Calibri"/>
          <w:bCs w:val="0"/>
        </w:rPr>
      </w:pPr>
      <w:bookmarkStart w:id="499" w:name="_Ref77575544"/>
      <w:bookmarkStart w:id="500" w:name="_Toc81544610"/>
      <w:r>
        <w:t xml:space="preserve">Figure </w:t>
      </w:r>
      <w:fldSimple w:instr=" STYLEREF 1 \s ">
        <w:r w:rsidR="00F85E49">
          <w:rPr>
            <w:noProof/>
          </w:rPr>
          <w:t>4</w:t>
        </w:r>
      </w:fldSimple>
      <w:r w:rsidR="00F85E49">
        <w:noBreakHyphen/>
      </w:r>
      <w:fldSimple w:instr=" SEQ Figure \* ARABIC \s 1 ">
        <w:r w:rsidR="00F85E49">
          <w:rPr>
            <w:noProof/>
          </w:rPr>
          <w:t>4</w:t>
        </w:r>
      </w:fldSimple>
      <w:bookmarkEnd w:id="499"/>
      <w:r>
        <w:t>:</w:t>
      </w:r>
      <w:r w:rsidR="00201B3A">
        <w:t xml:space="preserve"> </w:t>
      </w:r>
      <w:r w:rsidRPr="00A76CD4">
        <w:rPr>
          <w:rFonts w:eastAsia="Calibri" w:cs="Calibri"/>
          <w:bCs w:val="0"/>
        </w:rPr>
        <w:t>Energy</w:t>
      </w:r>
      <w:r w:rsidR="00A76CD4">
        <w:rPr>
          <w:rFonts w:eastAsia="Calibri" w:cs="Calibri"/>
          <w:bCs w:val="0"/>
        </w:rPr>
        <w:t xml:space="preserve"> e</w:t>
      </w:r>
      <w:r w:rsidRPr="00A76CD4">
        <w:rPr>
          <w:rFonts w:eastAsia="Calibri" w:cs="Calibri"/>
          <w:bCs w:val="0"/>
        </w:rPr>
        <w:t xml:space="preserve">fficiency and </w:t>
      </w:r>
      <w:r w:rsidR="00A76CD4">
        <w:rPr>
          <w:rFonts w:eastAsia="Calibri" w:cs="Calibri"/>
          <w:bCs w:val="0"/>
        </w:rPr>
        <w:t>r</w:t>
      </w:r>
      <w:r w:rsidRPr="00A76CD4">
        <w:rPr>
          <w:rFonts w:eastAsia="Calibri" w:cs="Calibri"/>
          <w:bCs w:val="0"/>
        </w:rPr>
        <w:t xml:space="preserve">enewable </w:t>
      </w:r>
      <w:r w:rsidR="00A76CD4">
        <w:rPr>
          <w:rFonts w:eastAsia="Calibri" w:cs="Calibri"/>
          <w:bCs w:val="0"/>
        </w:rPr>
        <w:t>r</w:t>
      </w:r>
      <w:r w:rsidRPr="00A76CD4">
        <w:rPr>
          <w:rFonts w:eastAsia="Calibri" w:cs="Calibri"/>
          <w:bCs w:val="0"/>
        </w:rPr>
        <w:t xml:space="preserve">esources </w:t>
      </w:r>
      <w:r w:rsidR="00A76CD4">
        <w:rPr>
          <w:rFonts w:eastAsia="Calibri" w:cs="Calibri"/>
          <w:bCs w:val="0"/>
        </w:rPr>
        <w:t>a</w:t>
      </w:r>
      <w:r w:rsidRPr="00A76CD4">
        <w:rPr>
          <w:rFonts w:eastAsia="Calibri" w:cs="Calibri"/>
          <w:bCs w:val="0"/>
        </w:rPr>
        <w:t xml:space="preserve">re </w:t>
      </w:r>
      <w:r w:rsidR="00A76CD4">
        <w:rPr>
          <w:rFonts w:eastAsia="Calibri" w:cs="Calibri"/>
          <w:bCs w:val="0"/>
        </w:rPr>
        <w:t>t</w:t>
      </w:r>
      <w:r w:rsidRPr="00A76CD4">
        <w:rPr>
          <w:rFonts w:eastAsia="Calibri" w:cs="Calibri"/>
          <w:bCs w:val="0"/>
        </w:rPr>
        <w:t xml:space="preserve">rending </w:t>
      </w:r>
      <w:r w:rsidR="00A76CD4">
        <w:rPr>
          <w:rFonts w:eastAsia="Calibri" w:cs="Calibri"/>
          <w:bCs w:val="0"/>
        </w:rPr>
        <w:t>u</w:t>
      </w:r>
      <w:r w:rsidRPr="00A76CD4">
        <w:rPr>
          <w:rFonts w:eastAsia="Calibri" w:cs="Calibri"/>
          <w:bCs w:val="0"/>
        </w:rPr>
        <w:t>p</w:t>
      </w:r>
      <w:bookmarkEnd w:id="500"/>
      <w:r w:rsidRPr="00A76CD4">
        <w:rPr>
          <w:rFonts w:eastAsia="Calibri" w:cs="Calibri"/>
          <w:bCs w:val="0"/>
        </w:rPr>
        <w:t xml:space="preserve"> </w:t>
      </w:r>
    </w:p>
    <w:p w:rsidR="00DB3A74" w:rsidRPr="00DB3A74" w:rsidRDefault="00DB3A74" w:rsidP="00A74AB1">
      <w:pPr>
        <w:pStyle w:val="Heading4"/>
      </w:pPr>
      <w:r w:rsidRPr="00DB3A74">
        <w:t>Government Policies Shaping the Grid</w:t>
      </w:r>
    </w:p>
    <w:p w:rsidR="00DB3A74" w:rsidRPr="00DB3A74" w:rsidRDefault="00DB3A74" w:rsidP="00DB3A74">
      <w:pPr>
        <w:rPr>
          <w:rFonts w:eastAsia="Calibri"/>
        </w:rPr>
      </w:pPr>
      <w:r w:rsidRPr="00DB3A74">
        <w:rPr>
          <w:rFonts w:eastAsia="Calibri"/>
        </w:rPr>
        <w:t>The New England states’ clean energy goals and related policies are driving a transformation in the resource mix and load patterns across New England.  This trend is expected to continue into the middle of the century, and it will be impacted by federal policies. In addition to traditional Renewable Portfolio Standards, energy efficiency goals, and state procurements, states are increasingly looking to policies that promote the electrification of heating and transportation in order to meet their carbon reduction goals. The states have individually and collectively issued a number of Requests for Proposals (RFPs) for more than 5,000 megawatts (MW) of clean energy resources and for a high-voltage direct-current (HVDC) interconnection to deliver Canadian hydroelectric power. Offshore wind resources are advancing through state and federal processes, electric vehicles and supporting infrastructure incentives are increasing, and other policy innovations will continue to advance within and across each New England state</w:t>
      </w:r>
      <w:r w:rsidR="00734A55">
        <w:rPr>
          <w:rFonts w:eastAsia="Calibri"/>
        </w:rPr>
        <w:t>.</w:t>
      </w:r>
      <w:r w:rsidRPr="00DB3A74">
        <w:rPr>
          <w:rFonts w:eastAsia="Calibri"/>
        </w:rPr>
        <w:t xml:space="preserve">  For greater detail on state policy activity affecting the grid, please see </w:t>
      </w:r>
      <w:hyperlink w:anchor="_State_and_Federal" w:history="1">
        <w:r w:rsidRPr="00F955C3">
          <w:rPr>
            <w:rStyle w:val="Hyperlink"/>
            <w:rFonts w:eastAsia="Calibri"/>
          </w:rPr>
          <w:t>Chapter 7</w:t>
        </w:r>
      </w:hyperlink>
      <w:r w:rsidRPr="00DB3A74">
        <w:rPr>
          <w:rFonts w:eastAsia="Calibri"/>
        </w:rPr>
        <w:t>.</w:t>
      </w:r>
    </w:p>
    <w:p w:rsidR="00DB3A74" w:rsidRPr="00DB3A74" w:rsidRDefault="00DB3A74" w:rsidP="0008531A">
      <w:pPr>
        <w:pStyle w:val="Heading4"/>
      </w:pPr>
      <w:bookmarkStart w:id="501" w:name="_Ref12108148"/>
      <w:bookmarkStart w:id="502" w:name="_Ref11843457"/>
      <w:bookmarkStart w:id="503" w:name="_Ref11834922"/>
      <w:bookmarkStart w:id="504" w:name="_Ref11832384"/>
      <w:r w:rsidRPr="00DB3A74">
        <w:t>Transformation of the Grid</w:t>
      </w:r>
      <w:bookmarkEnd w:id="501"/>
      <w:bookmarkEnd w:id="502"/>
      <w:bookmarkEnd w:id="503"/>
      <w:bookmarkEnd w:id="504"/>
    </w:p>
    <w:p w:rsidR="00DB3A74" w:rsidRPr="00DB3A74" w:rsidRDefault="00DB3A74" w:rsidP="00DB3A74">
      <w:pPr>
        <w:rPr>
          <w:rFonts w:eastAsia="Calibri"/>
        </w:rPr>
      </w:pPr>
      <w:r w:rsidRPr="00DB3A74">
        <w:rPr>
          <w:rFonts w:eastAsia="Calibri"/>
        </w:rPr>
        <w:t xml:space="preserve">The transition to a future grid that is powered primarily by zero-carbon emitting resources will entail major changes to the operation, planning, and structure of the power system. </w:t>
      </w:r>
      <w:r w:rsidRPr="00DB3A74">
        <w:rPr>
          <w:rFonts w:eastAsia="Times New Roman"/>
        </w:rPr>
        <w:t xml:space="preserve">Given that </w:t>
      </w:r>
      <w:r w:rsidR="00734A55">
        <w:rPr>
          <w:rFonts w:eastAsia="Times New Roman"/>
        </w:rPr>
        <w:t xml:space="preserve">the production of </w:t>
      </w:r>
      <w:r w:rsidRPr="00DB3A74">
        <w:rPr>
          <w:rFonts w:eastAsia="Times New Roman"/>
        </w:rPr>
        <w:t xml:space="preserve">VERs </w:t>
      </w:r>
      <w:r w:rsidR="00734A55">
        <w:rPr>
          <w:rFonts w:eastAsia="Times New Roman"/>
        </w:rPr>
        <w:t>is</w:t>
      </w:r>
      <w:r w:rsidRPr="00DB3A74">
        <w:rPr>
          <w:rFonts w:eastAsia="Times New Roman"/>
        </w:rPr>
        <w:t xml:space="preserve"> weather-dependent </w:t>
      </w:r>
      <w:r w:rsidR="00734A55">
        <w:rPr>
          <w:rFonts w:eastAsia="Times New Roman"/>
        </w:rPr>
        <w:t>and</w:t>
      </w:r>
      <w:r w:rsidRPr="00DB3A74">
        <w:rPr>
          <w:rFonts w:eastAsia="Times New Roman"/>
        </w:rPr>
        <w:t xml:space="preserve"> that the ISO is unable to directly observe</w:t>
      </w:r>
      <w:r w:rsidR="00696587">
        <w:rPr>
          <w:rFonts w:eastAsia="Times New Roman"/>
        </w:rPr>
        <w:t xml:space="preserve"> or control most of the </w:t>
      </w:r>
      <w:r w:rsidRPr="00DB3A74">
        <w:rPr>
          <w:rFonts w:eastAsia="Times New Roman"/>
        </w:rPr>
        <w:t xml:space="preserve">DERs in the power system, planning and operating the power system is becoming </w:t>
      </w:r>
      <w:r w:rsidR="00734A55">
        <w:rPr>
          <w:rFonts w:eastAsia="Times New Roman"/>
        </w:rPr>
        <w:t>more</w:t>
      </w:r>
      <w:r w:rsidR="00734A55" w:rsidRPr="00DB3A74">
        <w:rPr>
          <w:rFonts w:eastAsia="Times New Roman"/>
        </w:rPr>
        <w:t xml:space="preserve"> </w:t>
      </w:r>
      <w:r w:rsidRPr="00DB3A74">
        <w:rPr>
          <w:rFonts w:eastAsia="Times New Roman"/>
        </w:rPr>
        <w:t xml:space="preserve">complex. System models and analyses must accurately address  uncertainties like the weather or DER output; it is essential for the ISO to understand demand projections, variable- and distributed energy-resource outputs, and the state of the power system overall, to meet planning and operating objectives, manage risks, and administer the wholesale power markets. </w:t>
      </w:r>
      <w:r w:rsidR="00734A55">
        <w:rPr>
          <w:rFonts w:eastAsia="Times New Roman"/>
        </w:rPr>
        <w:t>The ISO is also seeking to enhance s</w:t>
      </w:r>
      <w:r w:rsidRPr="00DB3A74">
        <w:rPr>
          <w:rFonts w:eastAsia="Times New Roman"/>
        </w:rPr>
        <w:t xml:space="preserve">ystem security </w:t>
      </w:r>
      <w:r w:rsidR="00734A55">
        <w:rPr>
          <w:rFonts w:eastAsia="Times New Roman"/>
        </w:rPr>
        <w:t>by improving the planning and coordination of the</w:t>
      </w:r>
      <w:r w:rsidR="006A12CF">
        <w:rPr>
          <w:rFonts w:eastAsia="Times New Roman"/>
        </w:rPr>
        <w:t xml:space="preserve"> transmission and distribution</w:t>
      </w:r>
      <w:r w:rsidRPr="00DB3A74">
        <w:rPr>
          <w:rFonts w:eastAsia="Times New Roman"/>
        </w:rPr>
        <w:t xml:space="preserve"> systems where flows are likely to become more variable and less controllable. </w:t>
      </w:r>
    </w:p>
    <w:p w:rsidR="00DB3A74" w:rsidRPr="00DB3A74" w:rsidRDefault="00DB3A74" w:rsidP="00DB3A74">
      <w:pPr>
        <w:rPr>
          <w:rFonts w:eastAsia="Calibri"/>
        </w:rPr>
      </w:pPr>
      <w:r w:rsidRPr="00DB3A74">
        <w:rPr>
          <w:rFonts w:eastAsia="Calibri"/>
        </w:rPr>
        <w:t xml:space="preserve">The ISO has already experienced a shift in demand, and expects this trend to continue.  Summer peaks occur later in the day, and </w:t>
      </w:r>
      <w:r w:rsidR="006A12CF">
        <w:rPr>
          <w:rFonts w:eastAsia="Calibri"/>
        </w:rPr>
        <w:t xml:space="preserve">the ramp time to reach </w:t>
      </w:r>
      <w:r w:rsidRPr="00DB3A74">
        <w:rPr>
          <w:rFonts w:eastAsia="Calibri"/>
        </w:rPr>
        <w:t>the peak</w:t>
      </w:r>
      <w:r w:rsidR="006A12CF">
        <w:rPr>
          <w:rFonts w:eastAsia="Calibri"/>
        </w:rPr>
        <w:t xml:space="preserve"> has increased</w:t>
      </w:r>
      <w:r w:rsidRPr="00DB3A74">
        <w:rPr>
          <w:rFonts w:eastAsia="Calibri"/>
        </w:rPr>
        <w:t>. Winter operating periods display increased variability</w:t>
      </w:r>
      <w:r w:rsidR="00734A55">
        <w:rPr>
          <w:rFonts w:eastAsia="Calibri"/>
        </w:rPr>
        <w:t xml:space="preserve">, driven by post-sunset peak demand, </w:t>
      </w:r>
      <w:r w:rsidR="00591DD5">
        <w:rPr>
          <w:rFonts w:eastAsia="Calibri"/>
        </w:rPr>
        <w:t xml:space="preserve">PV </w:t>
      </w:r>
      <w:r w:rsidRPr="00DB3A74">
        <w:rPr>
          <w:rFonts w:eastAsia="Calibri"/>
        </w:rPr>
        <w:t xml:space="preserve">snow cover, and </w:t>
      </w:r>
      <w:r w:rsidR="00734A55">
        <w:rPr>
          <w:rFonts w:eastAsia="Calibri"/>
        </w:rPr>
        <w:t>rapidly changing</w:t>
      </w:r>
      <w:r w:rsidRPr="00DB3A74">
        <w:rPr>
          <w:rFonts w:eastAsia="Calibri"/>
        </w:rPr>
        <w:t xml:space="preserve"> weather patterns. For example, changes in snow cover </w:t>
      </w:r>
      <w:r w:rsidR="00985D44">
        <w:rPr>
          <w:rFonts w:eastAsia="Calibri"/>
        </w:rPr>
        <w:t xml:space="preserve">or </w:t>
      </w:r>
      <w:r w:rsidR="00985D44">
        <w:t>ambient temperatures</w:t>
      </w:r>
      <w:r w:rsidR="00985D44" w:rsidRPr="00DB3A74">
        <w:rPr>
          <w:rFonts w:eastAsia="Calibri"/>
        </w:rPr>
        <w:t xml:space="preserve"> </w:t>
      </w:r>
      <w:r w:rsidRPr="00DB3A74">
        <w:rPr>
          <w:rFonts w:eastAsia="Calibri"/>
        </w:rPr>
        <w:t>could significantly change the shape of day-to-day demand, net of VERs or DERs. While less subject to rapid weathe</w:t>
      </w:r>
      <w:r w:rsidR="00AC1EAC">
        <w:rPr>
          <w:rFonts w:eastAsia="Calibri"/>
        </w:rPr>
        <w:t xml:space="preserve">r changes than </w:t>
      </w:r>
      <w:r w:rsidR="00901B75">
        <w:rPr>
          <w:rFonts w:eastAsia="Calibri"/>
        </w:rPr>
        <w:t>PV</w:t>
      </w:r>
      <w:r w:rsidRPr="00DB3A74">
        <w:rPr>
          <w:rFonts w:eastAsia="Calibri"/>
        </w:rPr>
        <w:t xml:space="preserve"> output, wind output also varies. Extraordinarily high or low wind speeds </w:t>
      </w:r>
      <w:r w:rsidR="00A2240F" w:rsidRPr="00DB3A74">
        <w:rPr>
          <w:rFonts w:eastAsia="Calibri"/>
        </w:rPr>
        <w:t>can reduce</w:t>
      </w:r>
      <w:r w:rsidRPr="00DB3A74">
        <w:rPr>
          <w:rFonts w:eastAsia="Calibri"/>
        </w:rPr>
        <w:t xml:space="preserve"> wind turbine outputs to 0 megawatts. The </w:t>
      </w:r>
      <w:r w:rsidR="00A2240F">
        <w:rPr>
          <w:rFonts w:eastAsia="Calibri"/>
        </w:rPr>
        <w:t>overall</w:t>
      </w:r>
      <w:r w:rsidR="00A2240F" w:rsidRPr="00DB3A74">
        <w:rPr>
          <w:rFonts w:eastAsia="Calibri"/>
        </w:rPr>
        <w:t xml:space="preserve"> </w:t>
      </w:r>
      <w:r w:rsidRPr="00DB3A74">
        <w:rPr>
          <w:rFonts w:eastAsia="Calibri"/>
        </w:rPr>
        <w:t xml:space="preserve">variability in gross demand, demand response, PV output, and wind output could create issues for meeting system requirements for ancillary services of ramping, regulation, reserves, and voltage control. Gas-fired generating units may be limited in providing these services because </w:t>
      </w:r>
      <w:r w:rsidR="006A12CF">
        <w:rPr>
          <w:rFonts w:eastAsia="Calibri"/>
        </w:rPr>
        <w:t>natural gas fuel supply may be inflexible</w:t>
      </w:r>
      <w:r w:rsidRPr="00DB3A74">
        <w:rPr>
          <w:rFonts w:eastAsia="Calibri"/>
        </w:rPr>
        <w:t xml:space="preserve">. The decreased operation of fossil fuel generators </w:t>
      </w:r>
      <w:r w:rsidR="00A2240F">
        <w:rPr>
          <w:rFonts w:eastAsia="Calibri"/>
        </w:rPr>
        <w:t>requires</w:t>
      </w:r>
      <w:r w:rsidRPr="00DB3A74">
        <w:rPr>
          <w:rFonts w:eastAsia="Calibri"/>
        </w:rPr>
        <w:t xml:space="preserve"> new ways to provide vital ancillary services. The variations in system strength (short-circuit levels), especially in certain areas and during periods with fewer synchronous machines operating on the system, highlight the need for system-protection upgrades, called </w:t>
      </w:r>
      <w:r w:rsidRPr="00DB3A74">
        <w:rPr>
          <w:rFonts w:eastAsia="Calibri"/>
          <w:i/>
        </w:rPr>
        <w:t>adaptive protection</w:t>
      </w:r>
      <w:r w:rsidRPr="00DB3A74">
        <w:rPr>
          <w:rFonts w:eastAsia="Calibri"/>
        </w:rPr>
        <w:t xml:space="preserve">, and other capital improvements. These improvements include those that allow for two-way power flows on the distribution system, an operating mode for which it was not originally designed. </w:t>
      </w:r>
    </w:p>
    <w:p w:rsidR="00DB3A74" w:rsidRDefault="00DB3A74" w:rsidP="00DB3A74">
      <w:pPr>
        <w:rPr>
          <w:rFonts w:eastAsia="Calibri"/>
        </w:rPr>
      </w:pPr>
      <w:r w:rsidRPr="00DB3A74">
        <w:rPr>
          <w:rFonts w:eastAsia="Calibri"/>
        </w:rPr>
        <w:t xml:space="preserve">The increase in demand due to the adoption of electric vehicles and heat pumps, or </w:t>
      </w:r>
      <w:r w:rsidRPr="00DB3A74">
        <w:rPr>
          <w:rFonts w:eastAsia="Calibri"/>
          <w:i/>
        </w:rPr>
        <w:t>electrification</w:t>
      </w:r>
      <w:r w:rsidRPr="00DB3A74">
        <w:rPr>
          <w:rFonts w:eastAsia="Calibri"/>
        </w:rPr>
        <w:t>, and the state policy preferences for increasing renewable resources, including DERs, to meet the growing demand</w:t>
      </w:r>
      <w:r w:rsidR="00A2240F">
        <w:rPr>
          <w:rFonts w:eastAsia="Calibri"/>
        </w:rPr>
        <w:t>,</w:t>
      </w:r>
      <w:r w:rsidRPr="00DB3A74">
        <w:rPr>
          <w:rFonts w:eastAsia="Calibri"/>
        </w:rPr>
        <w:t xml:space="preserve"> exacerbates the issues of observability, controllability, and cybersecurity. As these electrification initiatives take hold, more and more consumers </w:t>
      </w:r>
      <w:r w:rsidR="00A2240F">
        <w:rPr>
          <w:rFonts w:eastAsia="Calibri"/>
        </w:rPr>
        <w:t>expect</w:t>
      </w:r>
      <w:r w:rsidRPr="00DB3A74">
        <w:rPr>
          <w:rFonts w:eastAsia="Calibri"/>
        </w:rPr>
        <w:t xml:space="preserve"> to respond to price signals and other incentives or disincentives with ever-varying levels of consumption. The technical challenges of incorporating DERs and VERs into our system are being met with new planning approaches, operational modifications, and market enhancements that will help unlock the benefits of a low-carbon energy system for our region while maintaining reliability.</w:t>
      </w:r>
    </w:p>
    <w:p w:rsidR="00F36181" w:rsidRPr="00DB3A74" w:rsidRDefault="00F36181" w:rsidP="00DB3A74">
      <w:pPr>
        <w:rPr>
          <w:rFonts w:eastAsia="Calibri"/>
        </w:rPr>
      </w:pPr>
      <w:r w:rsidRPr="00F821CD">
        <w:t xml:space="preserve">As clean energy </w:t>
      </w:r>
      <w:r>
        <w:t>resources rapidly continue to be integrated into the New England power grid, the</w:t>
      </w:r>
      <w:r w:rsidRPr="00F821CD">
        <w:t xml:space="preserve"> grid operators </w:t>
      </w:r>
      <w:r>
        <w:t>must examine</w:t>
      </w:r>
      <w:r w:rsidRPr="00F821CD">
        <w:t xml:space="preserve"> how to ensure grid reliability and prevent shortfalls</w:t>
      </w:r>
      <w:r>
        <w:t xml:space="preserve"> at times of peak demand</w:t>
      </w:r>
      <w:r w:rsidRPr="00F821CD">
        <w:t xml:space="preserve">. </w:t>
      </w:r>
      <w:r>
        <w:t xml:space="preserve">The </w:t>
      </w:r>
      <w:hyperlink r:id="rId184" w:history="1">
        <w:r w:rsidRPr="009913F1">
          <w:rPr>
            <w:rStyle w:val="Hyperlink"/>
          </w:rPr>
          <w:t>Resource Capacity Accreditation</w:t>
        </w:r>
      </w:hyperlink>
      <w:r w:rsidRPr="009D10C5">
        <w:t xml:space="preserve"> </w:t>
      </w:r>
      <w:r>
        <w:t>project will consider how Effective Load Carrying Capability (ELCC)</w:t>
      </w:r>
      <w:r>
        <w:rPr>
          <w:rStyle w:val="FootnoteReference"/>
        </w:rPr>
        <w:footnoteReference w:id="72"/>
      </w:r>
      <w:r>
        <w:t xml:space="preserve"> techniques could be used in quantifying a resource</w:t>
      </w:r>
      <w:r w:rsidR="004F2A2D">
        <w:t>’</w:t>
      </w:r>
      <w:r>
        <w:t>s contributions to regional resource adequacy. The scope of this assessment will be defined in late 2021, and possible market-design modification discussions will extend into 2022. The outcome of this project will likely impact how the region meets its resource adequacy needs.</w:t>
      </w:r>
    </w:p>
    <w:p w:rsidR="00DB3A74" w:rsidRPr="00DB3A74" w:rsidRDefault="00DB3A74" w:rsidP="0008531A">
      <w:pPr>
        <w:pStyle w:val="Heading4"/>
      </w:pPr>
      <w:r w:rsidRPr="00DB3A74">
        <w:t xml:space="preserve">Regional </w:t>
      </w:r>
      <w:bookmarkStart w:id="505" w:name="_Toc490323092"/>
      <w:bookmarkStart w:id="506" w:name="_Toc429063461"/>
      <w:bookmarkStart w:id="507" w:name="_Ref419722213"/>
      <w:r w:rsidRPr="00DB3A74">
        <w:t xml:space="preserve">Integration of </w:t>
      </w:r>
      <w:bookmarkEnd w:id="505"/>
      <w:bookmarkEnd w:id="506"/>
      <w:bookmarkEnd w:id="507"/>
      <w:r w:rsidRPr="00DB3A74">
        <w:t>Inverter-Based Resources and</w:t>
      </w:r>
      <w:r w:rsidR="00DF213A">
        <w:t> </w:t>
      </w:r>
      <w:r w:rsidRPr="00DB3A74">
        <w:t>Technologies</w:t>
      </w:r>
    </w:p>
    <w:p w:rsidR="00DB3A74" w:rsidRPr="00DB3A74" w:rsidRDefault="00DB3A74" w:rsidP="00DB3A74">
      <w:pPr>
        <w:rPr>
          <w:rFonts w:eastAsia="Calibri"/>
        </w:rPr>
      </w:pPr>
      <w:r w:rsidRPr="00DB3A74">
        <w:rPr>
          <w:rFonts w:eastAsia="Calibri"/>
        </w:rPr>
        <w:t xml:space="preserve">The response to system events by inverter-based technologies must be understood and reflected within planning and operating studies. These responses include voltage and frequency ride-through characteristics, control system responses and interactions with other devices, and variations resulting from changes in system strength, especially when and where fewer synchronous generators are operating on the system. New England remains a technical leader in successfully integrating wind, PV, storage, demand response, and HVDC and FACTS devices. Several improvements to planning and </w:t>
      </w:r>
      <w:r w:rsidR="00A2240F" w:rsidRPr="00DB3A74">
        <w:rPr>
          <w:rFonts w:eastAsia="Calibri"/>
        </w:rPr>
        <w:t>operat</w:t>
      </w:r>
      <w:r w:rsidR="00A2240F">
        <w:rPr>
          <w:rFonts w:eastAsia="Calibri"/>
        </w:rPr>
        <w:t>ions</w:t>
      </w:r>
      <w:r w:rsidR="00A2240F" w:rsidRPr="00DB3A74">
        <w:rPr>
          <w:rFonts w:eastAsia="Calibri"/>
        </w:rPr>
        <w:t xml:space="preserve"> </w:t>
      </w:r>
      <w:r w:rsidRPr="00DB3A74">
        <w:rPr>
          <w:rFonts w:eastAsia="Calibri"/>
        </w:rPr>
        <w:t xml:space="preserve">are in place, and the ISO has implemented several updates to the wholesale electricity markets to promote the integration of inverter-based resources and technologies to the grid. Several of the technology developments and challenges affecting the planning of the New England region involve integrating grid-transformation equipment, improving operator awareness and system modeling, and using phasor measurement units. </w:t>
      </w:r>
    </w:p>
    <w:p w:rsidR="00DB3A74" w:rsidRPr="00DB3A74" w:rsidRDefault="00DB3A74" w:rsidP="0008531A">
      <w:pPr>
        <w:pStyle w:val="Heading4"/>
      </w:pPr>
      <w:r w:rsidRPr="00DB3A74">
        <w:t>Improved Forecasts for Wind, Photovoltaics, and</w:t>
      </w:r>
      <w:r w:rsidR="00DF213A">
        <w:t> </w:t>
      </w:r>
      <w:r w:rsidRPr="00DB3A74">
        <w:t>Demand</w:t>
      </w:r>
    </w:p>
    <w:p w:rsidR="00DB3A74" w:rsidRPr="00DB3A74" w:rsidRDefault="00DB3A74" w:rsidP="00DB3A74">
      <w:pPr>
        <w:rPr>
          <w:rFonts w:eastAsia="Calibri"/>
        </w:rPr>
      </w:pPr>
      <w:r w:rsidRPr="00DB3A74">
        <w:rPr>
          <w:rFonts w:eastAsia="Calibri"/>
        </w:rPr>
        <w:t xml:space="preserve">ISO New England has implemented improvements to </w:t>
      </w:r>
      <w:r w:rsidR="00A2240F">
        <w:rPr>
          <w:rFonts w:eastAsia="Calibri"/>
        </w:rPr>
        <w:t xml:space="preserve">its </w:t>
      </w:r>
      <w:r w:rsidRPr="00DB3A74">
        <w:rPr>
          <w:rFonts w:eastAsia="Calibri"/>
        </w:rPr>
        <w:t xml:space="preserve">forecasting techniques that account for wind, photovoltaics (PV), and demand. The ISO incorporates variable energy resources (VER) forecasting into </w:t>
      </w:r>
      <w:r w:rsidR="00A2240F">
        <w:rPr>
          <w:rFonts w:eastAsia="Calibri"/>
        </w:rPr>
        <w:t>its</w:t>
      </w:r>
      <w:r w:rsidR="004F2A2D">
        <w:rPr>
          <w:rFonts w:eastAsia="Calibri"/>
        </w:rPr>
        <w:t xml:space="preserve"> </w:t>
      </w:r>
      <w:r w:rsidRPr="00DB3A74">
        <w:rPr>
          <w:rFonts w:eastAsia="Calibri"/>
        </w:rPr>
        <w:t xml:space="preserve">processes, scheduling, and dispatch services. Wind generators participating in the wholesale markets can download individual unit forecasts of their expected output, which can help market participants </w:t>
      </w:r>
      <w:r w:rsidR="00A2240F">
        <w:rPr>
          <w:rFonts w:eastAsia="Calibri"/>
        </w:rPr>
        <w:t xml:space="preserve">develop offers </w:t>
      </w:r>
      <w:r w:rsidRPr="00DB3A74">
        <w:rPr>
          <w:rFonts w:eastAsia="Calibri"/>
        </w:rPr>
        <w:t xml:space="preserve">in the Day-Ahead Energy Market. The operational VER forecasts provide better situational awareness and result in more reliable and economical operation of the system. As the amount of wind and PV grows, operational forecasts of VERs take on increasing importance. The ISO continues to improve its longer-term forecasts of PV and demand used for planning. </w:t>
      </w:r>
    </w:p>
    <w:p w:rsidR="00DB3A74" w:rsidRPr="00DB3A74" w:rsidRDefault="00DB3A74" w:rsidP="0008531A">
      <w:pPr>
        <w:pStyle w:val="Heading3"/>
        <w:rPr>
          <w:rFonts w:eastAsia="Times New Roman"/>
        </w:rPr>
      </w:pPr>
      <w:bookmarkStart w:id="508" w:name="_Ref12190404"/>
      <w:bookmarkStart w:id="509" w:name="_Toc81544536"/>
      <w:r w:rsidRPr="00DB3A74">
        <w:rPr>
          <w:rFonts w:eastAsia="Times New Roman"/>
        </w:rPr>
        <w:t>Regional Integration of Wind Resources</w:t>
      </w:r>
      <w:bookmarkEnd w:id="508"/>
      <w:bookmarkEnd w:id="509"/>
    </w:p>
    <w:p w:rsidR="00DB3A74" w:rsidRPr="00DB3A74" w:rsidRDefault="00DB3A74" w:rsidP="00DB3A74">
      <w:pPr>
        <w:rPr>
          <w:rFonts w:eastAsia="Calibri"/>
        </w:rPr>
      </w:pPr>
      <w:r w:rsidRPr="00DB3A74">
        <w:rPr>
          <w:rFonts w:eastAsia="Calibri"/>
        </w:rPr>
        <w:t>The ISO’s interconnection process requires accurate models of wind generator units for steady-state, stability, and transient analyses, which become particularly important in areas of the system with low short-circuit ratios.</w:t>
      </w:r>
      <w:r w:rsidRPr="00DB3A74">
        <w:rPr>
          <w:rFonts w:eastAsia="Calibri"/>
          <w:vertAlign w:val="superscript"/>
        </w:rPr>
        <w:footnoteReference w:id="73"/>
      </w:r>
      <w:r w:rsidRPr="00DB3A74">
        <w:rPr>
          <w:rFonts w:eastAsia="Calibri"/>
        </w:rPr>
        <w:t xml:space="preserve"> </w:t>
      </w:r>
    </w:p>
    <w:p w:rsidR="00DB3A74" w:rsidRPr="00DB3A74" w:rsidRDefault="00DB3A74" w:rsidP="00DB3A74">
      <w:pPr>
        <w:rPr>
          <w:rFonts w:eastAsia="Calibri"/>
        </w:rPr>
      </w:pPr>
      <w:r w:rsidRPr="00DB3A74">
        <w:rPr>
          <w:rFonts w:eastAsia="Calibri"/>
        </w:rPr>
        <w:t xml:space="preserve">Limited transmission infrastructure in northern and western Maine poses the primary obstacle to interconnecting new onshore wind resources. </w:t>
      </w:r>
      <w:r w:rsidR="00A76279">
        <w:rPr>
          <w:rFonts w:eastAsia="Calibri"/>
        </w:rPr>
        <w:t xml:space="preserve">Current </w:t>
      </w:r>
      <w:r w:rsidRPr="00DB3A74">
        <w:rPr>
          <w:rFonts w:eastAsia="Calibri"/>
        </w:rPr>
        <w:t xml:space="preserve">generator </w:t>
      </w:r>
      <w:r w:rsidR="00A76279">
        <w:rPr>
          <w:rFonts w:eastAsia="Calibri"/>
        </w:rPr>
        <w:t xml:space="preserve">interconnections </w:t>
      </w:r>
      <w:r w:rsidRPr="00DB3A74">
        <w:rPr>
          <w:rFonts w:eastAsia="Calibri"/>
        </w:rPr>
        <w:t xml:space="preserve">leave this part of the transmission system at its performance limit with little to no remaining margin. Each </w:t>
      </w:r>
      <w:r w:rsidR="00A76279">
        <w:rPr>
          <w:rFonts w:eastAsia="Calibri"/>
        </w:rPr>
        <w:t xml:space="preserve">new </w:t>
      </w:r>
      <w:r w:rsidRPr="00DB3A74">
        <w:rPr>
          <w:rFonts w:eastAsia="Calibri"/>
        </w:rPr>
        <w:t xml:space="preserve">interconnection request </w:t>
      </w:r>
      <w:r w:rsidR="00A76279">
        <w:rPr>
          <w:rFonts w:eastAsia="Calibri"/>
        </w:rPr>
        <w:t>in the area</w:t>
      </w:r>
      <w:r w:rsidRPr="00DB3A74">
        <w:rPr>
          <w:rFonts w:eastAsia="Calibri"/>
        </w:rPr>
        <w:t xml:space="preserve"> involves lengthy and complex study work</w:t>
      </w:r>
      <w:r w:rsidR="00A76279">
        <w:rPr>
          <w:rFonts w:eastAsia="Calibri"/>
        </w:rPr>
        <w:t>, identifies</w:t>
      </w:r>
      <w:r w:rsidRPr="00DB3A74">
        <w:rPr>
          <w:rFonts w:eastAsia="Calibri"/>
        </w:rPr>
        <w:t xml:space="preserve"> significant transmission infrastructure</w:t>
      </w:r>
      <w:r w:rsidR="00A76279">
        <w:rPr>
          <w:rFonts w:eastAsia="Calibri"/>
        </w:rPr>
        <w:t xml:space="preserve"> needs</w:t>
      </w:r>
      <w:r w:rsidRPr="00DB3A74">
        <w:rPr>
          <w:rFonts w:eastAsia="Calibri"/>
        </w:rPr>
        <w:t xml:space="preserve">, and </w:t>
      </w:r>
      <w:r w:rsidR="00A76279">
        <w:rPr>
          <w:rFonts w:eastAsia="Calibri"/>
        </w:rPr>
        <w:t xml:space="preserve">leads to </w:t>
      </w:r>
      <w:r w:rsidRPr="00DB3A74">
        <w:rPr>
          <w:rFonts w:eastAsia="Calibri"/>
        </w:rPr>
        <w:t xml:space="preserve">individual project developers </w:t>
      </w:r>
      <w:r w:rsidR="00A76279">
        <w:rPr>
          <w:rFonts w:eastAsia="Calibri"/>
        </w:rPr>
        <w:t xml:space="preserve">who </w:t>
      </w:r>
      <w:r w:rsidRPr="00DB3A74">
        <w:rPr>
          <w:rFonts w:eastAsia="Calibri"/>
        </w:rPr>
        <w:t xml:space="preserve">are not able or willing to make </w:t>
      </w:r>
      <w:r w:rsidR="00A76279">
        <w:rPr>
          <w:rFonts w:eastAsia="Calibri"/>
        </w:rPr>
        <w:t xml:space="preserve">sizable </w:t>
      </w:r>
      <w:r w:rsidRPr="00DB3A74">
        <w:rPr>
          <w:rFonts w:eastAsia="Calibri"/>
        </w:rPr>
        <w:t xml:space="preserve">system </w:t>
      </w:r>
      <w:r w:rsidR="00A76279" w:rsidRPr="00DB3A74">
        <w:rPr>
          <w:rFonts w:eastAsia="Calibri"/>
        </w:rPr>
        <w:t>upgrade</w:t>
      </w:r>
      <w:r w:rsidR="00A76279">
        <w:rPr>
          <w:rFonts w:eastAsia="Calibri"/>
        </w:rPr>
        <w:t xml:space="preserve">s that are required. </w:t>
      </w:r>
      <w:r w:rsidRPr="00DB3A74">
        <w:rPr>
          <w:rFonts w:eastAsia="Calibri"/>
        </w:rPr>
        <w:t xml:space="preserve"> </w:t>
      </w:r>
    </w:p>
    <w:p w:rsidR="00DB3A74" w:rsidRPr="00DB3A74" w:rsidRDefault="00DB3A74" w:rsidP="00DB3A74">
      <w:pPr>
        <w:rPr>
          <w:rFonts w:eastAsia="Calibri"/>
        </w:rPr>
      </w:pPr>
      <w:r w:rsidRPr="00DB3A74">
        <w:rPr>
          <w:rFonts w:eastAsia="Calibri"/>
        </w:rPr>
        <w:t>ISO New England recognizes the need to expeditiously study wind interconnections</w:t>
      </w:r>
      <w:r w:rsidR="0021238F">
        <w:rPr>
          <w:rFonts w:eastAsia="Calibri"/>
        </w:rPr>
        <w:t>. A</w:t>
      </w:r>
      <w:r w:rsidR="007272BB">
        <w:rPr>
          <w:rFonts w:eastAsia="Calibri"/>
        </w:rPr>
        <w:t xml:space="preserve">s discussed in </w:t>
      </w:r>
      <w:hyperlink w:anchor="_Cluster_Studies" w:history="1">
        <w:r w:rsidR="007272BB" w:rsidRPr="007272BB">
          <w:rPr>
            <w:rStyle w:val="Hyperlink"/>
            <w:rFonts w:eastAsia="Calibri"/>
          </w:rPr>
          <w:t>Section 4.4.1.2.</w:t>
        </w:r>
      </w:hyperlink>
      <w:r w:rsidR="00502476">
        <w:rPr>
          <w:rFonts w:eastAsia="Calibri"/>
        </w:rPr>
        <w:t>,</w:t>
      </w:r>
      <w:r w:rsidR="007272BB">
        <w:rPr>
          <w:rFonts w:eastAsia="Calibri"/>
        </w:rPr>
        <w:t xml:space="preserve"> cluster studies are a means to ambitiously study the integration of off shore wind</w:t>
      </w:r>
      <w:r w:rsidR="0021238F">
        <w:rPr>
          <w:rFonts w:eastAsia="Calibri"/>
        </w:rPr>
        <w:t xml:space="preserve"> </w:t>
      </w:r>
      <w:r w:rsidR="0021238F" w:rsidRPr="0021238F">
        <w:rPr>
          <w:rFonts w:eastAsia="Calibri"/>
        </w:rPr>
        <w:t>being proposed in southern New England at several other locations, such as Brayton Point, Massachusetts; Davisville, Rhode Island; and various locations in Connecticut.</w:t>
      </w:r>
    </w:p>
    <w:p w:rsidR="00DB3A74" w:rsidRPr="00DB3A74" w:rsidRDefault="00DB3A74" w:rsidP="0008531A">
      <w:pPr>
        <w:pStyle w:val="Heading3"/>
        <w:rPr>
          <w:rFonts w:eastAsia="Times New Roman"/>
        </w:rPr>
      </w:pPr>
      <w:bookmarkStart w:id="510" w:name="_Toc81544537"/>
      <w:r w:rsidRPr="00DB3A74">
        <w:rPr>
          <w:rFonts w:eastAsia="Times New Roman"/>
        </w:rPr>
        <w:t>Regional Integration of Photovoltaic Resources and Other Distributed Generation</w:t>
      </w:r>
      <w:r w:rsidR="00DF213A">
        <w:rPr>
          <w:rFonts w:eastAsia="Times New Roman"/>
        </w:rPr>
        <w:t> </w:t>
      </w:r>
      <w:r w:rsidRPr="00DB3A74">
        <w:rPr>
          <w:rFonts w:eastAsia="Times New Roman"/>
        </w:rPr>
        <w:t>Resources</w:t>
      </w:r>
      <w:bookmarkEnd w:id="510"/>
    </w:p>
    <w:p w:rsidR="00DB3A74" w:rsidRPr="00DB3A74" w:rsidRDefault="00DB3A74" w:rsidP="00DB3A74">
      <w:pPr>
        <w:rPr>
          <w:rFonts w:eastAsia="Times New Roman"/>
        </w:rPr>
      </w:pPr>
      <w:r w:rsidRPr="00DB3A74">
        <w:rPr>
          <w:rFonts w:eastAsia="Calibri"/>
        </w:rPr>
        <w:t xml:space="preserve">As discussed in </w:t>
      </w:r>
      <w:hyperlink w:anchor="_Forecasts_of_New" w:history="1">
        <w:r w:rsidRPr="00931233">
          <w:rPr>
            <w:rStyle w:val="Hyperlink"/>
            <w:rFonts w:eastAsia="Calibri"/>
          </w:rPr>
          <w:t>Chapter 3</w:t>
        </w:r>
      </w:hyperlink>
      <w:r w:rsidRPr="00DB3A74">
        <w:rPr>
          <w:rFonts w:eastAsia="Calibri"/>
        </w:rPr>
        <w:t xml:space="preserve">, New England has </w:t>
      </w:r>
      <w:r w:rsidR="00A76279">
        <w:rPr>
          <w:rFonts w:eastAsia="Calibri"/>
        </w:rPr>
        <w:t>experienced</w:t>
      </w:r>
      <w:r w:rsidR="00A76279" w:rsidRPr="00DB3A74">
        <w:rPr>
          <w:rFonts w:eastAsia="Calibri"/>
        </w:rPr>
        <w:t xml:space="preserve"> </w:t>
      </w:r>
      <w:r w:rsidRPr="00DB3A74">
        <w:rPr>
          <w:rFonts w:eastAsia="Calibri"/>
        </w:rPr>
        <w:t xml:space="preserve">significant growth in the development of solar resources over the past few years, and continued growth of </w:t>
      </w:r>
      <w:r w:rsidR="00931233">
        <w:rPr>
          <w:rFonts w:eastAsia="Calibri"/>
        </w:rPr>
        <w:t>PV</w:t>
      </w:r>
      <w:r w:rsidRPr="00DB3A74">
        <w:rPr>
          <w:rFonts w:eastAsia="Calibri"/>
        </w:rPr>
        <w:t xml:space="preserve"> is anticipated. </w:t>
      </w:r>
      <w:r w:rsidRPr="00DB3A74">
        <w:rPr>
          <w:rFonts w:eastAsia="Times New Roman"/>
        </w:rPr>
        <w:t xml:space="preserve">Existing amounts of PV have caused noticeable </w:t>
      </w:r>
      <w:r w:rsidR="00A76279">
        <w:rPr>
          <w:rFonts w:eastAsia="Times New Roman"/>
        </w:rPr>
        <w:t>changes to</w:t>
      </w:r>
      <w:r w:rsidRPr="00DB3A74">
        <w:rPr>
          <w:rFonts w:eastAsia="Times New Roman"/>
        </w:rPr>
        <w:t xml:space="preserve"> system operation and, as </w:t>
      </w:r>
      <w:r w:rsidR="00A76279">
        <w:rPr>
          <w:rFonts w:eastAsia="Times New Roman"/>
        </w:rPr>
        <w:t>it</w:t>
      </w:r>
      <w:r w:rsidR="00A76279" w:rsidRPr="00DB3A74">
        <w:rPr>
          <w:rFonts w:eastAsia="Times New Roman"/>
        </w:rPr>
        <w:t xml:space="preserve"> </w:t>
      </w:r>
      <w:r w:rsidRPr="00DB3A74">
        <w:rPr>
          <w:rFonts w:eastAsia="Times New Roman"/>
        </w:rPr>
        <w:t>grow</w:t>
      </w:r>
      <w:r w:rsidR="00A76279">
        <w:rPr>
          <w:rFonts w:eastAsia="Times New Roman"/>
        </w:rPr>
        <w:t>s</w:t>
      </w:r>
      <w:r w:rsidRPr="00DB3A74">
        <w:rPr>
          <w:rFonts w:eastAsia="Times New Roman"/>
        </w:rPr>
        <w:t xml:space="preserve">, </w:t>
      </w:r>
      <w:r w:rsidR="00A76279">
        <w:rPr>
          <w:rFonts w:eastAsia="Times New Roman"/>
        </w:rPr>
        <w:t>it is</w:t>
      </w:r>
      <w:r w:rsidR="00A76279" w:rsidRPr="00DB3A74">
        <w:rPr>
          <w:rFonts w:eastAsia="Times New Roman"/>
        </w:rPr>
        <w:t xml:space="preserve"> </w:t>
      </w:r>
      <w:r w:rsidRPr="00DB3A74">
        <w:rPr>
          <w:rFonts w:eastAsia="Times New Roman"/>
        </w:rPr>
        <w:t>anticipated to have a greater effect on the system’s need for regulation, ramping, reserves, and voltage support. Interestingly, new flow patterns from distribution substations into (instead of out of) the transmission system when PV production is high have resulted in new uses of the transmission system and have increased the need for dynamic voltage support. The ISO has engaged in a number of actions to examine and prepare for the effects of large-scale PV development in the region.</w:t>
      </w:r>
    </w:p>
    <w:p w:rsidR="00DB3A74" w:rsidRPr="00DB3A74" w:rsidRDefault="00DB3A74" w:rsidP="00DB3A74">
      <w:pPr>
        <w:spacing w:after="200" w:line="276" w:lineRule="auto"/>
        <w:rPr>
          <w:rFonts w:eastAsia="Calibri"/>
        </w:rPr>
      </w:pPr>
      <w:r w:rsidRPr="00DB3A74">
        <w:rPr>
          <w:rFonts w:eastAsia="Calibri"/>
        </w:rPr>
        <w:t xml:space="preserve">At present, the ISO’s demand-forecast method considers demand history as an input, which captures the growth and production of non-PV DERs. To date, the region has not experienced the large-scale growth of other types of DERs, such as energy storage, which would present challenges similar to </w:t>
      </w:r>
      <w:r w:rsidR="00A76279">
        <w:rPr>
          <w:rFonts w:eastAsia="Calibri"/>
        </w:rPr>
        <w:t xml:space="preserve">behind-the-meter </w:t>
      </w:r>
      <w:r w:rsidR="00A76279" w:rsidRPr="00DB3A74">
        <w:rPr>
          <w:rFonts w:eastAsia="Calibri"/>
        </w:rPr>
        <w:t xml:space="preserve">technologies and time-varying retail rates, </w:t>
      </w:r>
      <w:r w:rsidR="00C80C19">
        <w:rPr>
          <w:rFonts w:eastAsia="Calibri"/>
        </w:rPr>
        <w:t xml:space="preserve">because </w:t>
      </w:r>
      <w:r w:rsidR="00A76279" w:rsidRPr="00DB3A74">
        <w:rPr>
          <w:rFonts w:eastAsia="Calibri"/>
        </w:rPr>
        <w:t>demand could become less predictable</w:t>
      </w:r>
      <w:r w:rsidRPr="00DB3A74">
        <w:rPr>
          <w:rFonts w:eastAsia="Calibri"/>
        </w:rPr>
        <w:t xml:space="preserve">. The ISO continues to monitor this situation and actively </w:t>
      </w:r>
      <w:r w:rsidR="00A76279">
        <w:rPr>
          <w:rFonts w:eastAsia="Calibri"/>
        </w:rPr>
        <w:t>seeks to improve</w:t>
      </w:r>
      <w:r w:rsidRPr="00DB3A74">
        <w:rPr>
          <w:rFonts w:eastAsia="Calibri"/>
        </w:rPr>
        <w:t xml:space="preserve"> its demand forecasts. This includes applications of modern analysis techniques, such as the latest methods of big data analysis and artificial intelligence. </w:t>
      </w:r>
    </w:p>
    <w:p w:rsidR="00DB3A74" w:rsidRPr="00DB3A74" w:rsidRDefault="00DB3A74" w:rsidP="00DB3A74">
      <w:pPr>
        <w:spacing w:after="200" w:line="276" w:lineRule="auto"/>
        <w:rPr>
          <w:rFonts w:eastAsia="Calibri"/>
        </w:rPr>
      </w:pPr>
      <w:r w:rsidRPr="00DB3A74">
        <w:rPr>
          <w:rFonts w:eastAsia="Calibri"/>
        </w:rPr>
        <w:t xml:space="preserve">Distribution owners are reviewing and improving processes and methodologies for integrating DERs. These activities </w:t>
      </w:r>
      <w:r w:rsidR="00A76279">
        <w:rPr>
          <w:rFonts w:eastAsia="Calibri"/>
        </w:rPr>
        <w:t>include</w:t>
      </w:r>
      <w:r w:rsidR="00A76279" w:rsidRPr="00DB3A74">
        <w:rPr>
          <w:rFonts w:eastAsia="Calibri"/>
        </w:rPr>
        <w:t xml:space="preserve"> </w:t>
      </w:r>
      <w:r w:rsidRPr="00DB3A74">
        <w:rPr>
          <w:rFonts w:eastAsia="Calibri"/>
        </w:rPr>
        <w:t xml:space="preserve">using cluster analyses for non-FERC-jurisdictional resources, providing information on the hosting capacity of distribution circuits, and making better use of smart inverters. Electric distribution owners are also modernizing distribution system equipment to better accommodate the large-scale development of DERs. In Massachusetts, the Technical Standards Review Group has been discussing the next phase of implementation for the </w:t>
      </w:r>
      <w:hyperlink r:id="rId185" w:history="1">
        <w:r w:rsidR="00931233" w:rsidRPr="00931233">
          <w:rPr>
            <w:rStyle w:val="Hyperlink"/>
            <w:rFonts w:eastAsia="Calibri"/>
          </w:rPr>
          <w:t>IEEE 1547</w:t>
        </w:r>
      </w:hyperlink>
      <w:r w:rsidRPr="00DB3A74">
        <w:rPr>
          <w:rFonts w:eastAsia="Calibri"/>
        </w:rPr>
        <w:t xml:space="preserve"> Standard.</w:t>
      </w:r>
      <w:r w:rsidRPr="00DB3A74">
        <w:rPr>
          <w:rFonts w:eastAsia="Calibri"/>
          <w:vertAlign w:val="superscript"/>
        </w:rPr>
        <w:footnoteReference w:id="74"/>
      </w:r>
    </w:p>
    <w:p w:rsidR="00DB3A74" w:rsidRPr="00DB3A74" w:rsidRDefault="00DB3A74" w:rsidP="0008531A">
      <w:pPr>
        <w:pStyle w:val="Heading3"/>
        <w:rPr>
          <w:rFonts w:eastAsia="Times New Roman"/>
        </w:rPr>
      </w:pPr>
      <w:bookmarkStart w:id="511" w:name="_Toc81544538"/>
      <w:r w:rsidRPr="00DB3A74">
        <w:rPr>
          <w:rFonts w:eastAsia="Times New Roman"/>
        </w:rPr>
        <w:t>Energy-Storage Resources</w:t>
      </w:r>
      <w:bookmarkEnd w:id="511"/>
    </w:p>
    <w:p w:rsidR="00DB3A74" w:rsidRPr="00DB3A74" w:rsidRDefault="00DB3A74" w:rsidP="00DB3A74">
      <w:pPr>
        <w:spacing w:after="200" w:line="276" w:lineRule="auto"/>
        <w:rPr>
          <w:rFonts w:eastAsia="Calibri"/>
        </w:rPr>
      </w:pPr>
      <w:r w:rsidRPr="00DB3A74">
        <w:rPr>
          <w:rFonts w:eastAsia="Calibri"/>
        </w:rPr>
        <w:t xml:space="preserve">Grid-scale, or in-front-of-the-meter, battery-storage resources have been integrated into the New England power system and are successfully participating in regional electricity markets. Most new proposals for energy-storage resources make use of inverter-based technologies. For the ISO to efficiently process interconnection requests for these technologies, the requests must include appropriately robust equipment. The power system models are required to perform well in the network study </w:t>
      </w:r>
      <w:r w:rsidR="00931233" w:rsidRPr="00DB3A74">
        <w:rPr>
          <w:rFonts w:eastAsia="Calibri"/>
        </w:rPr>
        <w:t>analysis</w:t>
      </w:r>
      <w:r w:rsidR="00A76279">
        <w:rPr>
          <w:rFonts w:eastAsia="Calibri"/>
        </w:rPr>
        <w:t>,</w:t>
      </w:r>
      <w:r w:rsidRPr="00DB3A74">
        <w:rPr>
          <w:rFonts w:eastAsia="Calibri"/>
        </w:rPr>
        <w:t xml:space="preserve"> and the equipment must meet established performance requirements, such as power-factor, ride-through, and frequency requirements. </w:t>
      </w:r>
    </w:p>
    <w:p w:rsidR="00DB3A74" w:rsidRPr="00DB3A74" w:rsidRDefault="00DB3A74" w:rsidP="0008531A">
      <w:pPr>
        <w:pStyle w:val="Heading3"/>
        <w:rPr>
          <w:rFonts w:eastAsia="Times New Roman"/>
        </w:rPr>
      </w:pPr>
      <w:bookmarkStart w:id="512" w:name="_Toc81544539"/>
      <w:r w:rsidRPr="00DB3A74">
        <w:rPr>
          <w:rFonts w:eastAsia="Times New Roman"/>
        </w:rPr>
        <w:t>Distributed Energy Resources</w:t>
      </w:r>
      <w:bookmarkEnd w:id="512"/>
    </w:p>
    <w:p w:rsidR="00DB3A74" w:rsidRPr="00DB3A74" w:rsidRDefault="00DB3A74" w:rsidP="00DB3A74">
      <w:pPr>
        <w:rPr>
          <w:rFonts w:eastAsia="Calibri"/>
        </w:rPr>
      </w:pPr>
      <w:r w:rsidRPr="00DB3A74">
        <w:rPr>
          <w:rFonts w:eastAsia="Calibri"/>
        </w:rPr>
        <w:t xml:space="preserve">The New England states have increased targets for renewable energy, resulting in an influx of generator interconnection requests to the ISO and to transmission providers. The interconnection of DERs within electric distribution systems has contributed to a decrease in net demand. </w:t>
      </w:r>
      <w:r w:rsidR="00931233" w:rsidRPr="00DB3A74">
        <w:rPr>
          <w:rFonts w:eastAsia="Calibri"/>
        </w:rPr>
        <w:t>This</w:t>
      </w:r>
      <w:r w:rsidR="00A76279">
        <w:rPr>
          <w:rFonts w:eastAsia="Calibri"/>
        </w:rPr>
        <w:t>,</w:t>
      </w:r>
      <w:r w:rsidRPr="00DB3A74">
        <w:rPr>
          <w:rFonts w:eastAsia="Calibri"/>
        </w:rPr>
        <w:t xml:space="preserve"> combined with continuing state decarbonization policies</w:t>
      </w:r>
      <w:r w:rsidR="00A76279">
        <w:rPr>
          <w:rFonts w:eastAsia="Calibri"/>
        </w:rPr>
        <w:t>,</w:t>
      </w:r>
      <w:r w:rsidRPr="00DB3A74">
        <w:rPr>
          <w:rFonts w:eastAsia="Calibri"/>
        </w:rPr>
        <w:t xml:space="preserve"> point</w:t>
      </w:r>
      <w:r w:rsidR="00C80C19">
        <w:rPr>
          <w:rFonts w:eastAsia="Calibri"/>
        </w:rPr>
        <w:t>s</w:t>
      </w:r>
      <w:r w:rsidRPr="00DB3A74">
        <w:rPr>
          <w:rFonts w:eastAsia="Calibri"/>
        </w:rPr>
        <w:t xml:space="preserve"> to significant changes in the region’s resource mix over the next 15-20 years.</w:t>
      </w:r>
    </w:p>
    <w:p w:rsidR="00DB3A74" w:rsidRPr="00DB3A74" w:rsidRDefault="00DB3A74" w:rsidP="00DB3A74">
      <w:pPr>
        <w:rPr>
          <w:rFonts w:eastAsia="Calibri"/>
        </w:rPr>
      </w:pPr>
      <w:r w:rsidRPr="00DB3A74">
        <w:rPr>
          <w:rFonts w:eastAsia="Calibri"/>
        </w:rPr>
        <w:t xml:space="preserve">Development of renewable energy resources and DERs will continue to add complexity to the power grid. Often small </w:t>
      </w:r>
      <w:r w:rsidR="00931233">
        <w:rPr>
          <w:rFonts w:eastAsia="Calibri"/>
        </w:rPr>
        <w:t>VERs</w:t>
      </w:r>
      <w:r w:rsidRPr="00DB3A74">
        <w:rPr>
          <w:rFonts w:eastAsia="Calibri"/>
        </w:rPr>
        <w:t>, including those coupled with energy storage, have limited observability and controllability because they do not participate in the New England markets. Without knowledge of where and/or when these types of resources will operate, operational complexity increase</w:t>
      </w:r>
      <w:r w:rsidR="00A76279">
        <w:rPr>
          <w:rFonts w:eastAsia="Calibri"/>
        </w:rPr>
        <w:t>s</w:t>
      </w:r>
      <w:r w:rsidRPr="00DB3A74">
        <w:rPr>
          <w:rFonts w:eastAsia="Calibri"/>
        </w:rPr>
        <w:t>. The ISO is conducting several studies to identify ancillary service requirements, such as regulation, ramping, reserves, and voltage support, that are associated with a clean-energy future</w:t>
      </w:r>
      <w:r w:rsidR="00A76279">
        <w:rPr>
          <w:rFonts w:eastAsia="Calibri"/>
        </w:rPr>
        <w:t>,</w:t>
      </w:r>
      <w:r w:rsidRPr="00DB3A74">
        <w:rPr>
          <w:rFonts w:eastAsia="Calibri"/>
        </w:rPr>
        <w:t xml:space="preserve"> and </w:t>
      </w:r>
      <w:r w:rsidR="00A76279">
        <w:rPr>
          <w:rFonts w:eastAsia="Calibri"/>
        </w:rPr>
        <w:t>seeks</w:t>
      </w:r>
      <w:r w:rsidR="00A76279" w:rsidRPr="00DB3A74">
        <w:rPr>
          <w:rFonts w:eastAsia="Calibri"/>
        </w:rPr>
        <w:t xml:space="preserve"> </w:t>
      </w:r>
      <w:r w:rsidRPr="00DB3A74">
        <w:rPr>
          <w:rFonts w:eastAsia="Calibri"/>
        </w:rPr>
        <w:t xml:space="preserve">to </w:t>
      </w:r>
      <w:r w:rsidR="00A76279">
        <w:rPr>
          <w:rFonts w:eastAsia="Calibri"/>
        </w:rPr>
        <w:t xml:space="preserve">identify and </w:t>
      </w:r>
      <w:r w:rsidRPr="00DB3A74">
        <w:rPr>
          <w:rFonts w:eastAsia="Calibri"/>
        </w:rPr>
        <w:t>address operational challenges associated with the expected influx of small DERs.</w:t>
      </w:r>
      <w:r w:rsidRPr="00DB3A74">
        <w:rPr>
          <w:rFonts w:eastAsia="Calibri"/>
          <w:vertAlign w:val="superscript"/>
        </w:rPr>
        <w:footnoteReference w:id="75"/>
      </w:r>
      <w:r w:rsidRPr="00DB3A74">
        <w:rPr>
          <w:rFonts w:eastAsia="Calibri"/>
        </w:rPr>
        <w:t xml:space="preserve"> </w:t>
      </w:r>
    </w:p>
    <w:p w:rsidR="00DB3A74" w:rsidRPr="00DB3A74" w:rsidRDefault="00DB3A74" w:rsidP="00DB3A74">
      <w:pPr>
        <w:rPr>
          <w:rFonts w:eastAsia="Calibri"/>
        </w:rPr>
      </w:pPr>
      <w:r w:rsidRPr="00DB3A74">
        <w:rPr>
          <w:rFonts w:eastAsia="Calibri"/>
        </w:rPr>
        <w:t xml:space="preserve">Regulatory changes may also influence how reliability and operability will be met. FERC </w:t>
      </w:r>
      <w:hyperlink r:id="rId186" w:history="1">
        <w:r w:rsidRPr="00950EEB">
          <w:rPr>
            <w:rStyle w:val="Hyperlink"/>
          </w:rPr>
          <w:t>Order No. 2222</w:t>
        </w:r>
      </w:hyperlink>
      <w:r w:rsidRPr="00DB3A74">
        <w:rPr>
          <w:rFonts w:eastAsia="Calibri"/>
        </w:rPr>
        <w:t xml:space="preserve">  directly impacts resource integration and market participation by requiring Independent System Operators/Regional Transmission Organizations to remove entry barriers for DER aggregations in their wholesale markets. There are thousands of megawatts of DERs currently participating in New England’s electricity markets under existing participation models. However, the ISO does not currently have participation models to allow DERs to participate in the markets using heterogeneous aggregations of DER asset types. To address this gap, the ISO is proposing new participation models for DER aggregations</w:t>
      </w:r>
      <w:r w:rsidR="00394363">
        <w:rPr>
          <w:rFonts w:eastAsia="Calibri"/>
        </w:rPr>
        <w:t>.  D</w:t>
      </w:r>
      <w:r w:rsidRPr="00DB3A74">
        <w:rPr>
          <w:rFonts w:eastAsia="Calibri"/>
        </w:rPr>
        <w:t xml:space="preserve">iscussions will continue with the affected New England Power Pool Committees </w:t>
      </w:r>
      <w:r w:rsidR="00394363">
        <w:rPr>
          <w:rFonts w:eastAsia="Calibri"/>
        </w:rPr>
        <w:t>into</w:t>
      </w:r>
      <w:r w:rsidR="00394363" w:rsidRPr="00DB3A74">
        <w:rPr>
          <w:rFonts w:eastAsia="Calibri"/>
        </w:rPr>
        <w:t xml:space="preserve"> </w:t>
      </w:r>
      <w:r w:rsidRPr="00DB3A74">
        <w:rPr>
          <w:rFonts w:eastAsia="Calibri"/>
        </w:rPr>
        <w:t>2022.</w:t>
      </w:r>
    </w:p>
    <w:p w:rsidR="00DB3A74" w:rsidRPr="00DB3A74" w:rsidRDefault="00DB3A74" w:rsidP="0008531A">
      <w:pPr>
        <w:pStyle w:val="Heading3"/>
        <w:rPr>
          <w:rFonts w:eastAsia="Times New Roman"/>
        </w:rPr>
      </w:pPr>
      <w:bookmarkStart w:id="513" w:name="_Toc81544540"/>
      <w:r w:rsidRPr="00DB3A74">
        <w:rPr>
          <w:rFonts w:eastAsia="Times New Roman"/>
        </w:rPr>
        <w:t>Operational Efficiencies Through Advanced</w:t>
      </w:r>
      <w:r w:rsidR="00DF213A">
        <w:rPr>
          <w:rFonts w:eastAsia="Times New Roman"/>
        </w:rPr>
        <w:t> </w:t>
      </w:r>
      <w:r w:rsidRPr="00DB3A74">
        <w:rPr>
          <w:rFonts w:eastAsia="Times New Roman"/>
        </w:rPr>
        <w:t>Technology</w:t>
      </w:r>
      <w:bookmarkEnd w:id="513"/>
    </w:p>
    <w:p w:rsidR="00DB3A74" w:rsidRPr="00DB3A74" w:rsidRDefault="00DB3A74" w:rsidP="00DB3A74">
      <w:pPr>
        <w:autoSpaceDE w:val="0"/>
        <w:autoSpaceDN w:val="0"/>
        <w:adjustRightInd w:val="0"/>
        <w:rPr>
          <w:rFonts w:eastAsia="Calibri"/>
        </w:rPr>
      </w:pPr>
      <w:r w:rsidRPr="00DB3A74">
        <w:rPr>
          <w:rFonts w:eastAsia="Calibri"/>
        </w:rPr>
        <w:t>The use of advanced technology, namely cloud computing, is enhancing the ISO’s efficiency and effectiveness in satisfying increasing numbers of required transmission planning studies. The initiative—the first of its kind for large-scale power system simulation studies in the industry— minimizes the need for more sophisticated and costly system models, and is already yielding successful early results.</w:t>
      </w:r>
      <w:hyperlink w:anchor="_Transmission_System_Performance" w:history="1">
        <w:r w:rsidRPr="00F955C3">
          <w:rPr>
            <w:rStyle w:val="Hyperlink"/>
            <w:rFonts w:eastAsia="Calibri"/>
            <w:vertAlign w:val="superscript"/>
          </w:rPr>
          <w:footnoteReference w:id="76"/>
        </w:r>
      </w:hyperlink>
      <w:r w:rsidRPr="00DB3A74">
        <w:rPr>
          <w:rFonts w:eastAsia="Calibri"/>
        </w:rPr>
        <w:t xml:space="preserve"> Additional projects to create advanced </w:t>
      </w:r>
      <w:r w:rsidR="009E7F98">
        <w:rPr>
          <w:rFonts w:eastAsia="Calibri"/>
        </w:rPr>
        <w:t xml:space="preserve">new </w:t>
      </w:r>
      <w:r w:rsidRPr="00DB3A74">
        <w:rPr>
          <w:rFonts w:eastAsia="Calibri"/>
        </w:rPr>
        <w:t xml:space="preserve">systems and tools for greater performance </w:t>
      </w:r>
      <w:r w:rsidR="009E7F98">
        <w:rPr>
          <w:rFonts w:eastAsia="Calibri"/>
        </w:rPr>
        <w:t xml:space="preserve">and </w:t>
      </w:r>
      <w:r w:rsidRPr="00DB3A74">
        <w:rPr>
          <w:rFonts w:eastAsia="Calibri"/>
        </w:rPr>
        <w:t>efficiencies</w:t>
      </w:r>
      <w:r w:rsidR="009E7F98">
        <w:rPr>
          <w:rFonts w:eastAsia="Calibri"/>
        </w:rPr>
        <w:t xml:space="preserve">, both operational and planning, </w:t>
      </w:r>
      <w:r w:rsidRPr="00DB3A74">
        <w:rPr>
          <w:rFonts w:eastAsia="Calibri"/>
        </w:rPr>
        <w:t>are also underway.</w:t>
      </w:r>
    </w:p>
    <w:p w:rsidR="00DB3A74" w:rsidRPr="00DB3A74" w:rsidRDefault="00DB3A74" w:rsidP="00DB3A74">
      <w:pPr>
        <w:autoSpaceDE w:val="0"/>
        <w:autoSpaceDN w:val="0"/>
        <w:adjustRightInd w:val="0"/>
        <w:rPr>
          <w:rFonts w:eastAsia="Calibri"/>
        </w:rPr>
      </w:pPr>
      <w:r w:rsidRPr="00DB3A74">
        <w:rPr>
          <w:rFonts w:eastAsia="Calibri"/>
        </w:rPr>
        <w:t>The ISO remains a leader in the application of phasor measurement units (PMUs), including projects related to voltage stability, control room visualization, and power system modeling. The ISO uses PMUs for detecting oscillation sources, identifying potential control system issues in power system equipment</w:t>
      </w:r>
      <w:r w:rsidR="009E7F98">
        <w:rPr>
          <w:rFonts w:eastAsia="Calibri"/>
        </w:rPr>
        <w:t>,</w:t>
      </w:r>
      <w:r w:rsidRPr="00DB3A74">
        <w:rPr>
          <w:rFonts w:eastAsia="Calibri"/>
        </w:rPr>
        <w:t xml:space="preserve"> and improving overall modeling of the system.</w:t>
      </w:r>
      <w:r w:rsidRPr="00DB3A74">
        <w:rPr>
          <w:rFonts w:eastAsia="Calibri"/>
          <w:vertAlign w:val="superscript"/>
        </w:rPr>
        <w:footnoteReference w:id="77"/>
      </w:r>
      <w:r w:rsidRPr="00DB3A74">
        <w:rPr>
          <w:rFonts w:eastAsia="Calibri"/>
        </w:rPr>
        <w:t xml:space="preserve"> The revised OP-22, </w:t>
      </w:r>
      <w:r w:rsidRPr="00DB3A74">
        <w:rPr>
          <w:rFonts w:eastAsia="Calibri"/>
          <w:i/>
        </w:rPr>
        <w:t>Disturbance Monitoring Requirements,</w:t>
      </w:r>
      <w:r w:rsidRPr="00DB3A74">
        <w:rPr>
          <w:rFonts w:eastAsia="Calibri"/>
        </w:rPr>
        <w:t xml:space="preserve"> calls for transmission owners to install new PMUs at points of interconnection for all new and existing generation units over 100 megawatts, all new 345 kilovolt (kV) substations, new elements at existing 345 kV substations, and other locations designated by the ISO.</w:t>
      </w:r>
      <w:r w:rsidRPr="00DB3A74">
        <w:rPr>
          <w:rFonts w:eastAsia="Calibri"/>
          <w:vertAlign w:val="superscript"/>
        </w:rPr>
        <w:footnoteReference w:id="78"/>
      </w:r>
      <w:r w:rsidRPr="00DB3A74">
        <w:rPr>
          <w:rFonts w:eastAsia="Calibri"/>
        </w:rPr>
        <w:t xml:space="preserve"> The ISO also uses PMUs as a backup for emergency monitoring and control for a complete loss of the System Control and Data Acquisition (SCADA) and Energy Management System (EMS).</w:t>
      </w:r>
    </w:p>
    <w:p w:rsidR="00DB3A74" w:rsidRPr="00DB3A74" w:rsidRDefault="00DB3A74" w:rsidP="00DB3A74">
      <w:pPr>
        <w:autoSpaceDE w:val="0"/>
        <w:autoSpaceDN w:val="0"/>
        <w:adjustRightInd w:val="0"/>
        <w:rPr>
          <w:rFonts w:eastAsia="Calibri"/>
        </w:rPr>
      </w:pPr>
      <w:r w:rsidRPr="00DB3A74">
        <w:rPr>
          <w:rFonts w:eastAsia="Calibri"/>
        </w:rPr>
        <w:t>Where appropriate and cost effective, the application of power electronics to the power system thro</w:t>
      </w:r>
      <w:r w:rsidR="00485D2D">
        <w:rPr>
          <w:rFonts w:eastAsia="Calibri"/>
        </w:rPr>
        <w:t>ugh HVDC</w:t>
      </w:r>
      <w:r w:rsidRPr="00DB3A74">
        <w:rPr>
          <w:rFonts w:eastAsia="Calibri"/>
        </w:rPr>
        <w:t xml:space="preserve"> and </w:t>
      </w:r>
      <w:r w:rsidR="00485D2D">
        <w:rPr>
          <w:rFonts w:eastAsia="Calibri"/>
        </w:rPr>
        <w:t>F</w:t>
      </w:r>
      <w:r w:rsidR="00985D44">
        <w:rPr>
          <w:rFonts w:eastAsia="Calibri"/>
        </w:rPr>
        <w:t>A</w:t>
      </w:r>
      <w:r w:rsidR="00485D2D">
        <w:rPr>
          <w:rFonts w:eastAsia="Calibri"/>
        </w:rPr>
        <w:t>CTS</w:t>
      </w:r>
      <w:r w:rsidRPr="00DB3A74">
        <w:rPr>
          <w:rFonts w:eastAsia="Calibri"/>
        </w:rPr>
        <w:t xml:space="preserve"> devices and other advanced technologies can address performance concerns on the transmission system. The ISO is also a leader in </w:t>
      </w:r>
      <w:r w:rsidR="009E7F98">
        <w:rPr>
          <w:rFonts w:eastAsia="Calibri"/>
        </w:rPr>
        <w:t>developing</w:t>
      </w:r>
      <w:r w:rsidR="009E7F98" w:rsidRPr="00DB3A74">
        <w:rPr>
          <w:rFonts w:eastAsia="Calibri"/>
        </w:rPr>
        <w:t xml:space="preserve"> </w:t>
      </w:r>
      <w:r w:rsidRPr="00DB3A74">
        <w:rPr>
          <w:rFonts w:eastAsia="Calibri"/>
        </w:rPr>
        <w:t>detailed mod</w:t>
      </w:r>
      <w:r w:rsidR="00485D2D">
        <w:rPr>
          <w:rFonts w:eastAsia="Calibri"/>
        </w:rPr>
        <w:t xml:space="preserve">els of demand characteristics, </w:t>
      </w:r>
      <w:r w:rsidRPr="00DB3A74">
        <w:rPr>
          <w:rFonts w:eastAsia="Calibri"/>
        </w:rPr>
        <w:t>HVDC</w:t>
      </w:r>
      <w:r w:rsidR="009E7F98">
        <w:rPr>
          <w:rFonts w:eastAsia="Calibri"/>
        </w:rPr>
        <w:t xml:space="preserve"> circuits</w:t>
      </w:r>
      <w:r w:rsidRPr="00DB3A74">
        <w:rPr>
          <w:rFonts w:eastAsia="Calibri"/>
        </w:rPr>
        <w:t>, FACTS</w:t>
      </w:r>
      <w:r w:rsidR="009E7F98">
        <w:rPr>
          <w:rFonts w:eastAsia="Calibri"/>
        </w:rPr>
        <w:t xml:space="preserve"> </w:t>
      </w:r>
      <w:r w:rsidR="004F2A2D">
        <w:rPr>
          <w:rFonts w:eastAsia="Calibri"/>
        </w:rPr>
        <w:t>technologies</w:t>
      </w:r>
      <w:r w:rsidRPr="00DB3A74">
        <w:rPr>
          <w:rFonts w:eastAsia="Calibri"/>
        </w:rPr>
        <w:t>,</w:t>
      </w:r>
      <w:r w:rsidR="009E7F98">
        <w:rPr>
          <w:rFonts w:eastAsia="Calibri"/>
        </w:rPr>
        <w:t xml:space="preserve"> and</w:t>
      </w:r>
      <w:r w:rsidRPr="00DB3A74">
        <w:rPr>
          <w:rFonts w:eastAsia="Calibri"/>
        </w:rPr>
        <w:t xml:space="preserve"> wind and solar resources, and accounting for potential adverse interactions resulting from the widespread use of inverter-based technologies. These types of simulations increase the complexity </w:t>
      </w:r>
      <w:r w:rsidR="009E7F98">
        <w:rPr>
          <w:rFonts w:eastAsia="Calibri"/>
        </w:rPr>
        <w:t xml:space="preserve">and execution time </w:t>
      </w:r>
      <w:r w:rsidRPr="00DB3A74">
        <w:rPr>
          <w:rFonts w:eastAsia="Calibri"/>
        </w:rPr>
        <w:t>of system studies, which must accurately model control and protection systems and their interactions.</w:t>
      </w:r>
    </w:p>
    <w:p w:rsidR="00DB3A74" w:rsidRPr="00DB3A74" w:rsidRDefault="00DB3A74" w:rsidP="0008531A">
      <w:pPr>
        <w:pStyle w:val="Heading2"/>
        <w:rPr>
          <w:rFonts w:eastAsia="Times New Roman"/>
        </w:rPr>
      </w:pPr>
      <w:bookmarkStart w:id="514" w:name="_Toc176245009"/>
      <w:bookmarkStart w:id="515" w:name="_Toc490323038"/>
      <w:bookmarkStart w:id="516" w:name="_Toc429063408"/>
      <w:bookmarkStart w:id="517" w:name="_Toc396807633"/>
      <w:bookmarkStart w:id="518" w:name="_Toc365441003"/>
      <w:bookmarkStart w:id="519" w:name="_Toc334601043"/>
      <w:bookmarkStart w:id="520" w:name="_Toc303086386"/>
      <w:bookmarkStart w:id="521" w:name="_Toc271632228"/>
      <w:bookmarkStart w:id="522" w:name="_Toc239157073"/>
      <w:bookmarkStart w:id="523" w:name="_Toc207531837"/>
      <w:bookmarkStart w:id="524" w:name="_Toc201669938"/>
      <w:bookmarkStart w:id="525" w:name="_Toc481053273"/>
      <w:bookmarkStart w:id="526" w:name="_Toc81544541"/>
      <w:r w:rsidRPr="00DB3A74">
        <w:rPr>
          <w:rFonts w:eastAsia="Times New Roman"/>
        </w:rPr>
        <w:t>Economic Studies</w:t>
      </w:r>
      <w:bookmarkEnd w:id="526"/>
    </w:p>
    <w:p w:rsidR="00DB3A74" w:rsidRPr="00DB3A74" w:rsidRDefault="00DB3A74" w:rsidP="00DB3A74">
      <w:pPr>
        <w:rPr>
          <w:rFonts w:eastAsia="Calibri"/>
        </w:rPr>
      </w:pPr>
      <w:r w:rsidRPr="00DB3A74">
        <w:rPr>
          <w:rFonts w:eastAsia="Calibri"/>
        </w:rPr>
        <w:t>Economic studies provide metrics depicting various system-expansion scenarios and the advantages and challenges associated with possible future scenarios based on stakeholder-selected assumptions.</w:t>
      </w:r>
      <w:r w:rsidRPr="00DB3A74">
        <w:rPr>
          <w:rFonts w:eastAsia="Calibri"/>
          <w:vertAlign w:val="superscript"/>
        </w:rPr>
        <w:footnoteReference w:id="79"/>
      </w:r>
      <w:r w:rsidRPr="00DB3A74">
        <w:rPr>
          <w:rFonts w:eastAsia="Calibri"/>
        </w:rPr>
        <w:t xml:space="preserve"> These scenarios generally assess system performance at a higher, less-detailed level, such as possible additional imports from Canada, resource retirements, and resource additions, but they do not assess the performance of individual asset owners or provide detailed transmission system plans. The key metrics developed include estimates of production costs, transmission congestion, electric-energy costs for New England consumers, and a number of others. These metrics suggest the most economical locations for resource development and the least economical locations for resource retirements. The economic studies also frame many of the key issues that New England would need to address for the large-scale development of variable energy resources (VERs).</w:t>
      </w:r>
    </w:p>
    <w:p w:rsidR="00DB3A74" w:rsidRPr="00DB3A74" w:rsidRDefault="00DB3A74" w:rsidP="0008531A">
      <w:pPr>
        <w:pStyle w:val="Heading3"/>
        <w:rPr>
          <w:rFonts w:eastAsia="Times New Roman"/>
        </w:rPr>
      </w:pPr>
      <w:bookmarkStart w:id="527" w:name="_Ref11667339"/>
      <w:bookmarkStart w:id="528" w:name="_Toc81544542"/>
      <w:r w:rsidRPr="00DB3A74">
        <w:rPr>
          <w:rFonts w:eastAsia="Times New Roman"/>
        </w:rPr>
        <w:t>2019 Economic Study Requests</w:t>
      </w:r>
      <w:bookmarkEnd w:id="527"/>
      <w:bookmarkEnd w:id="528"/>
    </w:p>
    <w:p w:rsidR="00DB3A74" w:rsidRPr="00DB3A74" w:rsidRDefault="00DB3A74" w:rsidP="00DB3A74">
      <w:pPr>
        <w:rPr>
          <w:rFonts w:eastAsia="Calibri"/>
        </w:rPr>
      </w:pPr>
      <w:r w:rsidRPr="00DB3A74">
        <w:rPr>
          <w:rFonts w:eastAsia="Calibri"/>
        </w:rPr>
        <w:t>The ISO received three requests in 2019 for economic studies.</w:t>
      </w:r>
    </w:p>
    <w:p w:rsidR="00DB3A74" w:rsidRPr="00DB3A74" w:rsidRDefault="00DB3A74" w:rsidP="00DB3A74">
      <w:pPr>
        <w:rPr>
          <w:rFonts w:eastAsia="Calibri"/>
        </w:rPr>
      </w:pPr>
      <w:r w:rsidRPr="00DB3A74">
        <w:rPr>
          <w:rFonts w:eastAsia="Calibri"/>
          <w:b/>
        </w:rPr>
        <w:t>New England States Committee on Electricity (NESCOE)</w:t>
      </w:r>
      <w:r w:rsidRPr="00DB3A74">
        <w:rPr>
          <w:rFonts w:eastAsia="Calibri"/>
        </w:rPr>
        <w:t xml:space="preserve"> </w:t>
      </w:r>
      <w:hyperlink r:id="rId187" w:history="1">
        <w:r w:rsidRPr="00A2684F">
          <w:rPr>
            <w:rStyle w:val="Hyperlink"/>
          </w:rPr>
          <w:t>requested</w:t>
        </w:r>
      </w:hyperlink>
      <w:r w:rsidRPr="00DB3A74">
        <w:rPr>
          <w:rFonts w:eastAsia="Calibri"/>
        </w:rPr>
        <w:t xml:space="preserve"> analysis of offshore wind scenarios of 2,000 megawatts (MW), 3,000 MW, 5,000 MW, 6,000 MW and 8,000 MW. In addition to asking the ISO to provide metrics similar to Phase I of the 2016 Economic Study, NESCOE requested additional details, including favorable interconnection points and costs, capacity benefits, and ancillary service requirements. </w:t>
      </w:r>
    </w:p>
    <w:p w:rsidR="00DB3A74" w:rsidRPr="00DB3A74" w:rsidRDefault="00DB3A74" w:rsidP="00DB3A74">
      <w:pPr>
        <w:rPr>
          <w:rFonts w:eastAsia="Calibri"/>
        </w:rPr>
      </w:pPr>
      <w:r w:rsidRPr="00DB3A74">
        <w:rPr>
          <w:rFonts w:eastAsia="Calibri"/>
        </w:rPr>
        <w:t xml:space="preserve">The </w:t>
      </w:r>
      <w:hyperlink r:id="rId188" w:history="1">
        <w:r w:rsidRPr="00A2684F">
          <w:rPr>
            <w:rStyle w:val="Hyperlink"/>
          </w:rPr>
          <w:t>results</w:t>
        </w:r>
      </w:hyperlink>
      <w:r w:rsidRPr="00DB3A74">
        <w:rPr>
          <w:rFonts w:eastAsia="Calibri"/>
        </w:rPr>
        <w:t xml:space="preserve"> revealed that spillage (oversupply) and/or</w:t>
      </w:r>
      <w:r w:rsidR="00985D44">
        <w:rPr>
          <w:rFonts w:eastAsia="Calibri"/>
        </w:rPr>
        <w:t xml:space="preserve"> </w:t>
      </w:r>
      <w:r w:rsidRPr="00DB3A74">
        <w:rPr>
          <w:rFonts w:eastAsia="Calibri"/>
        </w:rPr>
        <w:t xml:space="preserve">curtailment is very similar, regardless of the interconnection points in southern New England, with the rate of curtailment increasing as offshore wind buildout increases. Most curtailment is attributed to oversupply when loads are lower, not transmission congestion. Curtailment varies significantly by month, from 0.15 to 2.69 terawatt-hours (TWh), due to the interaction of wind, solar, and load profiles. The least amount of curtailment in the 8,000 MW scenario occurred in the summer months of July and August when demand is generally high. The study did not consider measures to address curtailment of offshore wind energy. However, when New England has oversupply, using energy storage or selling energy to neighboring control areas may be an alternative to </w:t>
      </w:r>
      <w:r w:rsidR="00213BA6">
        <w:rPr>
          <w:rFonts w:eastAsia="Calibri"/>
        </w:rPr>
        <w:t>reduce or eliminate</w:t>
      </w:r>
      <w:r w:rsidRPr="00DB3A74">
        <w:rPr>
          <w:rFonts w:eastAsia="Calibri"/>
        </w:rPr>
        <w:t xml:space="preserve"> curtailment.</w:t>
      </w:r>
    </w:p>
    <w:p w:rsidR="00DB3A74" w:rsidRPr="00DB3A74" w:rsidRDefault="00DB3A74" w:rsidP="00DB3A74">
      <w:pPr>
        <w:rPr>
          <w:rFonts w:eastAsia="Calibri"/>
        </w:rPr>
      </w:pPr>
      <w:r w:rsidRPr="00DB3A74">
        <w:rPr>
          <w:rFonts w:eastAsia="Calibri"/>
        </w:rPr>
        <w:t>The study of environmental impacts associated with different levels of offshore wind additions provide</w:t>
      </w:r>
      <w:r w:rsidR="00213BA6">
        <w:rPr>
          <w:rFonts w:eastAsia="Calibri"/>
        </w:rPr>
        <w:t>s</w:t>
      </w:r>
      <w:r w:rsidRPr="00DB3A74">
        <w:rPr>
          <w:rFonts w:eastAsia="Calibri"/>
        </w:rPr>
        <w:t xml:space="preserve"> insight into future emission trends. The total carbon dioxide (CO</w:t>
      </w:r>
      <w:r w:rsidRPr="00DB3A74">
        <w:rPr>
          <w:rFonts w:eastAsia="Calibri"/>
          <w:vertAlign w:val="subscript"/>
        </w:rPr>
        <w:t>2</w:t>
      </w:r>
      <w:r w:rsidR="00985D44">
        <w:rPr>
          <w:rFonts w:eastAsia="Calibri"/>
        </w:rPr>
        <w:t xml:space="preserve">) </w:t>
      </w:r>
      <w:r w:rsidRPr="00DB3A74">
        <w:rPr>
          <w:rFonts w:eastAsia="Calibri"/>
        </w:rPr>
        <w:t>emissions associated with the different scenarios analyzed in this study correlated directly to the type and amount of fossil fuels modeled. CO</w:t>
      </w:r>
      <w:r w:rsidRPr="00DB3A74">
        <w:rPr>
          <w:rFonts w:eastAsia="Calibri"/>
          <w:vertAlign w:val="subscript"/>
        </w:rPr>
        <w:t>2</w:t>
      </w:r>
      <w:r w:rsidRPr="00DB3A74">
        <w:rPr>
          <w:rFonts w:eastAsia="Calibri"/>
        </w:rPr>
        <w:t xml:space="preserve"> emissions were reduced by approximately one-third in the 8,000 MW offshore wind scenarios compared with the Reference Case of 0 MW of offshore wind. Additionally, the results indicated that CO</w:t>
      </w:r>
      <w:r w:rsidRPr="00DB3A74">
        <w:rPr>
          <w:rFonts w:eastAsia="Calibri"/>
          <w:vertAlign w:val="subscript"/>
        </w:rPr>
        <w:t>2</w:t>
      </w:r>
      <w:r w:rsidRPr="00DB3A74">
        <w:rPr>
          <w:rFonts w:eastAsia="Calibri"/>
        </w:rPr>
        <w:t xml:space="preserve"> emissions are highest in July and August when wind and solar production are lowest and loads are at their highest.</w:t>
      </w:r>
    </w:p>
    <w:p w:rsidR="00DB3A74" w:rsidRPr="00DB3A74" w:rsidRDefault="00DB3A74" w:rsidP="00DB3A74">
      <w:pPr>
        <w:rPr>
          <w:rFonts w:eastAsia="Calibri"/>
        </w:rPr>
      </w:pPr>
      <w:r w:rsidRPr="00DB3A74">
        <w:rPr>
          <w:rFonts w:eastAsia="Calibri"/>
        </w:rPr>
        <w:t>Another important finding of this study</w:t>
      </w:r>
      <w:r w:rsidR="00985D44">
        <w:rPr>
          <w:rStyle w:val="FootnoteReference"/>
          <w:rFonts w:eastAsia="Calibri"/>
        </w:rPr>
        <w:footnoteReference w:id="80"/>
      </w:r>
      <w:r w:rsidRPr="00DB3A74">
        <w:rPr>
          <w:rFonts w:eastAsia="Calibri"/>
        </w:rPr>
        <w:t xml:space="preserve"> was that, based on the expected transmission topology for the 2030 study year, approximately 5,800 MW of new offshore wind has the potential to be interconnected in southern New England </w:t>
      </w:r>
      <w:r w:rsidR="00985D44" w:rsidRPr="00985D44">
        <w:rPr>
          <w:rFonts w:eastAsia="Calibri"/>
        </w:rPr>
        <w:t>and 1,200 MW connected to Mystic</w:t>
      </w:r>
      <w:r w:rsidR="00985D44" w:rsidRPr="00DB3A74">
        <w:rPr>
          <w:rFonts w:eastAsia="Calibri"/>
        </w:rPr>
        <w:t xml:space="preserve"> </w:t>
      </w:r>
      <w:r w:rsidR="00985D44">
        <w:rPr>
          <w:rFonts w:eastAsia="Calibri"/>
        </w:rPr>
        <w:t xml:space="preserve">substation </w:t>
      </w:r>
      <w:r w:rsidRPr="00DB3A74">
        <w:rPr>
          <w:rFonts w:eastAsia="Calibri"/>
        </w:rPr>
        <w:t xml:space="preserve">without needing major additional 345 kilovolt (kV) reinforcements. Adding additional offshore wind (above the base scenario of 5,800 MW) would require significant transmission reinforcements that may be difficult to site and expensive to build. However, the study also explored options to interconnect offshore wind to the Mystic and K Street substations in Boston. The ISO determined that the use of HVDC connections into Boston could avoid significant onshore transmission upgrades, and </w:t>
      </w:r>
      <w:r w:rsidR="00B107E5">
        <w:rPr>
          <w:rFonts w:eastAsia="Calibri"/>
        </w:rPr>
        <w:t xml:space="preserve">provide </w:t>
      </w:r>
      <w:r w:rsidRPr="00DB3A74">
        <w:rPr>
          <w:rFonts w:eastAsia="Calibri"/>
        </w:rPr>
        <w:t xml:space="preserve">an ability to interconnect an additional 2,200 MW to key areas in the region. </w:t>
      </w:r>
    </w:p>
    <w:p w:rsidR="00DB3A74" w:rsidRPr="00DB3A74" w:rsidRDefault="00DB3A74" w:rsidP="00DB3A74">
      <w:pPr>
        <w:spacing w:after="120"/>
        <w:rPr>
          <w:rFonts w:eastAsia="Times New Roman"/>
          <w:szCs w:val="24"/>
        </w:rPr>
      </w:pPr>
      <w:r w:rsidRPr="00DB3A74">
        <w:rPr>
          <w:rFonts w:eastAsia="Times New Roman"/>
          <w:b/>
          <w:szCs w:val="24"/>
        </w:rPr>
        <w:t>Anbaric Development Partners</w:t>
      </w:r>
      <w:r w:rsidRPr="00DB3A74">
        <w:rPr>
          <w:rFonts w:eastAsia="Times New Roman"/>
          <w:szCs w:val="24"/>
        </w:rPr>
        <w:t xml:space="preserve"> </w:t>
      </w:r>
      <w:hyperlink r:id="rId189" w:history="1">
        <w:r w:rsidRPr="00A2684F">
          <w:rPr>
            <w:rStyle w:val="Hyperlink"/>
          </w:rPr>
          <w:t>requested</w:t>
        </w:r>
      </w:hyperlink>
      <w:r w:rsidRPr="00DB3A74">
        <w:rPr>
          <w:rFonts w:eastAsia="Times New Roman"/>
          <w:szCs w:val="24"/>
        </w:rPr>
        <w:t xml:space="preserve"> an update of the 2015 Economic Study </w:t>
      </w:r>
      <w:r w:rsidR="00213BA6">
        <w:rPr>
          <w:rFonts w:eastAsia="Times New Roman"/>
          <w:szCs w:val="24"/>
        </w:rPr>
        <w:t>with</w:t>
      </w:r>
      <w:r w:rsidR="00213BA6" w:rsidRPr="00DB3A74">
        <w:rPr>
          <w:rFonts w:eastAsia="Times New Roman"/>
          <w:szCs w:val="24"/>
        </w:rPr>
        <w:t xml:space="preserve"> </w:t>
      </w:r>
      <w:r w:rsidRPr="00DB3A74">
        <w:rPr>
          <w:rFonts w:eastAsia="Times New Roman"/>
          <w:szCs w:val="24"/>
        </w:rPr>
        <w:t xml:space="preserve">offshore wind scenarios of 8,000 MW, 10,000 MW, and 12,000 MW. Requested metrics include energy-market prices, environmental emissions, and impacts on fuel security for a winter 2014/2015 load shape. </w:t>
      </w:r>
    </w:p>
    <w:p w:rsidR="00DB3A74" w:rsidRPr="00DB3A74" w:rsidRDefault="00DB3A74" w:rsidP="00DB3A74">
      <w:pPr>
        <w:rPr>
          <w:rFonts w:eastAsia="Calibri"/>
        </w:rPr>
      </w:pPr>
      <w:r w:rsidRPr="00DB3A74">
        <w:rPr>
          <w:rFonts w:eastAsia="Calibri"/>
        </w:rPr>
        <w:t xml:space="preserve">The </w:t>
      </w:r>
      <w:hyperlink r:id="rId190" w:history="1">
        <w:r w:rsidRPr="00A2684F">
          <w:rPr>
            <w:rStyle w:val="Hyperlink"/>
          </w:rPr>
          <w:t>results</w:t>
        </w:r>
      </w:hyperlink>
      <w:r w:rsidRPr="00DB3A74">
        <w:rPr>
          <w:rFonts w:eastAsia="Calibri"/>
        </w:rPr>
        <w:t xml:space="preserve"> revealed that curtailment is significant for each of the various amounts of offshore wind interconnected to points in southern New England, with the rate of curtailment increasing as the offshore wind buildout increases. Production cost analysis reveals that, in this configuration, the realization of the environmental benefits of the addition of 12,000 MW of offshore wind may not occur because the wind cannot serve load due to transmission constraints. As illustrated in the 8,000 MW scenario, curtailment varies significantly by month</w:t>
      </w:r>
      <w:r w:rsidR="00213BA6">
        <w:rPr>
          <w:rFonts w:eastAsia="Calibri"/>
        </w:rPr>
        <w:t>,</w:t>
      </w:r>
      <w:r w:rsidRPr="00DB3A74">
        <w:rPr>
          <w:rFonts w:eastAsia="Calibri"/>
        </w:rPr>
        <w:t xml:space="preserve"> from 0.09 TWh in August to 1.74 TWh in April. Offshore wind may not be able to serve increases in demand due to electrification (approximately 5 TWh annually total) because of differences in the timing of when wind energy is available and added electrification load occurs. Study results indicate that the use of additional battery storage as proposed by Anbaric would help lower offshore wind curtailment. While offshore wind continues to oversupply in shoulder seasons, it does not provide a steady supply in the high-demand months of July and August.</w:t>
      </w:r>
    </w:p>
    <w:p w:rsidR="00DB3A74" w:rsidRPr="00DB3A74" w:rsidRDefault="00DB3A74" w:rsidP="00DB3A74">
      <w:pPr>
        <w:rPr>
          <w:rFonts w:eastAsia="Calibri"/>
        </w:rPr>
      </w:pPr>
      <w:r w:rsidRPr="00DB3A74">
        <w:rPr>
          <w:rFonts w:eastAsia="Calibri"/>
        </w:rPr>
        <w:t xml:space="preserve">Interconnection of the wind to load centers in Connecticut and Massachusetts would reduce congestion of the SEMA/RI export interface. The SEMA/RI export interface is congested in the 8,000 MW to 12,000 MW scenarios because more offshore wind generation is required to serve load outside the SEMA and RI areas with the assumed nuclear retirements. </w:t>
      </w:r>
    </w:p>
    <w:p w:rsidR="00DB3A74" w:rsidRPr="00DB3A74" w:rsidRDefault="00DB3A74" w:rsidP="00DB3A74">
      <w:pPr>
        <w:rPr>
          <w:rFonts w:eastAsia="Calibri"/>
        </w:rPr>
      </w:pPr>
      <w:r w:rsidRPr="00DB3A74">
        <w:rPr>
          <w:rFonts w:eastAsia="Calibri"/>
        </w:rPr>
        <w:t xml:space="preserve">The addition of 8,000 MW of offshore wind decreases systemwide production costs to approximately half the reference scenario (0 MW of new offshore wind). However, the incremental savings in production costs are less than $100 million per each 2,000 MW of additional offshore wind, as seen in the 10,000 MW and 12,000 MW offshore wind scenarios. </w:t>
      </w:r>
    </w:p>
    <w:p w:rsidR="00DB3A74" w:rsidRPr="00DB3A74" w:rsidRDefault="00DB3A74" w:rsidP="00DB3A74">
      <w:pPr>
        <w:spacing w:after="120"/>
        <w:rPr>
          <w:rFonts w:eastAsia="Calibri"/>
        </w:rPr>
      </w:pPr>
      <w:r w:rsidRPr="00DB3A74">
        <w:rPr>
          <w:rFonts w:eastAsia="Calibri"/>
        </w:rPr>
        <w:t>The study of the environmental impacts associated with different levels of offshore wind additions provides insight on future emission trends. The total CO</w:t>
      </w:r>
      <w:r w:rsidRPr="00DB3A74">
        <w:rPr>
          <w:rFonts w:eastAsia="Calibri"/>
          <w:vertAlign w:val="subscript"/>
        </w:rPr>
        <w:t>2</w:t>
      </w:r>
      <w:r w:rsidRPr="00DB3A74">
        <w:rPr>
          <w:rFonts w:eastAsia="Calibri"/>
        </w:rPr>
        <w:t xml:space="preserve"> emissions associated with the different scenarios analyzed in this study correlated directly to the type and amount of fossil-fuel resources modeled and accounted for renewables displacing fossil-fuel resources. Offshore wind additions reduce the New England carbon footprint but are weather dependent, which may result in an inability to meet demand consistently. The consideration of transmission enhancements, storage, or both may be helpful in utilizing offshore wind more effectively. Study results showed a reduction in CO</w:t>
      </w:r>
      <w:r w:rsidRPr="00DB3A74">
        <w:rPr>
          <w:rFonts w:eastAsia="Calibri"/>
          <w:vertAlign w:val="subscript"/>
        </w:rPr>
        <w:t>2</w:t>
      </w:r>
      <w:r w:rsidRPr="00DB3A74">
        <w:rPr>
          <w:rFonts w:eastAsia="Calibri"/>
        </w:rPr>
        <w:t xml:space="preserve"> emissions by approximately one-third in all offshore wind scenarios compared with the reference scenario. However, CO</w:t>
      </w:r>
      <w:r w:rsidRPr="00DB3A74">
        <w:rPr>
          <w:rFonts w:eastAsia="Calibri"/>
          <w:vertAlign w:val="subscript"/>
        </w:rPr>
        <w:t>2</w:t>
      </w:r>
      <w:r w:rsidRPr="00DB3A74">
        <w:rPr>
          <w:rFonts w:eastAsia="Calibri"/>
        </w:rPr>
        <w:t xml:space="preserve"> emissions of the Anbaric 10000_Sen scenario are slightly higher because more energy production from natural-gas-fired units is required to meet the additional demand associated with electrification.</w:t>
      </w:r>
    </w:p>
    <w:p w:rsidR="00DB3A74" w:rsidRPr="00DB3A74" w:rsidRDefault="00DB3A74" w:rsidP="00DB3A74">
      <w:pPr>
        <w:rPr>
          <w:rFonts w:eastAsia="Calibri"/>
        </w:rPr>
      </w:pPr>
      <w:r w:rsidRPr="00DB3A74">
        <w:rPr>
          <w:rFonts w:eastAsia="Times New Roman"/>
          <w:b/>
          <w:szCs w:val="24"/>
        </w:rPr>
        <w:t xml:space="preserve">RENEW Northeast </w:t>
      </w:r>
      <w:hyperlink r:id="rId191" w:history="1">
        <w:r w:rsidRPr="00A2684F">
          <w:rPr>
            <w:rStyle w:val="Hyperlink"/>
          </w:rPr>
          <w:t>requested</w:t>
        </w:r>
      </w:hyperlink>
      <w:r w:rsidRPr="00DB3A74">
        <w:rPr>
          <w:rFonts w:eastAsia="Times New Roman"/>
          <w:szCs w:val="24"/>
        </w:rPr>
        <w:t xml:space="preserve"> analysis of the Orrington-South interface in Maine, where the transfer limit varies with the status of generation and transmission facilities being in or out of service. The study examined </w:t>
      </w:r>
      <w:r w:rsidR="007462DD">
        <w:rPr>
          <w:rFonts w:eastAsia="Calibri"/>
        </w:rPr>
        <w:t>two</w:t>
      </w:r>
      <w:r w:rsidR="007462DD" w:rsidRPr="00DB3A74">
        <w:rPr>
          <w:rFonts w:eastAsia="Calibri"/>
        </w:rPr>
        <w:t xml:space="preserve"> </w:t>
      </w:r>
      <w:r w:rsidRPr="00DB3A74">
        <w:rPr>
          <w:rFonts w:eastAsia="Calibri"/>
        </w:rPr>
        <w:t>distinct scenarios of transmission buildout</w:t>
      </w:r>
      <w:r w:rsidR="007462DD">
        <w:rPr>
          <w:rFonts w:eastAsia="Calibri"/>
        </w:rPr>
        <w:t xml:space="preserve"> compared to the status quo</w:t>
      </w:r>
      <w:r w:rsidRPr="00DB3A74">
        <w:rPr>
          <w:rFonts w:eastAsia="Calibri"/>
        </w:rPr>
        <w:t xml:space="preserve">. As expected, the </w:t>
      </w:r>
      <w:hyperlink r:id="rId192" w:history="1">
        <w:r w:rsidRPr="00A2684F">
          <w:rPr>
            <w:rStyle w:val="Hyperlink"/>
          </w:rPr>
          <w:t>results</w:t>
        </w:r>
      </w:hyperlink>
      <w:r w:rsidRPr="00DB3A74">
        <w:rPr>
          <w:rFonts w:eastAsia="Calibri"/>
        </w:rPr>
        <w:t xml:space="preserve"> revealed reduced congestion of the Orrington-South interface with the conceptual additional transmission buildout, specifically the addition of the Cooper Mills STATCOM and a new 345 KV transmission path from the Orrington substation to the Maine Yankee station. Congestion varied monthly. Generally, times of low load and high production by renewable resources resulted in the greatest amount of congestion, while times of high loads and low production by renewables resulted in the least amount of congestion.  </w:t>
      </w:r>
    </w:p>
    <w:p w:rsidR="00DB3A74" w:rsidRPr="00DB3A74" w:rsidRDefault="00DB3A74" w:rsidP="00DB3A74">
      <w:pPr>
        <w:rPr>
          <w:rFonts w:eastAsia="Calibri"/>
        </w:rPr>
      </w:pPr>
      <w:r w:rsidRPr="00DB3A74">
        <w:rPr>
          <w:rFonts w:eastAsia="Calibri"/>
        </w:rPr>
        <w:t xml:space="preserve">Production-cost savings were approximately $4 and $8 million per year </w:t>
      </w:r>
      <w:r w:rsidR="00242967">
        <w:rPr>
          <w:rFonts w:eastAsia="Calibri"/>
        </w:rPr>
        <w:t>in the two scenarios</w:t>
      </w:r>
      <w:r w:rsidR="00242967" w:rsidRPr="00DB3A74">
        <w:rPr>
          <w:rFonts w:eastAsia="Calibri"/>
        </w:rPr>
        <w:t xml:space="preserve"> </w:t>
      </w:r>
      <w:r w:rsidRPr="00DB3A74">
        <w:rPr>
          <w:rFonts w:eastAsia="Calibri"/>
        </w:rPr>
        <w:t>with about 75% of the savings arising from a simplifying assumption that energy imported from New Brunswick had a zero production cost charge to New England. Assigning a cost to the energy imported from New Brunswick at a New England locational marginal price (LMP) would reduce the adjusted savings to $1 and $2 million per year. The limited reduction in production-cost savings based on the assumptions in this study is not significant enough to merit investigation of a Market Efficiency Transmission Upgrade (METU).</w:t>
      </w:r>
    </w:p>
    <w:p w:rsidR="00DB3A74" w:rsidRPr="00DB3A74" w:rsidRDefault="00DB3A74" w:rsidP="0008531A">
      <w:pPr>
        <w:pStyle w:val="Heading3"/>
        <w:rPr>
          <w:rFonts w:eastAsia="Times New Roman"/>
        </w:rPr>
      </w:pPr>
      <w:bookmarkStart w:id="529" w:name="_Toc81544543"/>
      <w:r w:rsidRPr="00DB3A74">
        <w:rPr>
          <w:rFonts w:eastAsia="Times New Roman"/>
        </w:rPr>
        <w:t>2020 Economic Study Request</w:t>
      </w:r>
      <w:bookmarkEnd w:id="529"/>
    </w:p>
    <w:p w:rsidR="00DB3A74" w:rsidRPr="00DB3A74" w:rsidRDefault="00DB3A74" w:rsidP="00DB3A74">
      <w:pPr>
        <w:rPr>
          <w:rFonts w:eastAsia="Calibri"/>
        </w:rPr>
      </w:pPr>
      <w:r w:rsidRPr="00DB3A74">
        <w:rPr>
          <w:rFonts w:eastAsia="Calibri"/>
        </w:rPr>
        <w:t xml:space="preserve">The ISO received one </w:t>
      </w:r>
      <w:hyperlink r:id="rId193" w:history="1">
        <w:r w:rsidRPr="00A2684F">
          <w:rPr>
            <w:rStyle w:val="Hyperlink"/>
          </w:rPr>
          <w:t>request</w:t>
        </w:r>
      </w:hyperlink>
      <w:r w:rsidRPr="00DB3A74">
        <w:rPr>
          <w:rFonts w:eastAsia="Calibri"/>
        </w:rPr>
        <w:t xml:space="preserve"> in 2020 for an economic study. National Grid requested analyses of potential ways to </w:t>
      </w:r>
      <w:r w:rsidR="00213BA6">
        <w:rPr>
          <w:rFonts w:eastAsia="Calibri"/>
        </w:rPr>
        <w:t>most fully utilize the output</w:t>
      </w:r>
      <w:r w:rsidRPr="00DB3A74">
        <w:rPr>
          <w:rFonts w:eastAsia="Calibri"/>
        </w:rPr>
        <w:t xml:space="preserve"> of clean-energy resources</w:t>
      </w:r>
      <w:r w:rsidR="00213BA6">
        <w:rPr>
          <w:rFonts w:eastAsia="Calibri"/>
        </w:rPr>
        <w:t>,</w:t>
      </w:r>
      <w:r w:rsidRPr="00DB3A74">
        <w:rPr>
          <w:rFonts w:eastAsia="Calibri"/>
        </w:rPr>
        <w:t xml:space="preserve"> and </w:t>
      </w:r>
      <w:r w:rsidR="00213BA6">
        <w:rPr>
          <w:rFonts w:eastAsia="Calibri"/>
        </w:rPr>
        <w:t xml:space="preserve">evaluate </w:t>
      </w:r>
      <w:r w:rsidRPr="00DB3A74">
        <w:rPr>
          <w:rFonts w:eastAsia="Calibri"/>
        </w:rPr>
        <w:t xml:space="preserve">the Hydro Québec (HQ) system as a storage resource to meet state emissions goals cost effectively, leveraging transmission and/or storage as needed. Said differently, the proposed </w:t>
      </w:r>
      <w:r w:rsidR="003B09EB">
        <w:rPr>
          <w:rFonts w:eastAsia="Calibri"/>
        </w:rPr>
        <w:t xml:space="preserve">scenarios </w:t>
      </w:r>
      <w:r w:rsidRPr="00DB3A74">
        <w:rPr>
          <w:rFonts w:eastAsia="Calibri"/>
        </w:rPr>
        <w:t xml:space="preserve">examined the use of tie lines to avoid curtailments of renewable resources such as solar and wind via “energy banking.”  </w:t>
      </w:r>
    </w:p>
    <w:p w:rsidR="00DB3A74" w:rsidRPr="00DB3A74" w:rsidRDefault="00DB3A74" w:rsidP="00DB3A74">
      <w:pPr>
        <w:rPr>
          <w:rFonts w:eastAsia="Calibri"/>
        </w:rPr>
      </w:pPr>
      <w:r w:rsidRPr="00DB3A74">
        <w:rPr>
          <w:rFonts w:eastAsia="Calibri"/>
        </w:rPr>
        <w:t xml:space="preserve">Compared to the 2019 NESCOE Economic Study, study results indicated curtailment of renewables was significantly lower due to the higher extrapolated loads, additional electrification loads, </w:t>
      </w:r>
      <w:r w:rsidR="00E47D4B">
        <w:rPr>
          <w:rFonts w:eastAsia="Calibri"/>
        </w:rPr>
        <w:t xml:space="preserve">and </w:t>
      </w:r>
      <w:r w:rsidR="00E47D4B" w:rsidRPr="00DB3A74">
        <w:rPr>
          <w:rFonts w:eastAsia="Calibri"/>
        </w:rPr>
        <w:t xml:space="preserve">additional </w:t>
      </w:r>
      <w:r w:rsidR="00E47D4B">
        <w:rPr>
          <w:rFonts w:eastAsia="Calibri"/>
        </w:rPr>
        <w:t xml:space="preserve">heating and transportation </w:t>
      </w:r>
      <w:r w:rsidR="00E47D4B" w:rsidRPr="00DB3A74">
        <w:rPr>
          <w:rFonts w:eastAsia="Calibri"/>
        </w:rPr>
        <w:t>electrification loads</w:t>
      </w:r>
      <w:r w:rsidRPr="00DB3A74">
        <w:rPr>
          <w:rFonts w:eastAsia="Calibri"/>
        </w:rPr>
        <w:t>. The study showed the ability to export surplus New England renewable energy during times of over supply (winter) and have that energy returned to New England at times when d</w:t>
      </w:r>
      <w:r w:rsidR="006A12CF">
        <w:rPr>
          <w:rFonts w:eastAsia="Calibri"/>
        </w:rPr>
        <w:t>emand was high (summer) improved</w:t>
      </w:r>
      <w:r w:rsidRPr="00DB3A74">
        <w:rPr>
          <w:rFonts w:eastAsia="Calibri"/>
        </w:rPr>
        <w:t xml:space="preserve"> the utilization of New England renewable resources. The study also revealed that significant amounts of fossil generation were still required to serve loads and there was uplift due to low and negative LMPs. All scenarios studied meet or exceed state goals for carbon emissions for the study year 2035.</w:t>
      </w:r>
      <w:r w:rsidRPr="00DB3A74">
        <w:rPr>
          <w:rFonts w:eastAsia="Calibri"/>
          <w:vertAlign w:val="superscript"/>
        </w:rPr>
        <w:footnoteReference w:id="81"/>
      </w:r>
    </w:p>
    <w:p w:rsidR="00DB3A74" w:rsidRPr="00DB3A74" w:rsidRDefault="00DB3A74" w:rsidP="0008531A">
      <w:pPr>
        <w:pStyle w:val="Heading3"/>
        <w:rPr>
          <w:rFonts w:eastAsia="Times New Roman"/>
        </w:rPr>
      </w:pPr>
      <w:bookmarkStart w:id="530" w:name="_Toc81544544"/>
      <w:r w:rsidRPr="00DB3A74">
        <w:rPr>
          <w:rFonts w:eastAsia="Times New Roman"/>
        </w:rPr>
        <w:t>2021 Economic Study Request</w:t>
      </w:r>
      <w:bookmarkEnd w:id="530"/>
    </w:p>
    <w:p w:rsidR="00DB3A74" w:rsidRPr="00DB3A74" w:rsidRDefault="00DB3A74" w:rsidP="00DB3A74">
      <w:pPr>
        <w:rPr>
          <w:rFonts w:eastAsia="Calibri"/>
        </w:rPr>
      </w:pPr>
      <w:r w:rsidRPr="00DB3A74">
        <w:rPr>
          <w:rFonts w:eastAsia="Calibri"/>
        </w:rPr>
        <w:t xml:space="preserve">The ISO received one </w:t>
      </w:r>
      <w:hyperlink r:id="rId194" w:history="1">
        <w:r w:rsidRPr="00A2684F">
          <w:rPr>
            <w:rStyle w:val="Hyperlink"/>
          </w:rPr>
          <w:t>request</w:t>
        </w:r>
      </w:hyperlink>
      <w:r w:rsidRPr="00DB3A74">
        <w:rPr>
          <w:rFonts w:eastAsia="Calibri"/>
        </w:rPr>
        <w:t xml:space="preserve"> in 2021 for an economic study</w:t>
      </w:r>
      <w:r w:rsidR="006A12CF">
        <w:rPr>
          <w:rFonts w:eastAsia="Calibri"/>
        </w:rPr>
        <w:t>,</w:t>
      </w:r>
      <w:r w:rsidRPr="00DB3A74">
        <w:rPr>
          <w:rFonts w:eastAsia="Calibri"/>
        </w:rPr>
        <w:t xml:space="preserve"> from NEPOOL. The purpose of the study is to examine the implications of </w:t>
      </w:r>
      <w:r w:rsidR="00213BA6">
        <w:rPr>
          <w:rFonts w:eastAsia="Calibri"/>
        </w:rPr>
        <w:t xml:space="preserve">a </w:t>
      </w:r>
      <w:r w:rsidRPr="00DB3A74">
        <w:rPr>
          <w:rFonts w:eastAsia="Calibri"/>
        </w:rPr>
        <w:t>substantially changed future grid (study year 2040). Specifically, the study will examine whether revenues from the existing markets will likely be sufficient to attract and retain the new and existing resources needed to continue to operate the system reliably. The study should also identify what operational and reliability challenges will need to be addressed in the future grid and identify possible ways to meet those needs.</w:t>
      </w:r>
      <w:r w:rsidRPr="00DB3A74">
        <w:rPr>
          <w:rFonts w:eastAsia="Calibri"/>
          <w:vertAlign w:val="superscript"/>
        </w:rPr>
        <w:footnoteReference w:id="82"/>
      </w:r>
      <w:r w:rsidRPr="00DB3A74">
        <w:rPr>
          <w:rFonts w:eastAsia="Calibri"/>
        </w:rPr>
        <w:t xml:space="preserve"> Over a period of seven months, the NEPOOL Markets Committee and Reliability Committee</w:t>
      </w:r>
      <w:r w:rsidR="001931D3">
        <w:rPr>
          <w:rFonts w:eastAsia="Calibri"/>
        </w:rPr>
        <w:t>,</w:t>
      </w:r>
      <w:r w:rsidRPr="00DB3A74">
        <w:rPr>
          <w:rFonts w:eastAsia="Calibri"/>
        </w:rPr>
        <w:t xml:space="preserve"> </w:t>
      </w:r>
      <w:r w:rsidR="003B09EB">
        <w:rPr>
          <w:rFonts w:eastAsia="Calibri"/>
        </w:rPr>
        <w:t xml:space="preserve">along </w:t>
      </w:r>
      <w:r w:rsidRPr="00DB3A74">
        <w:rPr>
          <w:rFonts w:eastAsia="Calibri"/>
        </w:rPr>
        <w:t xml:space="preserve">with </w:t>
      </w:r>
      <w:r w:rsidR="003B09EB" w:rsidRPr="00DB3A74">
        <w:rPr>
          <w:rFonts w:eastAsia="Calibri"/>
        </w:rPr>
        <w:t>significant involvement by NESCOE</w:t>
      </w:r>
      <w:r w:rsidR="003B09EB">
        <w:rPr>
          <w:rFonts w:eastAsia="Calibri"/>
        </w:rPr>
        <w:t>,</w:t>
      </w:r>
      <w:r w:rsidR="003B09EB" w:rsidRPr="00DB3A74">
        <w:rPr>
          <w:rFonts w:eastAsia="Calibri"/>
        </w:rPr>
        <w:t xml:space="preserve"> </w:t>
      </w:r>
      <w:r w:rsidRPr="00DB3A74">
        <w:rPr>
          <w:rFonts w:eastAsia="Calibri"/>
        </w:rPr>
        <w:t xml:space="preserve">the </w:t>
      </w:r>
      <w:r w:rsidR="003B09EB">
        <w:rPr>
          <w:rFonts w:eastAsia="Calibri"/>
        </w:rPr>
        <w:t xml:space="preserve">New England </w:t>
      </w:r>
      <w:r w:rsidRPr="00DB3A74">
        <w:rPr>
          <w:rFonts w:eastAsia="Calibri"/>
        </w:rPr>
        <w:t>states</w:t>
      </w:r>
      <w:r w:rsidR="003B09EB">
        <w:rPr>
          <w:rFonts w:eastAsia="Calibri"/>
        </w:rPr>
        <w:t xml:space="preserve"> representatives</w:t>
      </w:r>
      <w:r w:rsidRPr="00DB3A74">
        <w:rPr>
          <w:rFonts w:eastAsia="Calibri"/>
        </w:rPr>
        <w:t xml:space="preserve">, developed a Future Grid Reliability Study (FGRS) framework document outlining analyses they sought to study. Through the Planning Advisory Committee (PAC), the ISO has presented assumptions and preliminary results from the production-cost and ancillary-services analyses. The </w:t>
      </w:r>
      <w:r w:rsidR="006A12CF">
        <w:rPr>
          <w:rFonts w:eastAsia="Calibri"/>
        </w:rPr>
        <w:t xml:space="preserve">initial </w:t>
      </w:r>
      <w:r w:rsidRPr="00DB3A74">
        <w:rPr>
          <w:rFonts w:eastAsia="Calibri"/>
        </w:rPr>
        <w:t>scope</w:t>
      </w:r>
      <w:r w:rsidR="006A12CF">
        <w:rPr>
          <w:rFonts w:eastAsia="Calibri"/>
        </w:rPr>
        <w:t xml:space="preserve"> of work entails running</w:t>
      </w:r>
      <w:r w:rsidRPr="00DB3A74">
        <w:rPr>
          <w:rFonts w:eastAsia="Calibri"/>
        </w:rPr>
        <w:t xml:space="preserve"> 34 production-cost simulations and a minimum of eight ancillary-services analyses to examine multiple variations on quantities of variable energy resources (VERs), heating/transportation electrification loads, and alternative scenarios of different resource</w:t>
      </w:r>
      <w:r w:rsidR="00D3339A">
        <w:rPr>
          <w:rFonts w:eastAsia="Calibri"/>
        </w:rPr>
        <w:t>-</w:t>
      </w:r>
      <w:r w:rsidRPr="00DB3A74">
        <w:rPr>
          <w:rFonts w:eastAsia="Calibri"/>
        </w:rPr>
        <w:t xml:space="preserve">type retirements, advanced utilization of interchange with neighboring regions, and vehicle-to-grid implementation. </w:t>
      </w:r>
    </w:p>
    <w:p w:rsidR="00DB3A74" w:rsidRPr="00DB3A74" w:rsidRDefault="00DB3A74" w:rsidP="0008531A">
      <w:pPr>
        <w:pStyle w:val="Heading2"/>
        <w:rPr>
          <w:rFonts w:eastAsia="Times New Roman"/>
        </w:rPr>
      </w:pPr>
      <w:bookmarkStart w:id="531" w:name="_Ref418357957"/>
      <w:bookmarkStart w:id="532" w:name="_Toc490323062"/>
      <w:bookmarkStart w:id="533" w:name="_Toc484947377"/>
      <w:bookmarkStart w:id="534" w:name="_Ref418959031"/>
      <w:bookmarkStart w:id="535" w:name="_Ref418860292"/>
      <w:bookmarkStart w:id="536" w:name="_Toc81544545"/>
      <w:r w:rsidRPr="00DB3A74">
        <w:rPr>
          <w:rFonts w:eastAsia="Times New Roman"/>
        </w:rPr>
        <w:t>Interregional</w:t>
      </w:r>
      <w:bookmarkEnd w:id="531"/>
      <w:r w:rsidRPr="00DB3A74">
        <w:rPr>
          <w:rFonts w:eastAsia="Times New Roman"/>
        </w:rPr>
        <w:t xml:space="preserve"> Coordination</w:t>
      </w:r>
      <w:bookmarkEnd w:id="532"/>
      <w:bookmarkEnd w:id="533"/>
      <w:bookmarkEnd w:id="534"/>
      <w:bookmarkEnd w:id="535"/>
      <w:bookmarkEnd w:id="536"/>
    </w:p>
    <w:p w:rsidR="00DB3A74" w:rsidRPr="00DB3A74" w:rsidRDefault="00DB3A74" w:rsidP="00DB3A74">
      <w:pPr>
        <w:rPr>
          <w:rFonts w:eastAsia="Times New Roman"/>
          <w:color w:val="000000"/>
        </w:rPr>
      </w:pPr>
      <w:r w:rsidRPr="00DB3A74">
        <w:rPr>
          <w:rFonts w:eastAsia="Times New Roman"/>
          <w:color w:val="000000"/>
        </w:rPr>
        <w:t>Interconnections with neighboring systems allow for the exchange of capacity and energy, facilitating access to a diversity of resources, compliance with environmental obligations, and the more economic, interregional operation of the system. New England is well situated, given the seasonal diversity of demand in neighboring regions, especially the winter-peaking Canadian provinces.</w:t>
      </w:r>
      <w:r w:rsidRPr="00DB3A74">
        <w:rPr>
          <w:rFonts w:eastAsia="Calibri"/>
          <w:vertAlign w:val="superscript"/>
        </w:rPr>
        <w:footnoteReference w:id="83"/>
      </w:r>
      <w:r w:rsidRPr="00DB3A74">
        <w:rPr>
          <w:rFonts w:eastAsia="Times New Roman"/>
          <w:color w:val="000000"/>
        </w:rPr>
        <w:t xml:space="preserve"> </w:t>
      </w:r>
    </w:p>
    <w:p w:rsidR="00DB3A74" w:rsidRPr="00DB3A74" w:rsidRDefault="00DB3A74" w:rsidP="00DB3A74">
      <w:pPr>
        <w:rPr>
          <w:rFonts w:eastAsia="Calibri"/>
        </w:rPr>
      </w:pPr>
      <w:r w:rsidRPr="00DB3A74">
        <w:rPr>
          <w:rFonts w:eastAsia="Calibri"/>
        </w:rPr>
        <w:t xml:space="preserve">The ISO coordinates its planning activities with neighboring systems and across the Eastern Interconnection (EI) to analyze the interconnection-wide system, identify interregional transfer and seams issues, and determine whether interregional transmission solutions are more efficient or cost effective than solely regional solutions. With other entities within and outside the region, including neighboring areas, the ISO also conducts and participates in studies that aim to address other common issues affecting the planning of the overall system. </w:t>
      </w:r>
    </w:p>
    <w:p w:rsidR="00DB3A74" w:rsidRPr="00DB3A74" w:rsidRDefault="00DB3A74" w:rsidP="00DB3A74">
      <w:pPr>
        <w:rPr>
          <w:rFonts w:eastAsia="Calibri"/>
        </w:rPr>
      </w:pPr>
      <w:r w:rsidRPr="00DB3A74">
        <w:rPr>
          <w:rFonts w:eastAsia="Calibri"/>
        </w:rPr>
        <w:t xml:space="preserve">The ISO also </w:t>
      </w:r>
      <w:r w:rsidRPr="00F66927">
        <w:rPr>
          <w:rFonts w:eastAsia="Calibri"/>
        </w:rPr>
        <w:t>participates</w:t>
      </w:r>
      <w:r w:rsidRPr="00DB3A74">
        <w:rPr>
          <w:rFonts w:eastAsia="Calibri"/>
        </w:rPr>
        <w:t xml:space="preserve"> in numerous interregional planning activities with the U.S. Department of Energy (DOE), Northeast Power Coordinating Council, Inc. (NPCC), and North American Electric Reliability Corporation (NERC) designated areas in the United States and Canada. The overriding purpose of these efforts is to enhance the overall reliability of the interregional electric power system.</w:t>
      </w:r>
    </w:p>
    <w:p w:rsidR="00DB3A74" w:rsidRPr="00DB3A74" w:rsidRDefault="00DB3A74" w:rsidP="00655272">
      <w:pPr>
        <w:pStyle w:val="Heading3"/>
        <w:rPr>
          <w:rFonts w:eastAsia="Calibri"/>
        </w:rPr>
      </w:pPr>
      <w:bookmarkStart w:id="537" w:name="_Ref5632963"/>
      <w:bookmarkStart w:id="538" w:name="_Toc81544546"/>
      <w:r w:rsidRPr="00DB3A74">
        <w:rPr>
          <w:rFonts w:eastAsia="Times New Roman"/>
        </w:rPr>
        <w:t>Eastern Interconnection Planning Collaborative</w:t>
      </w:r>
      <w:r w:rsidR="00DF213A">
        <w:rPr>
          <w:rFonts w:eastAsia="Times New Roman"/>
        </w:rPr>
        <w:t> </w:t>
      </w:r>
      <w:r w:rsidRPr="00DB3A74">
        <w:rPr>
          <w:rFonts w:eastAsia="Times New Roman"/>
        </w:rPr>
        <w:t>Studies</w:t>
      </w:r>
      <w:bookmarkEnd w:id="537"/>
      <w:bookmarkEnd w:id="538"/>
      <w:r w:rsidRPr="00DB3A74">
        <w:rPr>
          <w:rFonts w:eastAsia="Calibri"/>
        </w:rPr>
        <w:t xml:space="preserve"> </w:t>
      </w:r>
    </w:p>
    <w:p w:rsidR="00DB3A74" w:rsidRPr="00DB3A74" w:rsidRDefault="00DB3A74" w:rsidP="00DB3A74">
      <w:pPr>
        <w:rPr>
          <w:rFonts w:eastAsia="Calibri"/>
        </w:rPr>
      </w:pPr>
      <w:r w:rsidRPr="00DB3A74">
        <w:rPr>
          <w:rFonts w:eastAsia="Calibri"/>
        </w:rPr>
        <w:t xml:space="preserve">Most of the electric power planning coordinators of the EI, including ISO New England, formed the Eastern Interconnection Planning Collaborative (EIPC) in 2009 to analyze the combined regionally-planned interconnection-wide system. Since that time, the EIPC has conducted several studies. </w:t>
      </w:r>
    </w:p>
    <w:p w:rsidR="00DB3A74" w:rsidRPr="00DB3A74" w:rsidRDefault="00DB3A74" w:rsidP="00DB3A74">
      <w:pPr>
        <w:rPr>
          <w:rFonts w:eastAsia="Calibri"/>
        </w:rPr>
      </w:pPr>
      <w:r w:rsidRPr="00DB3A74">
        <w:rPr>
          <w:rFonts w:eastAsia="Calibri"/>
        </w:rPr>
        <w:t xml:space="preserve">The </w:t>
      </w:r>
      <w:r w:rsidRPr="00DB3A74">
        <w:rPr>
          <w:rFonts w:eastAsia="Calibri"/>
          <w:i/>
        </w:rPr>
        <w:t>State of the Eastern Interconnection</w:t>
      </w:r>
      <w:r w:rsidRPr="00DB3A74">
        <w:rPr>
          <w:rFonts w:eastAsia="Calibri"/>
        </w:rPr>
        <w:t xml:space="preserve"> describes EIPC’s planning activities and summarizes results from studies and analyses on the collective transmission plans in the </w:t>
      </w:r>
      <w:r w:rsidR="00B540C9">
        <w:rPr>
          <w:rFonts w:eastAsia="Calibri"/>
        </w:rPr>
        <w:t>eastern interconnection</w:t>
      </w:r>
      <w:r w:rsidRPr="00DB3A74">
        <w:rPr>
          <w:rFonts w:eastAsia="Calibri"/>
        </w:rPr>
        <w:t>.</w:t>
      </w:r>
      <w:r w:rsidRPr="00DB3A74">
        <w:rPr>
          <w:rFonts w:eastAsia="Calibri"/>
          <w:vertAlign w:val="superscript"/>
        </w:rPr>
        <w:footnoteReference w:id="84"/>
      </w:r>
      <w:r w:rsidRPr="00DB3A74">
        <w:rPr>
          <w:rFonts w:eastAsia="Calibri"/>
        </w:rPr>
        <w:t xml:space="preserve"> EIPC is developing its updated version for publication in </w:t>
      </w:r>
      <w:r w:rsidR="00B540C9">
        <w:rPr>
          <w:rFonts w:eastAsia="Calibri"/>
        </w:rPr>
        <w:t xml:space="preserve">late </w:t>
      </w:r>
      <w:r w:rsidRPr="00DB3A74">
        <w:rPr>
          <w:rFonts w:eastAsia="Calibri"/>
        </w:rPr>
        <w:t>2021.</w:t>
      </w:r>
    </w:p>
    <w:p w:rsidR="00DB3A74" w:rsidRPr="00DB3A74" w:rsidRDefault="00DB3A74" w:rsidP="00DB3A74">
      <w:pPr>
        <w:rPr>
          <w:rFonts w:eastAsia="Calibri"/>
        </w:rPr>
      </w:pPr>
      <w:r w:rsidRPr="00DB3A74">
        <w:rPr>
          <w:rFonts w:eastAsia="Calibri"/>
        </w:rPr>
        <w:t>EIPC has performed analyses to verify that the combined regional plans function well together to maintain BPS reliability throughout the interconnection and identify potential constraints resulting from interconnection-wide power-flow interactions, providing feedback to inform and enhance regional plans. After extensive investigation of the gas-electric power system interface, the EIPC continues to share important lessons.</w:t>
      </w:r>
      <w:r w:rsidRPr="00DB3A74">
        <w:rPr>
          <w:rFonts w:eastAsia="Calibri"/>
          <w:vertAlign w:val="superscript"/>
        </w:rPr>
        <w:footnoteReference w:id="85"/>
      </w:r>
      <w:r w:rsidRPr="00DB3A74">
        <w:rPr>
          <w:rFonts w:eastAsia="Calibri"/>
        </w:rPr>
        <w:t xml:space="preserve"> </w:t>
      </w:r>
    </w:p>
    <w:p w:rsidR="00DB3A74" w:rsidRPr="00DB3A74" w:rsidRDefault="00DB3A74" w:rsidP="00DB3A74">
      <w:pPr>
        <w:rPr>
          <w:rFonts w:eastAsia="Calibri"/>
        </w:rPr>
      </w:pPr>
      <w:r w:rsidRPr="00DB3A74">
        <w:rPr>
          <w:rFonts w:eastAsia="Calibri"/>
        </w:rPr>
        <w:t>EIPC entities responsible for system planning have developed power flow and production-cost models of the EI for a base scenario and a high penetration of renewables scenario to identify potential issues that may arise on the grid and need to be addressed in future analysis.</w:t>
      </w:r>
    </w:p>
    <w:p w:rsidR="00DB3A74" w:rsidRPr="00DB3A74" w:rsidRDefault="00DB3A74" w:rsidP="00DB3A74">
      <w:pPr>
        <w:rPr>
          <w:rFonts w:eastAsia="Calibri"/>
        </w:rPr>
      </w:pPr>
      <w:r w:rsidRPr="00DB3A74">
        <w:rPr>
          <w:rFonts w:eastAsia="Calibri"/>
        </w:rPr>
        <w:t>With the addition of inverter-based, nonsynchronous generation and planned synchronous resource retirements, the ability of the EI to maintain frequency has come into question. In support of NERC, EIPC conducted an analysis that showed acceptable system performance over the next five years, and plans on updating this analysis</w:t>
      </w:r>
      <w:r w:rsidRPr="00DB3A74">
        <w:rPr>
          <w:rFonts w:eastAsia="Calibri"/>
          <w:vertAlign w:val="superscript"/>
        </w:rPr>
        <w:footnoteReference w:id="86"/>
      </w:r>
      <w:r w:rsidRPr="00DB3A74">
        <w:rPr>
          <w:rFonts w:eastAsia="Calibri"/>
        </w:rPr>
        <w:t xml:space="preserve"> every two years.</w:t>
      </w:r>
    </w:p>
    <w:p w:rsidR="00DB3A74" w:rsidRPr="00DB3A74" w:rsidRDefault="00DB3A74" w:rsidP="00DB3A74">
      <w:pPr>
        <w:rPr>
          <w:rFonts w:eastAsia="Calibri"/>
        </w:rPr>
      </w:pPr>
      <w:r w:rsidRPr="00DB3A74">
        <w:rPr>
          <w:rFonts w:eastAsia="Calibri"/>
        </w:rPr>
        <w:t xml:space="preserve">EIPC has established a working group to liaise with planning coordinators and their representatives in the Multiregional Modeling Working Group (MMWG) on assembling network models of the EI, in pursuit of improved model quality and model development processes. </w:t>
      </w:r>
    </w:p>
    <w:p w:rsidR="00DB3A74" w:rsidRPr="00DB3A74" w:rsidRDefault="00DB3A74" w:rsidP="00DB3A74">
      <w:pPr>
        <w:rPr>
          <w:rFonts w:eastAsia="Calibri"/>
        </w:rPr>
      </w:pPr>
      <w:r w:rsidRPr="00DB3A74">
        <w:rPr>
          <w:rFonts w:eastAsia="Calibri"/>
        </w:rPr>
        <w:t xml:space="preserve">EIPC published a white paper for state and national regulators detailing the challenges that lie ahead as the power grid </w:t>
      </w:r>
      <w:r w:rsidR="004F2A2D">
        <w:rPr>
          <w:rFonts w:eastAsia="Calibri"/>
        </w:rPr>
        <w:t>transitions</w:t>
      </w:r>
      <w:r w:rsidRPr="00DB3A74">
        <w:rPr>
          <w:rFonts w:eastAsia="Calibri"/>
        </w:rPr>
        <w:t xml:space="preserve"> to more VERs. The paper describes the current state and future plans for the EI members’ systems, the challenges that have arisen from increased variable resource penetrations, and some recommendations for regulators to consider as they draft future policy objectives.</w:t>
      </w:r>
    </w:p>
    <w:p w:rsidR="00DB3A74" w:rsidRPr="00DB3A74" w:rsidRDefault="00DB3A74" w:rsidP="00655272">
      <w:pPr>
        <w:pStyle w:val="Heading3"/>
        <w:rPr>
          <w:rFonts w:eastAsia="Times New Roman"/>
        </w:rPr>
      </w:pPr>
      <w:bookmarkStart w:id="539" w:name="_Ref12184030"/>
      <w:bookmarkStart w:id="540" w:name="_Ref12183529"/>
      <w:bookmarkStart w:id="541" w:name="_Ref12131749"/>
      <w:bookmarkStart w:id="542" w:name="_Ref11245083"/>
      <w:bookmarkStart w:id="543" w:name="_Ref491183820"/>
      <w:bookmarkStart w:id="544" w:name="_Toc490323064"/>
      <w:bookmarkStart w:id="545" w:name="_Ref487013631"/>
      <w:bookmarkStart w:id="546" w:name="_Toc484947379"/>
      <w:bookmarkStart w:id="547" w:name="_Toc396807685"/>
      <w:bookmarkStart w:id="548" w:name="_Toc365441058"/>
      <w:bookmarkStart w:id="549" w:name="_Toc81544547"/>
      <w:r w:rsidRPr="00DB3A74">
        <w:rPr>
          <w:rFonts w:eastAsia="Times New Roman"/>
        </w:rPr>
        <w:t>Electric Reliability Organization</w:t>
      </w:r>
      <w:r w:rsidR="00DF213A">
        <w:rPr>
          <w:rFonts w:eastAsia="Times New Roman"/>
        </w:rPr>
        <w:t> </w:t>
      </w:r>
      <w:r w:rsidRPr="00DB3A74">
        <w:rPr>
          <w:rFonts w:eastAsia="Times New Roman"/>
        </w:rPr>
        <w:t>Overview</w:t>
      </w:r>
      <w:bookmarkEnd w:id="539"/>
      <w:bookmarkEnd w:id="540"/>
      <w:bookmarkEnd w:id="541"/>
      <w:bookmarkEnd w:id="542"/>
      <w:bookmarkEnd w:id="543"/>
      <w:bookmarkEnd w:id="544"/>
      <w:bookmarkEnd w:id="545"/>
      <w:bookmarkEnd w:id="546"/>
      <w:bookmarkEnd w:id="547"/>
      <w:bookmarkEnd w:id="548"/>
      <w:bookmarkEnd w:id="549"/>
    </w:p>
    <w:p w:rsidR="00DB3A74" w:rsidRPr="00DB3A74" w:rsidRDefault="00DB3A74" w:rsidP="00DB3A74">
      <w:pPr>
        <w:rPr>
          <w:rFonts w:eastAsia="Calibri"/>
        </w:rPr>
      </w:pPr>
      <w:r w:rsidRPr="00DB3A74">
        <w:rPr>
          <w:rFonts w:eastAsia="Calibri"/>
        </w:rPr>
        <w:t xml:space="preserve">The North American Electric Reliability Corporation </w:t>
      </w:r>
      <w:r w:rsidR="00C80C19">
        <w:rPr>
          <w:rFonts w:eastAsia="Calibri"/>
        </w:rPr>
        <w:t xml:space="preserve">(NERC) </w:t>
      </w:r>
      <w:r w:rsidRPr="00DB3A74">
        <w:rPr>
          <w:rFonts w:eastAsia="Calibri"/>
        </w:rPr>
        <w:t>is the Federal Energy Regulatory Commission-designated Electric Reliability Organization</w:t>
      </w:r>
      <w:r w:rsidR="00C80C19">
        <w:rPr>
          <w:rFonts w:eastAsia="Calibri"/>
        </w:rPr>
        <w:t>. NERC</w:t>
      </w:r>
      <w:r w:rsidRPr="00DB3A74">
        <w:rPr>
          <w:rFonts w:eastAsia="Calibri"/>
        </w:rPr>
        <w:t xml:space="preserve"> issued its annual </w:t>
      </w:r>
      <w:hyperlink r:id="rId195" w:history="1">
        <w:r w:rsidRPr="00A2684F">
          <w:rPr>
            <w:rStyle w:val="Hyperlink"/>
            <w:i/>
          </w:rPr>
          <w:t>Long-Term Reliability Assessment</w:t>
        </w:r>
      </w:hyperlink>
      <w:r w:rsidRPr="00DB3A74">
        <w:rPr>
          <w:rFonts w:eastAsia="Calibri"/>
        </w:rPr>
        <w:t xml:space="preserve"> (LTRA), analyzing reliability conditions across the North American continent in December 2020. This report discusses transmission additions, generation projections, and reserve capability by reliability council area. This edition of the LTRA did include a note regarding the heightened risk in New England, among other</w:t>
      </w:r>
      <w:r w:rsidR="001931D3">
        <w:rPr>
          <w:rFonts w:eastAsia="Calibri"/>
        </w:rPr>
        <w:t xml:space="preserve"> region</w:t>
      </w:r>
      <w:r w:rsidRPr="00DB3A74">
        <w:rPr>
          <w:rFonts w:eastAsia="Calibri"/>
        </w:rPr>
        <w:t>s, of vulnerabilities associated with natural-gas delivery to generators. Reference the full report for a comprehensive discussion and specific recommendations.</w:t>
      </w:r>
    </w:p>
    <w:p w:rsidR="00DB3A74" w:rsidRPr="00DB3A74" w:rsidRDefault="00DB3A74" w:rsidP="00655272">
      <w:pPr>
        <w:pStyle w:val="Heading3"/>
        <w:rPr>
          <w:rFonts w:eastAsia="Calibri"/>
        </w:rPr>
      </w:pPr>
      <w:bookmarkStart w:id="550" w:name="_Toc490323066"/>
      <w:bookmarkStart w:id="551" w:name="_Toc484947381"/>
      <w:bookmarkStart w:id="552" w:name="_Toc396807687"/>
      <w:bookmarkStart w:id="553" w:name="_Toc365441060"/>
      <w:bookmarkStart w:id="554" w:name="_Ref360798958"/>
      <w:bookmarkStart w:id="555" w:name="_Toc81544548"/>
      <w:r w:rsidRPr="00DB3A74">
        <w:rPr>
          <w:rFonts w:eastAsia="Times New Roman"/>
        </w:rPr>
        <w:t>NPCC Studies and Activities</w:t>
      </w:r>
      <w:bookmarkEnd w:id="550"/>
      <w:bookmarkEnd w:id="551"/>
      <w:bookmarkEnd w:id="552"/>
      <w:bookmarkEnd w:id="553"/>
      <w:bookmarkEnd w:id="554"/>
      <w:bookmarkEnd w:id="555"/>
    </w:p>
    <w:p w:rsidR="00DB3A74" w:rsidRPr="00DB3A74" w:rsidRDefault="00DB3A74" w:rsidP="00DB3A74">
      <w:pPr>
        <w:rPr>
          <w:rFonts w:eastAsia="Calibri"/>
        </w:rPr>
      </w:pPr>
      <w:r w:rsidRPr="00DB3A74">
        <w:rPr>
          <w:rFonts w:eastAsia="Calibri"/>
        </w:rPr>
        <w:t>The Northeast Power Coordinating Council, Inc., (NPCC) is one of six regional entities located throughout the United States, Canada, and portions of Mexico responsible for enhancing and promoting the reliable and efficient operation of the interconnected bulk power system (BPS).</w:t>
      </w:r>
      <w:r w:rsidRPr="00DB3A74">
        <w:rPr>
          <w:rFonts w:eastAsia="Calibri"/>
          <w:vertAlign w:val="superscript"/>
        </w:rPr>
        <w:footnoteReference w:id="87"/>
      </w:r>
      <w:r w:rsidRPr="00DB3A74">
        <w:rPr>
          <w:rFonts w:eastAsia="Calibri"/>
        </w:rPr>
        <w:t xml:space="preserve"> NERC has authorized NPCC to create regional standards to maintain and enhance the reliability of the international, interconnected bulk electric system in northeastern North America. As a member of NPCC, the ISO fully participates in NPCC-coordinated interregional studies with its neighboring areas.</w:t>
      </w:r>
    </w:p>
    <w:p w:rsidR="00DB3A74" w:rsidRPr="00DB3A74" w:rsidRDefault="00DB3A74" w:rsidP="00DB3A74">
      <w:pPr>
        <w:rPr>
          <w:rFonts w:eastAsia="Calibri"/>
        </w:rPr>
      </w:pPr>
      <w:r w:rsidRPr="00DB3A74">
        <w:rPr>
          <w:rFonts w:eastAsia="Calibri"/>
        </w:rPr>
        <w:t>NPCC assesses seasonal reliability and, periodically, the reliability of the planned BPS.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w:t>
      </w:r>
      <w:r w:rsidRPr="00DB3A74">
        <w:rPr>
          <w:rFonts w:eastAsia="Calibri"/>
          <w:vertAlign w:val="superscript"/>
        </w:rPr>
        <w:footnoteReference w:id="88"/>
      </w:r>
      <w:r w:rsidRPr="00DB3A74">
        <w:rPr>
          <w:rFonts w:eastAsia="Calibri"/>
        </w:rPr>
        <w:t xml:space="preserve"> </w:t>
      </w:r>
    </w:p>
    <w:p w:rsidR="00DB3A74" w:rsidRPr="00DB3A74" w:rsidRDefault="00DB3A74" w:rsidP="00DB3A74">
      <w:pPr>
        <w:rPr>
          <w:rFonts w:eastAsia="Calibri"/>
        </w:rPr>
      </w:pPr>
      <w:r w:rsidRPr="00DB3A74">
        <w:rPr>
          <w:rFonts w:eastAsia="Calibri"/>
        </w:rPr>
        <w:t xml:space="preserve">NPCC activities also include issuing several special reports and updating guidelines and criteria. One ongoing project will assess the future </w:t>
      </w:r>
      <w:bookmarkStart w:id="556" w:name="_Hlk71535577"/>
      <w:r w:rsidRPr="00DB3A74">
        <w:rPr>
          <w:rFonts w:eastAsia="Calibri"/>
        </w:rPr>
        <w:t>reliability risk to the NPCC BPS of a significant gas contingency</w:t>
      </w:r>
      <w:bookmarkEnd w:id="556"/>
      <w:r w:rsidRPr="00DB3A74">
        <w:rPr>
          <w:rFonts w:eastAsia="Calibri"/>
        </w:rPr>
        <w:t xml:space="preserve"> during periods of increased reliance on natural gas, including electrical non-peak/shoulder month periods. Another evaluates the reliability impacts of NPCC balancing authority areas’ resource-adequacy scenarios to address societal de-carbonization objectives established by the U.S. states and Canadian provinces within the NPCC footprint. </w:t>
      </w:r>
    </w:p>
    <w:p w:rsidR="00DB3A74" w:rsidRPr="00DB3A74" w:rsidRDefault="00DB3A74" w:rsidP="00655272">
      <w:pPr>
        <w:pStyle w:val="Heading3"/>
        <w:rPr>
          <w:rFonts w:eastAsia="Times New Roman"/>
        </w:rPr>
      </w:pPr>
      <w:bookmarkStart w:id="557" w:name="_Toc490323067"/>
      <w:bookmarkStart w:id="558" w:name="_Toc484947382"/>
      <w:bookmarkStart w:id="559" w:name="_Toc396807688"/>
      <w:bookmarkStart w:id="560" w:name="_Toc365441061"/>
      <w:bookmarkStart w:id="561" w:name="_Ref360798959"/>
      <w:bookmarkStart w:id="562" w:name="_Toc81544549"/>
      <w:r w:rsidRPr="00DB3A74">
        <w:rPr>
          <w:rFonts w:eastAsia="Times New Roman"/>
        </w:rPr>
        <w:t>Northeastern ISO/RTO Planning Coordination</w:t>
      </w:r>
      <w:r w:rsidR="00DF213A">
        <w:rPr>
          <w:rFonts w:eastAsia="Times New Roman"/>
        </w:rPr>
        <w:t> </w:t>
      </w:r>
      <w:r w:rsidRPr="00DB3A74">
        <w:rPr>
          <w:rFonts w:eastAsia="Times New Roman"/>
        </w:rPr>
        <w:t>Protocol</w:t>
      </w:r>
      <w:bookmarkEnd w:id="557"/>
      <w:bookmarkEnd w:id="558"/>
      <w:bookmarkEnd w:id="559"/>
      <w:bookmarkEnd w:id="560"/>
      <w:bookmarkEnd w:id="561"/>
      <w:bookmarkEnd w:id="562"/>
    </w:p>
    <w:p w:rsidR="00DB3A74" w:rsidRPr="00DB3A74" w:rsidRDefault="00DB3A74" w:rsidP="00DB3A74">
      <w:pPr>
        <w:rPr>
          <w:rFonts w:eastAsia="Calibri"/>
        </w:rPr>
      </w:pPr>
      <w:r w:rsidRPr="00DB3A74">
        <w:rPr>
          <w:rFonts w:eastAsia="Calibri"/>
        </w:rPr>
        <w:t>Each Independent System Operator/Regional Transmission Organization (ISO/RTO) develops individual system reliability plans, production-cost studies, and interconnection studies, mindful of potential significant interregional impacts. To facilitate interregional coordination and communication among all interested parties, the Joint ISO/RTO Planning Committee (JIPC) and the Interregional Planning Stakeholder Advisory Committee (IPSAC) were established.</w:t>
      </w:r>
      <w:r w:rsidRPr="00DB3A74">
        <w:rPr>
          <w:rFonts w:eastAsia="Calibri"/>
          <w:vertAlign w:val="superscript"/>
        </w:rPr>
        <w:footnoteReference w:id="89"/>
      </w:r>
      <w:r w:rsidRPr="00DB3A74">
        <w:rPr>
          <w:rFonts w:eastAsia="Calibri"/>
        </w:rPr>
        <w:t xml:space="preserve"> The JIPC has successfully implemented the Northeastern ISO/RTO Planning Coordination Protocol and the subsequent Amended and Restated Northeastern ISO/RTO Planning Protocol,</w:t>
      </w:r>
      <w:r w:rsidRPr="00DB3A74">
        <w:rPr>
          <w:rFonts w:eastAsia="Calibri"/>
          <w:vertAlign w:val="superscript"/>
        </w:rPr>
        <w:footnoteReference w:id="90"/>
      </w:r>
      <w:r w:rsidRPr="00DB3A74">
        <w:rPr>
          <w:rFonts w:eastAsia="Calibri"/>
        </w:rPr>
        <w:t xml:space="preserve"> which has further improved interregional planning among neighboring areas. </w:t>
      </w:r>
    </w:p>
    <w:p w:rsidR="00DB3A74" w:rsidRPr="00DB3A74" w:rsidRDefault="00DB3A74" w:rsidP="00DB3A74">
      <w:pPr>
        <w:rPr>
          <w:rFonts w:eastAsia="Calibri"/>
        </w:rPr>
      </w:pPr>
      <w:r w:rsidRPr="00DB3A74">
        <w:rPr>
          <w:rFonts w:eastAsia="Calibri"/>
        </w:rPr>
        <w:t>Recent planning activities among ISO New England, New York ISO, and PJM Interconnection</w:t>
      </w:r>
      <w:r w:rsidRPr="00DB3A74">
        <w:rPr>
          <w:rFonts w:eastAsia="Calibri"/>
          <w:vertAlign w:val="superscript"/>
        </w:rPr>
        <w:footnoteReference w:id="91"/>
      </w:r>
      <w:r w:rsidRPr="00DB3A74">
        <w:rPr>
          <w:rFonts w:eastAsia="Calibri"/>
        </w:rPr>
        <w:t xml:space="preserve">, discussed with IPSAC, include the interregional planning process, regional needs, and projects meeting the regional needs. The information helps stakeholders identify potential interregional solutions that may be more efficient or cost effective than improvements discussed in the ISO/RTOs’ respective regional plans. Additional IPSAC discussions have addressed interconnection queue studies with potential interregional impacts and </w:t>
      </w:r>
      <w:r w:rsidR="00E47D4B" w:rsidRPr="00DB3A74">
        <w:rPr>
          <w:rFonts w:eastAsia="Calibri"/>
        </w:rPr>
        <w:t>coordinat</w:t>
      </w:r>
      <w:r w:rsidR="00E47D4B">
        <w:rPr>
          <w:rFonts w:eastAsia="Calibri"/>
        </w:rPr>
        <w:t>ed data</w:t>
      </w:r>
      <w:r w:rsidR="00E47D4B" w:rsidRPr="00DB3A74">
        <w:rPr>
          <w:rFonts w:eastAsia="Calibri"/>
        </w:rPr>
        <w:t xml:space="preserve"> sharing </w:t>
      </w:r>
      <w:r w:rsidRPr="00DB3A74">
        <w:rPr>
          <w:rFonts w:eastAsia="Calibri"/>
        </w:rPr>
        <w:t xml:space="preserve">among regions related to the influx of offshore wind proposals in the three regions. To date, the ISO/RTOs have not identified new interregional transmission projects that would be more efficient or cost effective in meeting the needs of multiple regions than proposed regional system improvements as noted in </w:t>
      </w:r>
      <w:hyperlink w:anchor="_Transmission_System_Performance" w:history="1">
        <w:r w:rsidRPr="00931233">
          <w:rPr>
            <w:rStyle w:val="Hyperlink"/>
            <w:rFonts w:eastAsia="Calibri"/>
          </w:rPr>
          <w:t>Chapter 5</w:t>
        </w:r>
      </w:hyperlink>
      <w:r w:rsidRPr="00DB3A74">
        <w:rPr>
          <w:rFonts w:eastAsia="Calibri"/>
        </w:rPr>
        <w:t>.</w:t>
      </w:r>
    </w:p>
    <w:p w:rsidR="00DB3A74" w:rsidRPr="00DB3A74" w:rsidRDefault="00DB3A74" w:rsidP="00655272">
      <w:pPr>
        <w:pStyle w:val="Heading2"/>
        <w:rPr>
          <w:rFonts w:eastAsia="Times New Roman"/>
        </w:rPr>
      </w:pPr>
      <w:bookmarkStart w:id="563" w:name="_Toc81544550"/>
      <w:r w:rsidRPr="00DB3A74">
        <w:rPr>
          <w:rFonts w:eastAsia="Times New Roman"/>
        </w:rPr>
        <w:t>Summa</w:t>
      </w:r>
      <w:bookmarkEnd w:id="514"/>
      <w:r w:rsidRPr="00DB3A74">
        <w:rPr>
          <w:rFonts w:eastAsia="Times New Roman"/>
        </w:rPr>
        <w:t>ry</w:t>
      </w:r>
      <w:bookmarkEnd w:id="515"/>
      <w:bookmarkEnd w:id="516"/>
      <w:bookmarkEnd w:id="517"/>
      <w:bookmarkEnd w:id="518"/>
      <w:bookmarkEnd w:id="519"/>
      <w:bookmarkEnd w:id="520"/>
      <w:bookmarkEnd w:id="521"/>
      <w:bookmarkEnd w:id="522"/>
      <w:bookmarkEnd w:id="523"/>
      <w:bookmarkEnd w:id="524"/>
      <w:bookmarkEnd w:id="525"/>
      <w:bookmarkEnd w:id="563"/>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Sufficient resources are projected for New England through 2030 to meet the resource-adequacy planning criterion, assuming no additional retirements and the successful completion of all new resources that have cleared the FCM. The planning analysis accounts for new resource additions that have responded to market improvements, state policies, and resource retirements. The ISO is committed to procuring adequate demand and supply resources through the FCM and expects the region to install adequate resources to meet the physical capacity needs that the ICRs will define for future years. </w:t>
      </w:r>
    </w:p>
    <w:p w:rsidR="00DB3A74" w:rsidRPr="00DB3A74" w:rsidRDefault="00DB3A74" w:rsidP="00DB3A74">
      <w:pPr>
        <w:rPr>
          <w:rFonts w:eastAsia="Calibri"/>
        </w:rPr>
      </w:pPr>
      <w:r w:rsidRPr="00DB3A74">
        <w:rPr>
          <w:rFonts w:eastAsia="Calibri"/>
        </w:rPr>
        <w:t xml:space="preserve">Estimates of future demand as compared to the amount of supply-side resources available using the deterministic operable-capacity analyses shows that operable-capacity shortages will occur during both summer and winter demand periods and operators will have to implement operating procedures to mitigate possible operable-capacity shortages during the planning horizon. The unexpected retirement of base load or intermediate load resources will impact reserve margins. The ISO will monitor the operable-capacity situation and develop market mechanisms, if necessary, to promote resource retention and addition, if additional capacity is required.  </w:t>
      </w:r>
    </w:p>
    <w:p w:rsidR="00DB3A74" w:rsidRPr="00DB3A74" w:rsidRDefault="00DB3A74" w:rsidP="00DB3A74">
      <w:pPr>
        <w:rPr>
          <w:rFonts w:eastAsia="Calibri"/>
        </w:rPr>
      </w:pPr>
      <w:r w:rsidRPr="00DB3A74">
        <w:rPr>
          <w:rFonts w:eastAsia="Calibri"/>
        </w:rPr>
        <w:t>The region may not be able to meet future representative operating-reserve requirements for the system as currently planned. Specifically, the results of the analysis of representative locational operating-reserve requirements show that operating reserves do not need to be located in Greater Southwest Connecticut and Greater Connecticut because of transmission improvements combined with recent and future resource additions in these areas. However, the NEMA/Boston area could need up to 250 MW of operating reserves during the summer through 2024 and up to 600 MW in 2025 due to the loss of local generating resources and the reduction in import capability</w:t>
      </w:r>
      <w:r w:rsidR="00213BA6">
        <w:rPr>
          <w:rFonts w:eastAsia="Calibri"/>
        </w:rPr>
        <w:t>,</w:t>
      </w:r>
      <w:r w:rsidRPr="00DB3A74">
        <w:rPr>
          <w:rFonts w:eastAsia="Calibri"/>
        </w:rPr>
        <w:t xml:space="preserve"> while no operating reserves are needed during the winters. Fast-start generating resources with short lead times for project construction can satisfy near-term operating-reserve requirements while providing operational flexibility to major load pockets and the system overall. </w:t>
      </w:r>
    </w:p>
    <w:p w:rsidR="00DB3A74" w:rsidRPr="00DB3A74" w:rsidRDefault="00DB3A74" w:rsidP="00DB3A74">
      <w:pPr>
        <w:rPr>
          <w:rFonts w:eastAsia="Calibri"/>
        </w:rPr>
      </w:pPr>
      <w:r w:rsidRPr="00DB3A74">
        <w:rPr>
          <w:rFonts w:eastAsia="Calibri"/>
        </w:rPr>
        <w:t xml:space="preserve">Proposed resources in the interconnection queue will likely </w:t>
      </w:r>
      <w:r w:rsidR="00CE08E8">
        <w:rPr>
          <w:rFonts w:eastAsia="Calibri"/>
        </w:rPr>
        <w:t>contribute</w:t>
      </w:r>
      <w:r w:rsidRPr="00DB3A74">
        <w:rPr>
          <w:rFonts w:eastAsia="Calibri"/>
        </w:rPr>
        <w:t xml:space="preserve"> to meet</w:t>
      </w:r>
      <w:r w:rsidR="00CE08E8">
        <w:rPr>
          <w:rFonts w:eastAsia="Calibri"/>
        </w:rPr>
        <w:t>ing</w:t>
      </w:r>
      <w:r w:rsidRPr="00DB3A74">
        <w:rPr>
          <w:rFonts w:eastAsia="Calibri"/>
        </w:rPr>
        <w:t xml:space="preserve"> future reliability needs. Southern New England and the Boston area continue to </w:t>
      </w:r>
      <w:r w:rsidR="00CE08E8">
        <w:rPr>
          <w:rFonts w:eastAsia="Calibri"/>
        </w:rPr>
        <w:t>show the greatest need</w:t>
      </w:r>
      <w:r w:rsidRPr="00DB3A74">
        <w:rPr>
          <w:rFonts w:eastAsia="Calibri"/>
        </w:rPr>
        <w:t xml:space="preserve"> for new resources</w:t>
      </w:r>
      <w:r w:rsidR="00CE08E8">
        <w:rPr>
          <w:rFonts w:eastAsia="Calibri"/>
        </w:rPr>
        <w:t>, th</w:t>
      </w:r>
      <w:r w:rsidR="00213BA6">
        <w:rPr>
          <w:rFonts w:eastAsia="Calibri"/>
        </w:rPr>
        <w:t>r</w:t>
      </w:r>
      <w:r w:rsidR="00CE08E8">
        <w:rPr>
          <w:rFonts w:eastAsia="Calibri"/>
        </w:rPr>
        <w:t>ough</w:t>
      </w:r>
      <w:r w:rsidRPr="00DB3A74">
        <w:rPr>
          <w:rFonts w:eastAsia="Calibri"/>
        </w:rPr>
        <w:t xml:space="preserve"> the need for transmission enhancements as discussed in the </w:t>
      </w:r>
      <w:r w:rsidRPr="00CE08E8">
        <w:rPr>
          <w:rFonts w:eastAsia="Calibri"/>
          <w:i/>
        </w:rPr>
        <w:t>Cape Cod Cluster study</w:t>
      </w:r>
      <w:r w:rsidRPr="00DB3A74">
        <w:rPr>
          <w:rFonts w:eastAsia="Calibri"/>
        </w:rPr>
        <w:t>. Additional resource additions off the coast of Maine are possible as new BOEM lease sites are released. However, delays in the construction of new generators or additional retirements would decrease the amount of regional resources and could adversely affect the ability of the system to meet regional electricity needs. Overall, the ISO expects more generating resource additions than retirements in the region and resources to be sufficient to meet the net ICR for the next 10 years.</w:t>
      </w:r>
    </w:p>
    <w:p w:rsidR="00DB3A74" w:rsidRPr="00DB3A74" w:rsidRDefault="00DB3A74" w:rsidP="00DB3A74">
      <w:pPr>
        <w:rPr>
          <w:rFonts w:eastAsia="Calibri"/>
        </w:rPr>
      </w:pPr>
      <w:r w:rsidRPr="00DB3A74">
        <w:rPr>
          <w:rFonts w:eastAsia="Calibri"/>
        </w:rPr>
        <w:t xml:space="preserve">The ISO Interconnection Request Queue is not the only source for information related to new resource interconnections. State policies and the </w:t>
      </w:r>
      <w:r w:rsidR="000F2076">
        <w:rPr>
          <w:rFonts w:eastAsia="Calibri"/>
        </w:rPr>
        <w:t xml:space="preserve">initial </w:t>
      </w:r>
      <w:r w:rsidRPr="00DB3A74">
        <w:rPr>
          <w:rFonts w:eastAsia="Calibri"/>
        </w:rPr>
        <w:t xml:space="preserve">ease of interconnection to the distribution grid have resulted in an influx of VERs and energy storage to the distribution system. Large amounts of resources interconnected at the distribution level may result in reliability issues if these resources do not participate in the New England </w:t>
      </w:r>
      <w:r w:rsidR="004F2A2D" w:rsidRPr="00DB3A74">
        <w:rPr>
          <w:rFonts w:eastAsia="Calibri"/>
        </w:rPr>
        <w:t>markets,</w:t>
      </w:r>
      <w:r w:rsidR="00506FFB">
        <w:rPr>
          <w:rFonts w:eastAsia="Calibri"/>
        </w:rPr>
        <w:t xml:space="preserve"> as visibility of these resources is limited</w:t>
      </w:r>
      <w:r w:rsidRPr="00DB3A74">
        <w:rPr>
          <w:rFonts w:eastAsia="Calibri"/>
        </w:rPr>
        <w:t xml:space="preserve">. </w:t>
      </w:r>
      <w:r w:rsidR="000F2076">
        <w:rPr>
          <w:rFonts w:eastAsia="Calibri"/>
        </w:rPr>
        <w:t xml:space="preserve">There are also signs that incremental distribution system additions </w:t>
      </w:r>
      <w:r w:rsidR="00D37954">
        <w:rPr>
          <w:rFonts w:eastAsia="Calibri"/>
        </w:rPr>
        <w:t xml:space="preserve">may </w:t>
      </w:r>
      <w:r w:rsidR="000F2076">
        <w:rPr>
          <w:rFonts w:eastAsia="Calibri"/>
        </w:rPr>
        <w:t xml:space="preserve">become more expensive. </w:t>
      </w:r>
      <w:r w:rsidRPr="00DB3A74">
        <w:rPr>
          <w:rFonts w:eastAsia="Calibri"/>
        </w:rPr>
        <w:t>The evolution of how VERs will interconnect to the grid and participate in the New England markets will likely continue over the next several years. Economic studies provide a glimpse into the future grid. The 2019 Economic Study results related to offshore wind integration, coupled with the 2021 Economic Study for a system with high penetrations of renewable resource</w:t>
      </w:r>
      <w:r w:rsidR="001931D3">
        <w:rPr>
          <w:rFonts w:eastAsia="Calibri"/>
        </w:rPr>
        <w:t>s</w:t>
      </w:r>
      <w:r w:rsidRPr="00DB3A74">
        <w:rPr>
          <w:rFonts w:eastAsia="Calibri"/>
        </w:rPr>
        <w:t xml:space="preserve"> and significant changes in demand due to </w:t>
      </w:r>
      <w:r w:rsidR="00E47D4B">
        <w:rPr>
          <w:rFonts w:eastAsia="Calibri"/>
        </w:rPr>
        <w:t>heating and</w:t>
      </w:r>
      <w:r w:rsidR="00E47D4B" w:rsidRPr="00DB3A74">
        <w:rPr>
          <w:rFonts w:eastAsia="Calibri"/>
        </w:rPr>
        <w:t xml:space="preserve"> </w:t>
      </w:r>
      <w:r w:rsidRPr="00DB3A74">
        <w:rPr>
          <w:rFonts w:eastAsia="Calibri"/>
        </w:rPr>
        <w:t xml:space="preserve">EVs, may provide insights to how the grid will evolve over the next 10 to 20 years. </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564" w:name="_Transmission_System_Performance"/>
      <w:bookmarkStart w:id="565" w:name="_Toc490323039"/>
      <w:bookmarkStart w:id="566" w:name="_Toc429063409"/>
      <w:bookmarkStart w:id="567" w:name="_Toc396807634"/>
      <w:bookmarkStart w:id="568" w:name="_Toc365441004"/>
      <w:bookmarkStart w:id="569" w:name="_Toc334601044"/>
      <w:bookmarkStart w:id="570" w:name="_Toc303086393"/>
      <w:bookmarkStart w:id="571" w:name="_Ref301345837"/>
      <w:bookmarkStart w:id="572" w:name="_Ref301345826"/>
      <w:bookmarkStart w:id="573" w:name="_Ref301345816"/>
      <w:bookmarkStart w:id="574" w:name="_Ref301345780"/>
      <w:bookmarkStart w:id="575" w:name="_Ref301345767"/>
      <w:bookmarkStart w:id="576" w:name="_Ref301345754"/>
      <w:bookmarkStart w:id="577" w:name="_Ref301345744"/>
      <w:bookmarkStart w:id="578" w:name="_Ref301345731"/>
      <w:bookmarkStart w:id="579" w:name="_Ref78275783"/>
      <w:bookmarkStart w:id="580" w:name="_Toc81544551"/>
      <w:bookmarkEnd w:id="564"/>
      <w:r w:rsidRPr="00DB3A74">
        <w:rPr>
          <w:rFonts w:eastAsia="Times New Roman"/>
        </w:rPr>
        <w:t>Transmission System Performance Needs Assessments and Upgrade</w:t>
      </w:r>
      <w:r w:rsidR="00DF213A">
        <w:rPr>
          <w:rFonts w:eastAsia="Times New Roman"/>
        </w:rPr>
        <w:t> </w:t>
      </w:r>
      <w:r w:rsidRPr="00DB3A74">
        <w:rPr>
          <w:rFonts w:eastAsia="Times New Roman"/>
        </w:rPr>
        <w:t>Approvals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DB3A74" w:rsidRPr="00DB3A74" w:rsidRDefault="00DB3A74" w:rsidP="00DB3A74">
      <w:pPr>
        <w:rPr>
          <w:rFonts w:eastAsia="Calibri"/>
        </w:rPr>
      </w:pPr>
      <w:r w:rsidRPr="00DB3A74">
        <w:rPr>
          <w:rFonts w:eastAsia="Calibri"/>
          <w:noProof/>
        </w:rPr>
        <w:drawing>
          <wp:anchor distT="0" distB="182880" distL="182880" distR="182880" simplePos="0" relativeHeight="251682816" behindDoc="0" locked="0" layoutInCell="1" allowOverlap="1" wp14:anchorId="03E3223B" wp14:editId="3BA4E4FC">
            <wp:simplePos x="0" y="0"/>
            <wp:positionH relativeFrom="margin">
              <wp:align>right</wp:align>
            </wp:positionH>
            <wp:positionV relativeFrom="paragraph">
              <wp:posOffset>8890</wp:posOffset>
            </wp:positionV>
            <wp:extent cx="1600200" cy="1600200"/>
            <wp:effectExtent l="0" t="0" r="0" b="0"/>
            <wp:wrapSquare wrapText="bothSides"/>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Since 2002, the ISO and regional stakeholders have made significant progress developing transmission solutions in New England that address existing and projected transmission system needs. Transmission and </w:t>
      </w:r>
      <w:r w:rsidR="00BF34DC">
        <w:rPr>
          <w:rFonts w:eastAsia="Calibri"/>
        </w:rPr>
        <w:t>related</w:t>
      </w:r>
      <w:r w:rsidR="00BF34DC" w:rsidRPr="00DB3A74">
        <w:rPr>
          <w:rFonts w:eastAsia="Calibri"/>
        </w:rPr>
        <w:t xml:space="preserve"> </w:t>
      </w:r>
      <w:r w:rsidRPr="00DB3A74">
        <w:rPr>
          <w:rFonts w:eastAsia="Calibri"/>
        </w:rPr>
        <w:t>projects help maintain system reliability and enhance the region’s ability to support a robust, competitive wholesale power market by moving power from various internal and external sources to the region’s load centers.</w:t>
      </w:r>
    </w:p>
    <w:p w:rsidR="00DB3A74" w:rsidRPr="00DB3A74" w:rsidRDefault="00DB3A74" w:rsidP="00DB3A74">
      <w:pPr>
        <w:rPr>
          <w:rFonts w:eastAsia="Calibri"/>
        </w:rPr>
      </w:pPr>
      <w:r w:rsidRPr="00DB3A74">
        <w:rPr>
          <w:rFonts w:eastAsia="Calibri"/>
        </w:rPr>
        <w:t xml:space="preserve">This section discusses the need for transmission reliability and provides an overview of the New England transmission system, updates on the performance of the system, and the status of several key </w:t>
      </w:r>
      <w:hyperlink r:id="rId196" w:history="1">
        <w:r w:rsidRPr="00A2684F">
          <w:rPr>
            <w:rStyle w:val="Hyperlink"/>
          </w:rPr>
          <w:t>transmission planning studies</w:t>
        </w:r>
      </w:hyperlink>
      <w:r w:rsidRPr="00DB3A74">
        <w:rPr>
          <w:rFonts w:eastAsia="Calibri"/>
        </w:rPr>
        <w:t xml:space="preserve">. The progress of major transmission projects and various types of Transmission Upgrades in the region as of June 2021 </w:t>
      </w:r>
      <w:r w:rsidR="00BF34DC">
        <w:rPr>
          <w:rFonts w:eastAsia="Calibri"/>
        </w:rPr>
        <w:t>is</w:t>
      </w:r>
      <w:r w:rsidR="00BF34DC" w:rsidRPr="00DB3A74">
        <w:rPr>
          <w:rFonts w:eastAsia="Calibri"/>
        </w:rPr>
        <w:t xml:space="preserve"> </w:t>
      </w:r>
      <w:r w:rsidRPr="00DB3A74">
        <w:rPr>
          <w:rFonts w:eastAsia="Calibri"/>
        </w:rPr>
        <w:t>also provided.</w:t>
      </w:r>
      <w:r w:rsidRPr="00DB3A74">
        <w:rPr>
          <w:rFonts w:eastAsia="Calibri"/>
          <w:vertAlign w:val="superscript"/>
        </w:rPr>
        <w:footnoteReference w:id="92"/>
      </w:r>
      <w:r w:rsidRPr="00DB3A74">
        <w:rPr>
          <w:rFonts w:eastAsia="Calibri"/>
        </w:rPr>
        <w:t xml:space="preserve"> The transmission planning studies account for known plans for resource additions and attritions (see </w:t>
      </w:r>
      <w:hyperlink w:anchor="_Existing_and_Future" w:history="1">
        <w:r w:rsidR="006B4CDB" w:rsidRPr="006B4CDB">
          <w:rPr>
            <w:rStyle w:val="Hyperlink"/>
            <w:rFonts w:eastAsia="Calibri"/>
          </w:rPr>
          <w:t>Chapter 4</w:t>
        </w:r>
      </w:hyperlink>
      <w:r w:rsidRPr="00DB3A74">
        <w:rPr>
          <w:rFonts w:eastAsia="Calibri"/>
        </w:rPr>
        <w:t>) and the material effects of the energy efficiency (EE), photovoltaics (PV) and electrification forecasts (see</w:t>
      </w:r>
      <w:r w:rsidR="006B4CDB">
        <w:rPr>
          <w:rFonts w:eastAsia="Calibri"/>
        </w:rPr>
        <w:t xml:space="preserve"> Chapter 3</w:t>
      </w:r>
      <w:r w:rsidRPr="00DB3A74">
        <w:rPr>
          <w:rFonts w:eastAsia="Calibri"/>
        </w:rPr>
        <w:t xml:space="preserve">). </w:t>
      </w:r>
      <w:hyperlink r:id="rId197" w:history="1">
        <w:r w:rsidRPr="00A2684F">
          <w:rPr>
            <w:rStyle w:val="Hyperlink"/>
          </w:rPr>
          <w:t>Previous RSPs</w:t>
        </w:r>
      </w:hyperlink>
      <w:r w:rsidRPr="00A2684F">
        <w:rPr>
          <w:rStyle w:val="Hyperlink"/>
        </w:rPr>
        <w:t xml:space="preserve">, </w:t>
      </w:r>
      <w:hyperlink r:id="rId198" w:history="1">
        <w:r w:rsidRPr="00A2684F">
          <w:rPr>
            <w:rStyle w:val="Hyperlink"/>
          </w:rPr>
          <w:t>various PAC presentations</w:t>
        </w:r>
      </w:hyperlink>
      <w:r w:rsidRPr="00DB3A74">
        <w:rPr>
          <w:rFonts w:eastAsia="Calibri"/>
        </w:rPr>
        <w:t>, and other ISO reports contain information regarding the detailed analyses associated with many of these efforts.</w:t>
      </w:r>
    </w:p>
    <w:p w:rsidR="00DB3A74" w:rsidRPr="00DB3A74" w:rsidRDefault="00DB3A74" w:rsidP="00DB3A74">
      <w:pPr>
        <w:rPr>
          <w:rFonts w:eastAsia="Calibri"/>
        </w:rPr>
      </w:pPr>
      <w:r w:rsidRPr="00DB3A74">
        <w:rPr>
          <w:rFonts w:eastAsia="Calibri"/>
        </w:rPr>
        <w:t xml:space="preserve">The </w:t>
      </w:r>
      <w:hyperlink r:id="rId199" w:history="1">
        <w:r w:rsidRPr="00A2684F">
          <w:rPr>
            <w:rStyle w:val="Hyperlink"/>
            <w:i/>
          </w:rPr>
          <w:t>Transmission Planning Process Guide</w:t>
        </w:r>
      </w:hyperlink>
      <w:r w:rsidRPr="00DB3A74">
        <w:rPr>
          <w:rFonts w:eastAsia="Calibri"/>
        </w:rPr>
        <w:t xml:space="preserve"> details the existing regional system planning process and how transmission planning studies are performed, and the </w:t>
      </w:r>
      <w:hyperlink r:id="rId200" w:history="1">
        <w:r w:rsidRPr="00A2684F">
          <w:rPr>
            <w:rStyle w:val="Hyperlink"/>
            <w:i/>
          </w:rPr>
          <w:t>Transmission Planning Technical Guide</w:t>
        </w:r>
      </w:hyperlink>
      <w:r w:rsidRPr="00DB3A74">
        <w:rPr>
          <w:rFonts w:eastAsia="Calibri"/>
        </w:rPr>
        <w:t xml:space="preserve"> references the current standards and details the current criteria and assumptions used in transmission planning studies.</w:t>
      </w:r>
    </w:p>
    <w:p w:rsidR="00DB3A74" w:rsidRPr="00DB3A74" w:rsidRDefault="00DB3A74" w:rsidP="00655272">
      <w:pPr>
        <w:pStyle w:val="Heading2"/>
        <w:rPr>
          <w:rFonts w:eastAsia="Times New Roman"/>
        </w:rPr>
      </w:pPr>
      <w:bookmarkStart w:id="581" w:name="_Toc490323041"/>
      <w:bookmarkStart w:id="582" w:name="_Toc429063411"/>
      <w:bookmarkStart w:id="583" w:name="_Ref418953108"/>
      <w:bookmarkStart w:id="584" w:name="_Toc81544552"/>
      <w:r w:rsidRPr="00DB3A74">
        <w:rPr>
          <w:rFonts w:eastAsia="Times New Roman"/>
        </w:rPr>
        <w:t>Overview of New England’s Transmission</w:t>
      </w:r>
      <w:r w:rsidR="00DF213A">
        <w:rPr>
          <w:rFonts w:eastAsia="Times New Roman"/>
        </w:rPr>
        <w:t> </w:t>
      </w:r>
      <w:r w:rsidRPr="00DB3A74">
        <w:rPr>
          <w:rFonts w:eastAsia="Times New Roman"/>
        </w:rPr>
        <w:t>System</w:t>
      </w:r>
      <w:bookmarkEnd w:id="581"/>
      <w:bookmarkEnd w:id="582"/>
      <w:bookmarkEnd w:id="583"/>
      <w:bookmarkEnd w:id="584"/>
    </w:p>
    <w:p w:rsidR="00DB3A74" w:rsidRPr="00DB3A74" w:rsidRDefault="00DB3A74" w:rsidP="00DB3A74">
      <w:pPr>
        <w:rPr>
          <w:rFonts w:eastAsia="Calibri"/>
        </w:rPr>
      </w:pPr>
      <w:r w:rsidRPr="00DB3A74">
        <w:rPr>
          <w:rFonts w:eastAsia="Calibri"/>
        </w:rPr>
        <w:t>In New England, the power system provides electricity to diverse areas, ranging from rural agricultural to densely populated cities, and integrates widely dispersed and varied types of power supply resources. Geographically, approximately 22% of New England’s peak loads are in the northern states of Maine, New Hampshire, and Vermont, and 78% are in the southern states of Massachusetts, Connecticut, and Rhode Island.</w:t>
      </w:r>
      <w:r w:rsidRPr="00DB3A74">
        <w:rPr>
          <w:rFonts w:eastAsia="Calibri"/>
          <w:vertAlign w:val="superscript"/>
        </w:rPr>
        <w:footnoteReference w:id="93"/>
      </w:r>
      <w:r w:rsidRPr="00DB3A74">
        <w:rPr>
          <w:rFonts w:eastAsia="Calibri"/>
        </w:rPr>
        <w:t xml:space="preserve"> Although the land area in the northern states is larger than </w:t>
      </w:r>
      <w:r w:rsidR="004F2A2D">
        <w:rPr>
          <w:rFonts w:eastAsia="Calibri"/>
        </w:rPr>
        <w:t>that</w:t>
      </w:r>
      <w:r w:rsidR="004F2A2D" w:rsidRPr="00DB3A74">
        <w:rPr>
          <w:rFonts w:eastAsia="Calibri"/>
        </w:rPr>
        <w:t xml:space="preserve"> in</w:t>
      </w:r>
      <w:r w:rsidRPr="00DB3A74">
        <w:rPr>
          <w:rFonts w:eastAsia="Calibri"/>
        </w:rPr>
        <w:t xml:space="preserve"> the southern states, the greater urban development in southern New England creates the relatively larger demand and corresponding transmission density. Transmission flows on the system are primarily from west to east and from north to south. However, flows change throughout each day and </w:t>
      </w:r>
      <w:r w:rsidR="00BF34DC">
        <w:rPr>
          <w:rFonts w:eastAsia="Calibri"/>
        </w:rPr>
        <w:t xml:space="preserve">the </w:t>
      </w:r>
      <w:r w:rsidRPr="00DB3A74">
        <w:rPr>
          <w:rFonts w:eastAsia="Calibri"/>
        </w:rPr>
        <w:t xml:space="preserve">predominant flows may change </w:t>
      </w:r>
      <w:r w:rsidR="004F2A2D" w:rsidRPr="00DB3A74">
        <w:rPr>
          <w:rFonts w:eastAsia="Calibri"/>
        </w:rPr>
        <w:t>significantly</w:t>
      </w:r>
      <w:r w:rsidR="004F2A2D">
        <w:rPr>
          <w:rFonts w:eastAsia="Calibri"/>
        </w:rPr>
        <w:t xml:space="preserve"> with</w:t>
      </w:r>
      <w:r w:rsidRPr="00DB3A74">
        <w:rPr>
          <w:rFonts w:eastAsia="Calibri"/>
        </w:rPr>
        <w:t xml:space="preserve"> the installation of distributed energy resources and offshore wind.</w:t>
      </w:r>
      <w:r w:rsidRPr="00DB3A74">
        <w:rPr>
          <w:rFonts w:eastAsia="Calibri"/>
          <w:vertAlign w:val="superscript"/>
        </w:rPr>
        <w:footnoteReference w:id="94"/>
      </w:r>
      <w:r w:rsidRPr="00DB3A74">
        <w:rPr>
          <w:rFonts w:eastAsia="Calibri"/>
        </w:rPr>
        <w:t xml:space="preserve"> </w:t>
      </w:r>
      <w:r w:rsidR="00BF34DC">
        <w:rPr>
          <w:rFonts w:eastAsia="Calibri"/>
        </w:rPr>
        <w:t>Because</w:t>
      </w:r>
      <w:r w:rsidRPr="00DB3A74">
        <w:rPr>
          <w:rFonts w:eastAsia="Calibri"/>
        </w:rPr>
        <w:t xml:space="preserv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rsidR="00DB3A74" w:rsidRPr="00DB3A74" w:rsidRDefault="00DB3A74" w:rsidP="00DB3A74">
      <w:pPr>
        <w:rPr>
          <w:rFonts w:eastAsia="Calibri"/>
        </w:rPr>
      </w:pPr>
      <w:r w:rsidRPr="00DB3A74">
        <w:rPr>
          <w:rFonts w:eastAsia="Calibri"/>
        </w:rPr>
        <w:t>The New England transmission system consists of mostly 115 kilovolt (kV), 230 kV, and 345 kV transmission lines, which are generally longer and fewer in number in northern New England than in the southern states. The region has 13 interconnections with neighboring power systems in the United States and Eastern Canada. Nine interconnections are with New York (NYISO) (two 345 kV ties; one 230 kV tie; one 138 kV tie; three 115 kV ties; one 69 kV tie; and one 330 MW, ±150 kV high-voltage direct-current (HVDC) tie—the Cross-Sound Cable interconnection). New England and the Maritimes (New Brunswick Power Corporation) are connected through two 345 kV alternating current (AC) ties.</w:t>
      </w:r>
      <w:r w:rsidRPr="00DB3A74">
        <w:rPr>
          <w:rFonts w:eastAsia="Calibri"/>
          <w:vertAlign w:val="superscript"/>
        </w:rPr>
        <w:footnoteReference w:id="95"/>
      </w:r>
      <w:r w:rsidRPr="00DB3A74">
        <w:rPr>
          <w:rFonts w:eastAsia="Calibri"/>
        </w:rPr>
        <w:t xml:space="preserve"> New England also has two HVDC interconnections with Québec (Hydro-Québec; HQ). One is a 120 kV AC interconnection with a 225 megawatt (MW) back-to-back converter station (Highgate in northern Vermont), which converts AC to direct current (DC) and then back to AC. The second is a ±450 kV HVDC line with terminal configurations allowing up to 2,000 MW to be delivered at Sandy Pond in Massachusetts (Phase II). </w:t>
      </w:r>
    </w:p>
    <w:p w:rsidR="00DB3A74" w:rsidRPr="00DB3A74" w:rsidRDefault="00DB3A74" w:rsidP="00655272">
      <w:pPr>
        <w:pStyle w:val="Heading2"/>
        <w:rPr>
          <w:rFonts w:eastAsia="Times New Roman"/>
        </w:rPr>
      </w:pPr>
      <w:bookmarkStart w:id="585" w:name="_FERC_Order_No."/>
      <w:bookmarkStart w:id="586" w:name="_Toc490323042"/>
      <w:bookmarkStart w:id="587" w:name="_Ref485808803"/>
      <w:bookmarkStart w:id="588" w:name="_Ref485808627"/>
      <w:bookmarkStart w:id="589" w:name="_Ref485808582"/>
      <w:bookmarkStart w:id="590" w:name="_Ref485808563"/>
      <w:bookmarkStart w:id="591" w:name="_Ref485807747"/>
      <w:bookmarkStart w:id="592" w:name="_Ref485807737"/>
      <w:bookmarkStart w:id="593" w:name="_Ref77575854"/>
      <w:bookmarkStart w:id="594" w:name="_Toc81544553"/>
      <w:bookmarkEnd w:id="585"/>
      <w:r w:rsidRPr="00DB3A74">
        <w:rPr>
          <w:rFonts w:eastAsia="Times New Roman"/>
        </w:rPr>
        <w:t>FERC Order No. 1000 Discussion</w:t>
      </w:r>
      <w:bookmarkEnd w:id="586"/>
      <w:bookmarkEnd w:id="587"/>
      <w:bookmarkEnd w:id="588"/>
      <w:bookmarkEnd w:id="589"/>
      <w:bookmarkEnd w:id="590"/>
      <w:bookmarkEnd w:id="591"/>
      <w:bookmarkEnd w:id="592"/>
      <w:bookmarkEnd w:id="593"/>
      <w:bookmarkEnd w:id="594"/>
      <w:r w:rsidRPr="00DB3A74">
        <w:rPr>
          <w:rFonts w:eastAsia="Times New Roman"/>
        </w:rPr>
        <w:t xml:space="preserve"> </w:t>
      </w:r>
    </w:p>
    <w:p w:rsidR="00DB3A74" w:rsidRPr="00DB3A74" w:rsidRDefault="00DB3A74" w:rsidP="00DB3A74">
      <w:pPr>
        <w:rPr>
          <w:rFonts w:eastAsia="Calibri"/>
        </w:rPr>
      </w:pPr>
      <w:r w:rsidRPr="00DB3A74">
        <w:rPr>
          <w:rFonts w:eastAsia="Calibri"/>
        </w:rPr>
        <w:t>In 2020, the ISO completed its first use of the competitive solution process as required in the Federal Regulatory Energy Commission’s</w:t>
      </w:r>
      <w:r w:rsidR="00744016">
        <w:rPr>
          <w:rFonts w:eastAsia="Calibri"/>
        </w:rPr>
        <w:t xml:space="preserve"> (FERC)</w:t>
      </w:r>
      <w:r w:rsidRPr="00DB3A74">
        <w:rPr>
          <w:rFonts w:eastAsia="Calibri"/>
        </w:rPr>
        <w:t xml:space="preserve"> </w:t>
      </w:r>
      <w:hyperlink r:id="rId201" w:history="1">
        <w:r w:rsidR="00744016" w:rsidRPr="00744016">
          <w:rPr>
            <w:rStyle w:val="Hyperlink"/>
            <w:rFonts w:eastAsia="Calibri"/>
          </w:rPr>
          <w:t>Order 1000</w:t>
        </w:r>
      </w:hyperlink>
      <w:r w:rsidRPr="00DB3A74">
        <w:rPr>
          <w:rFonts w:eastAsia="Calibri"/>
        </w:rPr>
        <w:t xml:space="preserve">. On December 20, 2019, the ISO issued the Boston 2028 request for proposal (RFP) to solicit Phase One Proposals to solve non-time-sensitive needs identified in the </w:t>
      </w:r>
      <w:hyperlink r:id="rId202" w:history="1">
        <w:r w:rsidRPr="00521057">
          <w:rPr>
            <w:rStyle w:val="Hyperlink"/>
            <w:i/>
          </w:rPr>
          <w:t>Boston 2028 Needs Assessment Update</w:t>
        </w:r>
      </w:hyperlink>
      <w:r w:rsidRPr="00DB3A74">
        <w:rPr>
          <w:rFonts w:eastAsia="Calibri"/>
        </w:rPr>
        <w:t xml:space="preserve"> and </w:t>
      </w:r>
      <w:hyperlink r:id="rId203" w:history="1">
        <w:r w:rsidRPr="00521057">
          <w:rPr>
            <w:rStyle w:val="Hyperlink"/>
            <w:i/>
          </w:rPr>
          <w:t>Boston 2028 Needs Assessment Addendum</w:t>
        </w:r>
      </w:hyperlink>
      <w:r w:rsidRPr="00DB3A74">
        <w:rPr>
          <w:rFonts w:eastAsia="Calibri"/>
        </w:rPr>
        <w:t xml:space="preserve">. In response to the RFP, eight </w:t>
      </w:r>
      <w:hyperlink r:id="rId204" w:history="1">
        <w:r w:rsidR="006B4CDB" w:rsidRPr="00A2684F">
          <w:rPr>
            <w:rStyle w:val="Hyperlink"/>
          </w:rPr>
          <w:t>Qualified Transmission Project Sponsors</w:t>
        </w:r>
      </w:hyperlink>
      <w:r w:rsidR="006B4CDB" w:rsidRPr="00A86C5C">
        <w:t xml:space="preserve"> (QTPSs)</w:t>
      </w:r>
      <w:r w:rsidRPr="00DB3A74">
        <w:rPr>
          <w:rFonts w:eastAsia="Calibri"/>
        </w:rPr>
        <w:t xml:space="preserve"> submitted 36 Phase One Proposals. After a thorough </w:t>
      </w:r>
      <w:hyperlink r:id="rId205" w:history="1">
        <w:r w:rsidRPr="00A2684F">
          <w:rPr>
            <w:rStyle w:val="Hyperlink"/>
          </w:rPr>
          <w:t>review of the Phase One Proposals</w:t>
        </w:r>
      </w:hyperlink>
      <w:r w:rsidRPr="00DB3A74">
        <w:rPr>
          <w:rFonts w:eastAsia="Calibri"/>
        </w:rPr>
        <w:t xml:space="preserve"> to ensure they addressed the identified needs stated in the RFP and met the Tariff and RFP instructions, only one proposal, the Backstop Transmission Solution submitted by NSTAR (Eversource Energy) and New England Power (National Grid), was placed on the listing of qualifying Phase One Proposals. </w:t>
      </w:r>
      <w:r w:rsidR="0072352D" w:rsidRPr="00DB3A74">
        <w:rPr>
          <w:rFonts w:eastAsia="Calibri"/>
        </w:rPr>
        <w:t xml:space="preserve">The remaining Phase One Proposal was </w:t>
      </w:r>
      <w:r w:rsidR="0072352D">
        <w:rPr>
          <w:rFonts w:eastAsia="Calibri"/>
        </w:rPr>
        <w:t xml:space="preserve">not only the most cost-effective solution but </w:t>
      </w:r>
      <w:r w:rsidR="004F2A2D">
        <w:rPr>
          <w:rFonts w:eastAsia="Calibri"/>
        </w:rPr>
        <w:t xml:space="preserve">also </w:t>
      </w:r>
      <w:r w:rsidR="004F2A2D" w:rsidRPr="00DB3A74">
        <w:rPr>
          <w:rFonts w:eastAsia="Calibri"/>
        </w:rPr>
        <w:t>had</w:t>
      </w:r>
      <w:r w:rsidRPr="00DB3A74">
        <w:rPr>
          <w:rFonts w:eastAsia="Calibri"/>
        </w:rPr>
        <w:t xml:space="preserve"> an in-service </w:t>
      </w:r>
      <w:r w:rsidR="004F2A2D" w:rsidRPr="00DB3A74">
        <w:rPr>
          <w:rFonts w:eastAsia="Calibri"/>
        </w:rPr>
        <w:t>date, which</w:t>
      </w:r>
      <w:r w:rsidRPr="00DB3A74">
        <w:rPr>
          <w:rFonts w:eastAsia="Calibri"/>
        </w:rPr>
        <w:t xml:space="preserve"> was highly likely to be achieved.</w:t>
      </w:r>
      <w:r w:rsidR="00E747D2" w:rsidRPr="00E747D2">
        <w:rPr>
          <w:rFonts w:eastAsia="Calibri"/>
        </w:rPr>
        <w:t xml:space="preserve"> </w:t>
      </w:r>
      <w:r w:rsidR="00E747D2" w:rsidRPr="00DB3A74">
        <w:rPr>
          <w:rFonts w:eastAsia="Calibri"/>
        </w:rPr>
        <w:t xml:space="preserve">In accordance with the Tariff, </w:t>
      </w:r>
      <w:r w:rsidR="00E747D2">
        <w:rPr>
          <w:rFonts w:eastAsia="Calibri"/>
        </w:rPr>
        <w:t xml:space="preserve">and </w:t>
      </w:r>
      <w:r w:rsidR="00E747D2" w:rsidRPr="00DB3A74">
        <w:rPr>
          <w:rFonts w:eastAsia="Calibri"/>
        </w:rPr>
        <w:t xml:space="preserve">as a result of </w:t>
      </w:r>
      <w:r w:rsidR="00E747D2">
        <w:rPr>
          <w:rFonts w:eastAsia="Calibri"/>
        </w:rPr>
        <w:t xml:space="preserve">a single qualifying </w:t>
      </w:r>
      <w:r w:rsidR="00E747D2" w:rsidRPr="00DB3A74">
        <w:rPr>
          <w:rFonts w:eastAsia="Calibri"/>
        </w:rPr>
        <w:t>proposal,</w:t>
      </w:r>
      <w:r w:rsidRPr="00DB3A74">
        <w:rPr>
          <w:rFonts w:eastAsia="Calibri"/>
        </w:rPr>
        <w:t xml:space="preserve"> the competitive solution process was concluded and a Solutions Study was initiated. The remaining Phase One Proposal was adopted as the preferred solution in the </w:t>
      </w:r>
      <w:hyperlink r:id="rId206" w:history="1">
        <w:r w:rsidRPr="003A70C3">
          <w:rPr>
            <w:rStyle w:val="Hyperlink"/>
            <w:i/>
          </w:rPr>
          <w:t>Boston 2028 Solutions Study – Mystic Retirement</w:t>
        </w:r>
      </w:hyperlink>
      <w:r w:rsidRPr="00DB3A74">
        <w:rPr>
          <w:rFonts w:eastAsia="Calibri"/>
        </w:rPr>
        <w:t>.</w:t>
      </w:r>
      <w:r w:rsidR="00BA77D9">
        <w:rPr>
          <w:rFonts w:eastAsia="Calibri"/>
        </w:rPr>
        <w:t xml:space="preserve">  </w:t>
      </w:r>
    </w:p>
    <w:p w:rsidR="00DB3A74" w:rsidRPr="00DB3A74" w:rsidRDefault="00DB3A74" w:rsidP="00DB3A74">
      <w:pPr>
        <w:rPr>
          <w:rFonts w:eastAsia="Calibri"/>
        </w:rPr>
      </w:pPr>
      <w:r w:rsidRPr="00DB3A74">
        <w:rPr>
          <w:rFonts w:eastAsia="Calibri"/>
        </w:rPr>
        <w:t xml:space="preserve">After the completion of the RFP, the ISO and stakeholders observed some areas for improvement in the competitive solution process. The ISO held one-on-one discussions with each </w:t>
      </w:r>
      <w:r w:rsidR="004F2A2D" w:rsidRPr="00DB3A74">
        <w:rPr>
          <w:rFonts w:eastAsia="Calibri"/>
        </w:rPr>
        <w:t>QTPS that</w:t>
      </w:r>
      <w:r w:rsidR="00BF34DC" w:rsidRPr="00DB3A74">
        <w:rPr>
          <w:rFonts w:eastAsia="Calibri"/>
        </w:rPr>
        <w:t xml:space="preserve"> </w:t>
      </w:r>
      <w:r w:rsidRPr="00DB3A74">
        <w:rPr>
          <w:rFonts w:eastAsia="Calibri"/>
        </w:rPr>
        <w:t xml:space="preserve">submitted a Phase One </w:t>
      </w:r>
      <w:r w:rsidR="006B4CDB" w:rsidRPr="00DB3A74">
        <w:rPr>
          <w:rFonts w:eastAsia="Calibri"/>
        </w:rPr>
        <w:t>Proposal to</w:t>
      </w:r>
      <w:r w:rsidRPr="00DB3A74">
        <w:rPr>
          <w:rFonts w:eastAsia="Calibri"/>
        </w:rPr>
        <w:t xml:space="preserve"> discuss questions regarding their </w:t>
      </w:r>
      <w:r w:rsidR="0088137E">
        <w:rPr>
          <w:rFonts w:eastAsia="Calibri"/>
        </w:rPr>
        <w:t>p</w:t>
      </w:r>
      <w:r w:rsidRPr="00DB3A74">
        <w:rPr>
          <w:rFonts w:eastAsia="Calibri"/>
        </w:rPr>
        <w:t>roposals or the competitive solution process</w:t>
      </w:r>
      <w:r w:rsidR="0088137E">
        <w:rPr>
          <w:rFonts w:eastAsia="Calibri"/>
        </w:rPr>
        <w:t xml:space="preserve"> in general</w:t>
      </w:r>
      <w:r w:rsidRPr="00DB3A74">
        <w:rPr>
          <w:rFonts w:eastAsia="Calibri"/>
        </w:rPr>
        <w:t xml:space="preserve">. The ISO initiated a </w:t>
      </w:r>
      <w:hyperlink r:id="rId207" w:history="1">
        <w:r w:rsidRPr="00A2684F">
          <w:rPr>
            <w:rStyle w:val="Hyperlink"/>
          </w:rPr>
          <w:t>lessons learned process</w:t>
        </w:r>
      </w:hyperlink>
      <w:r w:rsidRPr="00DB3A74">
        <w:rPr>
          <w:rFonts w:eastAsia="Calibri"/>
        </w:rPr>
        <w:t xml:space="preserve"> to solicit feedback from stakeholders </w:t>
      </w:r>
      <w:r w:rsidR="000F2076">
        <w:rPr>
          <w:rFonts w:eastAsia="Calibri"/>
        </w:rPr>
        <w:t>about</w:t>
      </w:r>
      <w:r w:rsidRPr="00DB3A74">
        <w:rPr>
          <w:rFonts w:eastAsia="Calibri"/>
        </w:rPr>
        <w:t xml:space="preserve"> FERC </w:t>
      </w:r>
      <w:hyperlink r:id="rId208" w:history="1">
        <w:r w:rsidRPr="00A2684F">
          <w:rPr>
            <w:rStyle w:val="Hyperlink"/>
          </w:rPr>
          <w:t>Order 1000</w:t>
        </w:r>
      </w:hyperlink>
      <w:r w:rsidRPr="00DB3A74">
        <w:rPr>
          <w:rFonts w:eastAsia="Calibri"/>
        </w:rPr>
        <w:t xml:space="preserve"> and the RFP. Comments were received from six QTPSs, a stakeholder</w:t>
      </w:r>
      <w:r w:rsidR="00BF34DC">
        <w:rPr>
          <w:rFonts w:eastAsia="Calibri"/>
        </w:rPr>
        <w:t>,</w:t>
      </w:r>
      <w:r w:rsidRPr="00DB3A74">
        <w:rPr>
          <w:rFonts w:eastAsia="Calibri"/>
        </w:rPr>
        <w:t xml:space="preserve"> and the ISO. The ISO is working to incorporate Open-Access Transmission Tariff changes based on the feedback received and will continue to hold discussions at the </w:t>
      </w:r>
      <w:hyperlink r:id="rId209" w:history="1">
        <w:r w:rsidR="006B4CDB" w:rsidRPr="00A2684F">
          <w:rPr>
            <w:rStyle w:val="Hyperlink"/>
          </w:rPr>
          <w:t>Planning Advisory Committee</w:t>
        </w:r>
      </w:hyperlink>
      <w:r w:rsidR="006B4CDB">
        <w:t xml:space="preserve"> (PAC)</w:t>
      </w:r>
      <w:r w:rsidRPr="00DB3A74">
        <w:rPr>
          <w:rFonts w:eastAsia="Calibri"/>
        </w:rPr>
        <w:t xml:space="preserve"> and New England Power Pool (NEPOOL) meetings through 2021 and beyond. </w:t>
      </w:r>
    </w:p>
    <w:p w:rsidR="00DB3A74" w:rsidRPr="00DB3A74" w:rsidRDefault="00DB3A74" w:rsidP="00DB3A74">
      <w:pPr>
        <w:rPr>
          <w:rFonts w:eastAsia="Calibri"/>
        </w:rPr>
      </w:pPr>
      <w:r w:rsidRPr="00DB3A74">
        <w:rPr>
          <w:rFonts w:eastAsia="Calibri"/>
        </w:rPr>
        <w:t xml:space="preserve">A separate section of FERC </w:t>
      </w:r>
      <w:hyperlink r:id="rId210" w:history="1">
        <w:r w:rsidRPr="00744016">
          <w:rPr>
            <w:rStyle w:val="Hyperlink"/>
            <w:rFonts w:eastAsia="Calibri"/>
          </w:rPr>
          <w:t>Order 1000</w:t>
        </w:r>
      </w:hyperlink>
      <w:r w:rsidRPr="00DB3A74">
        <w:rPr>
          <w:rFonts w:eastAsia="Calibri"/>
        </w:rPr>
        <w:t xml:space="preserve"> directs regions, such as New England, to establish a process to identify public policy requirements </w:t>
      </w:r>
      <w:r w:rsidR="00C1548B">
        <w:rPr>
          <w:rFonts w:eastAsia="Calibri"/>
        </w:rPr>
        <w:t xml:space="preserve">(PPR) </w:t>
      </w:r>
      <w:r w:rsidRPr="00DB3A74">
        <w:rPr>
          <w:rFonts w:eastAsia="Calibri"/>
        </w:rPr>
        <w:t xml:space="preserve">that drive a transmission need and, if necessary, evaluate potential solutions to those needs. In 2017 and 2020, the ISO solicited input from the New England states about potential transmission upgrades to address public policies. On both occasions, the states through </w:t>
      </w:r>
      <w:hyperlink r:id="rId211" w:history="1">
        <w:r w:rsidRPr="00A2684F">
          <w:rPr>
            <w:rStyle w:val="Hyperlink"/>
          </w:rPr>
          <w:t>New England States Committee on Electricity</w:t>
        </w:r>
      </w:hyperlink>
      <w:r w:rsidRPr="00DB3A74">
        <w:rPr>
          <w:rFonts w:eastAsia="Calibri"/>
        </w:rPr>
        <w:t xml:space="preserve"> (NESCOE) requested that the ISO not initiate a public policy transmission study because the</w:t>
      </w:r>
      <w:r w:rsidR="00C1548B">
        <w:rPr>
          <w:rFonts w:eastAsia="Calibri"/>
        </w:rPr>
        <w:t>y</w:t>
      </w:r>
      <w:r w:rsidRPr="00DB3A74">
        <w:rPr>
          <w:rFonts w:eastAsia="Calibri"/>
        </w:rPr>
        <w:t xml:space="preserve"> determined that there were no state or federal public policy requirements “driving transmission needs relating to the New England Transmission System.”</w:t>
      </w:r>
      <w:r w:rsidRPr="00DB3A74">
        <w:rPr>
          <w:rFonts w:eastAsia="Calibri"/>
          <w:vertAlign w:val="superscript"/>
        </w:rPr>
        <w:footnoteReference w:id="96"/>
      </w:r>
      <w:r w:rsidRPr="00DB3A74">
        <w:rPr>
          <w:rFonts w:eastAsia="Calibri"/>
        </w:rPr>
        <w:t xml:space="preserve"> In addition, stakeholders did not identify any local PPRs.</w:t>
      </w:r>
      <w:r w:rsidRPr="00DB3A74">
        <w:rPr>
          <w:rFonts w:eastAsia="Calibri"/>
          <w:vertAlign w:val="superscript"/>
        </w:rPr>
        <w:footnoteReference w:id="97"/>
      </w:r>
    </w:p>
    <w:p w:rsidR="00DB3A74" w:rsidRPr="00DB3A74" w:rsidRDefault="00DB3A74" w:rsidP="00655272">
      <w:pPr>
        <w:pStyle w:val="Heading2"/>
        <w:rPr>
          <w:rFonts w:eastAsia="Times New Roman"/>
        </w:rPr>
      </w:pPr>
      <w:bookmarkStart w:id="595" w:name="_Toc490323043"/>
      <w:bookmarkStart w:id="596" w:name="_Ref485738258"/>
      <w:bookmarkStart w:id="597" w:name="_Toc81544554"/>
      <w:r w:rsidRPr="00DB3A74">
        <w:rPr>
          <w:rFonts w:eastAsia="Times New Roman"/>
        </w:rPr>
        <w:t>Completed Major Projects</w:t>
      </w:r>
      <w:bookmarkEnd w:id="595"/>
      <w:bookmarkEnd w:id="596"/>
      <w:bookmarkEnd w:id="597"/>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A number of projects have been developed to address post-contingency overloads and voltage concerns. Additionally, projects in Greater Boston mitigated short circuit levels in the area. Since the publication of the </w:t>
      </w:r>
      <w:hyperlink r:id="rId212" w:history="1">
        <w:r w:rsidRPr="00A2684F">
          <w:rPr>
            <w:rStyle w:val="Hyperlink"/>
            <w:i/>
          </w:rPr>
          <w:t>2019 Regional System Plan</w:t>
        </w:r>
      </w:hyperlink>
      <w:r w:rsidRPr="00DB3A74">
        <w:rPr>
          <w:rFonts w:eastAsia="Calibri"/>
        </w:rPr>
        <w:t>, the following major projects have been completed or are near completion:</w:t>
      </w:r>
    </w:p>
    <w:p w:rsidR="00DB3A74" w:rsidRPr="00DB3A74" w:rsidRDefault="00DB3A74" w:rsidP="00DB3A74">
      <w:pPr>
        <w:numPr>
          <w:ilvl w:val="0"/>
          <w:numId w:val="49"/>
        </w:numPr>
        <w:tabs>
          <w:tab w:val="left" w:pos="1944"/>
        </w:tabs>
        <w:spacing w:after="120"/>
        <w:rPr>
          <w:rFonts w:eastAsia="Times New Roman"/>
          <w:szCs w:val="24"/>
        </w:rPr>
      </w:pPr>
      <w:r w:rsidRPr="00DB3A74">
        <w:rPr>
          <w:rFonts w:eastAsia="Times New Roman"/>
          <w:szCs w:val="24"/>
        </w:rPr>
        <w:t xml:space="preserve">The New Hampshire/Vermont 2020 Upgrades, located in Vermont and New Hampshire, included the addition of a new 345/115 kilovolt (kV) autotransformer, a new 230/115 kV autotransformer, several new 115 kV transmission lines, upgrades and rebuilds of several existing 115 kV lines, and several reactive device additions and substation upgrades. All upgrades were placed in service by May 2020. </w:t>
      </w:r>
    </w:p>
    <w:p w:rsidR="00DB3A74" w:rsidRPr="00DB3A74" w:rsidRDefault="00DB3A74" w:rsidP="00DB3A74">
      <w:pPr>
        <w:numPr>
          <w:ilvl w:val="0"/>
          <w:numId w:val="49"/>
        </w:numPr>
        <w:spacing w:after="120"/>
        <w:rPr>
          <w:rFonts w:eastAsia="Times New Roman"/>
          <w:szCs w:val="24"/>
        </w:rPr>
      </w:pPr>
      <w:r w:rsidRPr="00DB3A74">
        <w:rPr>
          <w:rFonts w:eastAsia="Calibri"/>
        </w:rPr>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All upgrades were placed in service by September 2020.</w:t>
      </w:r>
    </w:p>
    <w:p w:rsidR="00DB3A74" w:rsidRPr="00DB3A74" w:rsidRDefault="00DB3A74" w:rsidP="00DB3A74">
      <w:pPr>
        <w:numPr>
          <w:ilvl w:val="0"/>
          <w:numId w:val="49"/>
        </w:numPr>
        <w:spacing w:after="120"/>
        <w:rPr>
          <w:rFonts w:eastAsia="Times New Roman"/>
          <w:szCs w:val="24"/>
        </w:rPr>
      </w:pPr>
      <w:r w:rsidRPr="00DB3A74">
        <w:rPr>
          <w:rFonts w:eastAsia="Calibri"/>
        </w:rPr>
        <w:t>The Southwest Connecticut (SWCT) 2022 Upgrades included all 115 kV upgrades, such as rebuilding and reconductoring lines, installing new lines, rebuilding two stations, and adding reactive support to maintain voltage. All upgrades were placed in service by February 2021. The SWCT 2025 update results showed that three transmission solutions identified in the 2022 upgrades were no longer required and were subsequently canceled.</w:t>
      </w:r>
      <w:r w:rsidRPr="00DB3A74">
        <w:rPr>
          <w:rFonts w:eastAsia="Calibri"/>
          <w:vertAlign w:val="superscript"/>
        </w:rPr>
        <w:footnoteReference w:id="98"/>
      </w:r>
      <w:r w:rsidRPr="00DB3A74">
        <w:rPr>
          <w:rFonts w:eastAsia="Calibri"/>
        </w:rPr>
        <w:t xml:space="preserve"> </w:t>
      </w:r>
    </w:p>
    <w:p w:rsidR="00DB3A74" w:rsidRPr="00DB3A74" w:rsidRDefault="00DB3A74" w:rsidP="00DB3A74">
      <w:pPr>
        <w:numPr>
          <w:ilvl w:val="0"/>
          <w:numId w:val="49"/>
        </w:numPr>
        <w:rPr>
          <w:rFonts w:eastAsia="Times New Roman"/>
          <w:szCs w:val="24"/>
        </w:rPr>
      </w:pPr>
      <w:r w:rsidRPr="00DB3A74">
        <w:rPr>
          <w:rFonts w:eastAsia="Times New Roman"/>
          <w:szCs w:val="24"/>
        </w:rPr>
        <w:t>The Pittsfield and Greenfield</w:t>
      </w:r>
      <w:r w:rsidRPr="00DB3A74">
        <w:rPr>
          <w:rFonts w:eastAsia="Calibri"/>
        </w:rPr>
        <w:t xml:space="preserve"> 2022 Upgrades included adding a new 345/115 kV autotransformer, adding reactive support to control voltage on the 345 kV system, adding a new 115 kV station, rebuilding a 115 kV station, rebuilding and reconductoring 115 kV lines, installing a new 115 kV line, separating 115 kV DCTs, and adding reactive support to maintain voltage on the 115 kV system. All upgrades were placed in service by June 2020. </w:t>
      </w:r>
    </w:p>
    <w:p w:rsidR="00DB3A74" w:rsidRPr="00DB3A74" w:rsidRDefault="00DB3A74" w:rsidP="00DB3A74">
      <w:pPr>
        <w:numPr>
          <w:ilvl w:val="0"/>
          <w:numId w:val="49"/>
        </w:numPr>
        <w:rPr>
          <w:rFonts w:eastAsia="Times New Roman"/>
          <w:szCs w:val="24"/>
        </w:rPr>
      </w:pPr>
      <w:r w:rsidRPr="00DB3A74">
        <w:rPr>
          <w:rFonts w:eastAsia="Times New Roman"/>
          <w:szCs w:val="24"/>
        </w:rPr>
        <w:t xml:space="preserve">The Greater Boston Upgrades included 345 kV upgrades, which included installing new lines, an autotransformer and reactive support to maintain voltage; 230 kV upgrades, which included installing an autotransformer; 115 kV upgrades, which included installing a new station, lines, and reactive support to maintain voltage, and several other upgrades within the Greater Boston area. The Greater Boston suite of projects also included the addition of a +/- 200 MVAR </w:t>
      </w:r>
      <w:r w:rsidRPr="00DB3A74">
        <w:rPr>
          <w:rFonts w:eastAsia="Calibri"/>
        </w:rPr>
        <w:t>static synchronous compensator</w:t>
      </w:r>
      <w:r w:rsidRPr="00DB3A74">
        <w:rPr>
          <w:rFonts w:eastAsia="Times New Roman"/>
          <w:szCs w:val="24"/>
        </w:rPr>
        <w:t xml:space="preserve"> (STATCOM)</w:t>
      </w:r>
      <w:r w:rsidRPr="00DB3A74">
        <w:rPr>
          <w:rFonts w:eastAsia="Calibri"/>
          <w:vertAlign w:val="superscript"/>
        </w:rPr>
        <w:footnoteReference w:id="99"/>
      </w:r>
      <w:r w:rsidRPr="00DB3A74">
        <w:rPr>
          <w:rFonts w:eastAsia="Calibri"/>
        </w:rPr>
        <w:t xml:space="preserve"> </w:t>
      </w:r>
      <w:r w:rsidRPr="00DB3A74">
        <w:rPr>
          <w:rFonts w:eastAsia="Times New Roman"/>
          <w:szCs w:val="24"/>
        </w:rPr>
        <w:t xml:space="preserve">in Maine. The majority of upgrades within the suite of the Greater Boston upgrades are in service with the exception of the installation of a 345 kV cable from Woburn to Wakefield Junction and associated reactors and the installation of a second 115 kV cable from Mystic to Woburn to create a bifurcated 211-514 line with anticipated in-service dates of May 2022, and the installation of a new 115 kV line from Sudbury to Hudson with an anticipated in-service date of December 2023.   </w:t>
      </w:r>
    </w:p>
    <w:p w:rsidR="00DB3A74" w:rsidRPr="00DB3A74" w:rsidRDefault="00DB3A74" w:rsidP="00DB3A74">
      <w:pPr>
        <w:rPr>
          <w:rFonts w:eastAsia="Calibri"/>
        </w:rPr>
      </w:pPr>
      <w:r w:rsidRPr="00DB3A74">
        <w:rPr>
          <w:rFonts w:eastAsia="Calibri"/>
        </w:rPr>
        <w:t xml:space="preserve">Study efforts continue throughout New England to address remaining issues discussed in the next section. </w:t>
      </w:r>
    </w:p>
    <w:p w:rsidR="00DB3A74" w:rsidRPr="00DB3A74" w:rsidRDefault="00DB3A74" w:rsidP="00655272">
      <w:pPr>
        <w:pStyle w:val="Heading2"/>
        <w:rPr>
          <w:rFonts w:eastAsia="Times New Roman"/>
        </w:rPr>
      </w:pPr>
      <w:bookmarkStart w:id="598" w:name="_Toc490323044"/>
      <w:bookmarkStart w:id="599" w:name="_Ref485718515"/>
      <w:bookmarkStart w:id="600" w:name="_Ref12111201"/>
      <w:bookmarkStart w:id="601" w:name="_Ref10827785"/>
      <w:bookmarkStart w:id="602" w:name="_Ref10803277"/>
      <w:bookmarkStart w:id="603" w:name="_Toc429063420"/>
      <w:bookmarkStart w:id="604" w:name="_Ref418881599"/>
      <w:bookmarkStart w:id="605" w:name="_Toc396807654"/>
      <w:bookmarkStart w:id="606" w:name="_Toc365441024"/>
      <w:bookmarkStart w:id="607" w:name="_Toc334601067"/>
      <w:bookmarkStart w:id="608" w:name="_Toc303086422"/>
      <w:bookmarkStart w:id="609" w:name="_Toc81544555"/>
      <w:r w:rsidRPr="00DB3A74">
        <w:rPr>
          <w:rFonts w:eastAsia="Times New Roman"/>
        </w:rPr>
        <w:t>Key Study Area Update</w:t>
      </w:r>
      <w:bookmarkEnd w:id="598"/>
      <w:bookmarkEnd w:id="599"/>
      <w:r w:rsidRPr="00DB3A74">
        <w:rPr>
          <w:rFonts w:eastAsia="Times New Roman"/>
        </w:rPr>
        <w:t>s</w:t>
      </w:r>
      <w:bookmarkEnd w:id="600"/>
      <w:bookmarkEnd w:id="601"/>
      <w:bookmarkEnd w:id="602"/>
      <w:bookmarkEnd w:id="609"/>
    </w:p>
    <w:p w:rsidR="00DB3A74" w:rsidRPr="00DB3A74" w:rsidRDefault="00DB3A74" w:rsidP="00DB3A74">
      <w:pPr>
        <w:rPr>
          <w:rFonts w:eastAsia="Calibri"/>
        </w:rPr>
      </w:pPr>
      <w:r w:rsidRPr="00DB3A74">
        <w:rPr>
          <w:rFonts w:eastAsia="Calibri"/>
        </w:rPr>
        <w:t xml:space="preserve">Historically, the two most significant issues facing the northern New England area have been to maintain the general performance of the long 345 kilovolt (kV) corridors, particularly through Maine, and to ensure sufficient system reliability to meet demand. The region faces thermal and voltage performance issues and stability concerns. The system of long 115 kV lines, with weak sources and high real and reactive power losses, has limited ability to integrate generation and efficiently and effectively serve load. </w:t>
      </w:r>
    </w:p>
    <w:p w:rsidR="00DB3A74" w:rsidRPr="00DB3A74" w:rsidRDefault="00DB3A74" w:rsidP="00DB3A74">
      <w:pPr>
        <w:rPr>
          <w:rFonts w:eastAsia="Calibri"/>
        </w:rPr>
      </w:pPr>
      <w:r w:rsidRPr="00DB3A74">
        <w:rPr>
          <w:rFonts w:eastAsia="Calibri"/>
        </w:rPr>
        <w:t>The most significant concerns in the southern New England area involve maintaining the reliability of supply to serve load and developing the transmission infrastructure due to the retirement of generation throughout this area. In some areas, an aging low-capacity 115 kV system has been overburdened and is no longer able to serve load and support generation reliably. Ongoing planning and power system upgrades will ensure the system can meet its current level of demand and prepare for future power system conditions.</w:t>
      </w:r>
    </w:p>
    <w:p w:rsidR="00DB3A74" w:rsidRPr="00DB3A74" w:rsidRDefault="00DB3A74" w:rsidP="00DB3A74">
      <w:pPr>
        <w:rPr>
          <w:rFonts w:eastAsia="Times New Roman"/>
          <w:szCs w:val="24"/>
        </w:rPr>
      </w:pPr>
      <w:r w:rsidRPr="00DB3A74">
        <w:rPr>
          <w:rFonts w:eastAsia="Calibri"/>
        </w:rPr>
        <w:t xml:space="preserve">To address the issues in New England, study efforts have been progressing on a wide range of system concerns and have been grouped into several key study areas shown in </w:t>
      </w:r>
      <w:hyperlink w:anchor="Figure_5_1" w:history="1">
        <w:r w:rsidR="005A5EAD" w:rsidRPr="005A5EAD">
          <w:rPr>
            <w:rStyle w:val="Hyperlink"/>
            <w:rFonts w:eastAsia="Calibri"/>
          </w:rPr>
          <w:t>Figure 5-1</w:t>
        </w:r>
      </w:hyperlink>
      <w:r w:rsidRPr="00DB3A74">
        <w:rPr>
          <w:rFonts w:eastAsia="Calibri"/>
        </w:rPr>
        <w:t xml:space="preserve"> and</w:t>
      </w:r>
      <w:r w:rsidRPr="00DB3A74">
        <w:rPr>
          <w:rFonts w:eastAsia="Times New Roman"/>
          <w:sz w:val="16"/>
          <w:szCs w:val="16"/>
        </w:rPr>
        <w:t xml:space="preserve"> </w:t>
      </w:r>
      <w:r w:rsidRPr="00DB3A74">
        <w:rPr>
          <w:rFonts w:eastAsia="Calibri"/>
        </w:rPr>
        <w:t xml:space="preserve">detailed below. However, material changes in study assumptions, inputs, and processes have prompted either pausing ongoing study efforts to incorporate the new changes or suspending the ongoing study efforts and restarting the studies. </w:t>
      </w:r>
    </w:p>
    <w:p w:rsidR="00DB3A74" w:rsidRPr="00DB3A74" w:rsidRDefault="00DB3A74" w:rsidP="00DB3A74">
      <w:pPr>
        <w:rPr>
          <w:rFonts w:eastAsia="Calibri"/>
        </w:rPr>
      </w:pPr>
      <w:r w:rsidRPr="00DB3A74">
        <w:rPr>
          <w:rFonts w:eastAsia="Calibri"/>
        </w:rPr>
        <w:t>In April 2018, the load, EE, and behind-the-meter (BTM) photovoltaic (PV) forecasts were made public, and the forecasts resulted in a significant reduction in the net load to be served.</w:t>
      </w:r>
      <w:r w:rsidRPr="00DB3A74">
        <w:rPr>
          <w:rFonts w:eastAsia="Calibri"/>
          <w:vertAlign w:val="superscript"/>
        </w:rPr>
        <w:footnoteReference w:id="100"/>
      </w:r>
      <w:r w:rsidRPr="00DB3A74">
        <w:rPr>
          <w:rFonts w:eastAsia="Calibri"/>
        </w:rPr>
        <w:t xml:space="preserve"> Ongoing studies were </w:t>
      </w:r>
      <w:r w:rsidR="0051094D" w:rsidRPr="00DB3A74">
        <w:rPr>
          <w:rFonts w:eastAsia="Calibri"/>
        </w:rPr>
        <w:t>paused,</w:t>
      </w:r>
      <w:r w:rsidRPr="00DB3A74">
        <w:rPr>
          <w:rFonts w:eastAsia="Calibri"/>
        </w:rPr>
        <w:t xml:space="preserve"> as plans were developed to incorporate the new load forecasts into the studies.</w:t>
      </w:r>
      <w:r w:rsidRPr="00DB3A74">
        <w:rPr>
          <w:rFonts w:eastAsia="Calibri"/>
          <w:vertAlign w:val="superscript"/>
        </w:rPr>
        <w:footnoteReference w:id="101"/>
      </w:r>
      <w:r w:rsidRPr="00DB3A74">
        <w:rPr>
          <w:rFonts w:eastAsia="Calibri"/>
        </w:rPr>
        <w:t xml:space="preserve"> In March 2019, for the second year in a row, the load, EE, and PV forecasts showed another significant reduction in net load. The new forecasts, and the results of the thirteenth Forward Capacity Auction (FCA 13) for Capacity Commitment Period 2012-2013, led to pausing ongoing studies again for developing new plans to incorporate these changes.</w:t>
      </w:r>
      <w:bookmarkStart w:id="610" w:name="_Ref16862524"/>
      <w:r w:rsidRPr="00DB3A74">
        <w:rPr>
          <w:rFonts w:eastAsia="Calibri"/>
          <w:vertAlign w:val="superscript"/>
        </w:rPr>
        <w:footnoteReference w:id="102"/>
      </w:r>
      <w:bookmarkEnd w:id="610"/>
      <w:r w:rsidRPr="00DB3A74">
        <w:rPr>
          <w:rFonts w:eastAsia="Calibri"/>
        </w:rPr>
        <w:t xml:space="preserve"> Once the plans were adopted, the ongoing studies were either restarted where they left off incorporating the latest changes or the ongoing studies were stopped and a new study effort was started.</w:t>
      </w:r>
    </w:p>
    <w:p w:rsidR="00DB3A74" w:rsidRPr="00DB3A74" w:rsidRDefault="00DB3A74" w:rsidP="00DB3A74">
      <w:pPr>
        <w:spacing w:line="240" w:lineRule="auto"/>
        <w:rPr>
          <w:rFonts w:eastAsia="Times New Roman"/>
          <w:sz w:val="24"/>
          <w:szCs w:val="24"/>
        </w:rPr>
      </w:pPr>
      <w:r w:rsidRPr="00DB3A74">
        <w:rPr>
          <w:rFonts w:eastAsia="Calibri"/>
        </w:rPr>
        <w:t xml:space="preserve">A new effort is re-evaluating planning assumptions on a forward-looking basis (see </w:t>
      </w:r>
      <w:hyperlink r:id="rId213" w:anchor="_Forward-Looking_Transmission_Planni" w:history="1">
        <w:r w:rsidRPr="006B4CDB">
          <w:rPr>
            <w:rFonts w:eastAsia="Calibri"/>
            <w:color w:val="0070C0"/>
            <w:u w:val="single"/>
          </w:rPr>
          <w:fldChar w:fldCharType="begin"/>
        </w:r>
        <w:r w:rsidRPr="006B4CDB">
          <w:rPr>
            <w:rFonts w:eastAsia="Times New Roman"/>
            <w:color w:val="0070C0"/>
            <w:sz w:val="24"/>
            <w:szCs w:val="24"/>
            <w:u w:val="single"/>
          </w:rPr>
          <w:instrText xml:space="preserve"> REF _Ref64984184 \h  \* MERGEFORMAT </w:instrText>
        </w:r>
        <w:r w:rsidRPr="006B4CDB">
          <w:rPr>
            <w:rFonts w:eastAsia="Calibri"/>
            <w:color w:val="0070C0"/>
            <w:u w:val="single"/>
          </w:rPr>
        </w:r>
        <w:r w:rsidRPr="006B4CDB">
          <w:rPr>
            <w:rFonts w:eastAsia="Calibri"/>
            <w:color w:val="0070C0"/>
            <w:u w:val="single"/>
          </w:rPr>
          <w:fldChar w:fldCharType="separate"/>
        </w:r>
        <w:r w:rsidR="007A5925" w:rsidRPr="006B4CDB">
          <w:rPr>
            <w:rFonts w:eastAsia="Calibri"/>
            <w:color w:val="0070C0"/>
            <w:u w:val="single"/>
          </w:rPr>
          <w:t>Forward-Looking Transmission Planning Efforts</w:t>
        </w:r>
        <w:r w:rsidRPr="006B4CDB">
          <w:rPr>
            <w:rFonts w:eastAsia="Calibri"/>
            <w:color w:val="0070C0"/>
            <w:u w:val="single"/>
          </w:rPr>
          <w:fldChar w:fldCharType="end"/>
        </w:r>
      </w:hyperlink>
      <w:r w:rsidRPr="00DB3A74">
        <w:rPr>
          <w:rFonts w:eastAsia="Calibri"/>
        </w:rPr>
        <w:t xml:space="preserve"> later in this chapter). New assumptions arising from this effort will be incorporated into future transmission planning studies. However, this effort is not expected to lead to changes in studies that are already in progress.</w:t>
      </w: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bookmarkStart w:id="611" w:name="Figure_5_1_top"/>
      <w:r w:rsidRPr="00DB3A74">
        <w:rPr>
          <w:rFonts w:eastAsia="Calibri"/>
          <w:noProof/>
        </w:rPr>
        <w:drawing>
          <wp:inline distT="0" distB="0" distL="0" distR="0" wp14:anchorId="3FF17030" wp14:editId="2C69B6B5">
            <wp:extent cx="3713480" cy="3601720"/>
            <wp:effectExtent l="19050" t="19050" r="20320" b="1778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4" cstate="print">
                      <a:extLst>
                        <a:ext uri="{28A0092B-C50C-407E-A947-70E740481C1C}">
                          <a14:useLocalDpi xmlns:a14="http://schemas.microsoft.com/office/drawing/2010/main" val="0"/>
                        </a:ext>
                      </a:extLst>
                    </a:blip>
                    <a:srcRect l="-2003" t="-2348" r="-2773" b="-1598"/>
                    <a:stretch>
                      <a:fillRect/>
                    </a:stretch>
                  </pic:blipFill>
                  <pic:spPr bwMode="auto">
                    <a:xfrm>
                      <a:off x="0" y="0"/>
                      <a:ext cx="3713480" cy="3601720"/>
                    </a:xfrm>
                    <a:prstGeom prst="rect">
                      <a:avLst/>
                    </a:prstGeom>
                    <a:noFill/>
                    <a:ln w="3175" cmpd="sng">
                      <a:solidFill>
                        <a:srgbClr val="000000"/>
                      </a:solidFill>
                      <a:miter lim="800000"/>
                      <a:headEnd/>
                      <a:tailEnd/>
                    </a:ln>
                    <a:effectLst/>
                  </pic:spPr>
                </pic:pic>
              </a:graphicData>
            </a:graphic>
          </wp:inline>
        </w:drawing>
      </w:r>
      <w:bookmarkEnd w:id="611"/>
    </w:p>
    <w:p w:rsidR="00DB3A74" w:rsidRPr="00DB3A74" w:rsidRDefault="00DB3A74" w:rsidP="00DB3A74">
      <w:pPr>
        <w:spacing w:before="120" w:line="240" w:lineRule="auto"/>
        <w:ind w:left="1620"/>
        <w:rPr>
          <w:rFonts w:ascii="Calibri" w:eastAsia="Calibri" w:hAnsi="Calibri"/>
          <w:b/>
          <w:bCs/>
          <w:szCs w:val="18"/>
        </w:rPr>
      </w:pPr>
      <w:bookmarkStart w:id="612" w:name="_Ref485127674"/>
      <w:bookmarkStart w:id="613" w:name="Figure_5_1"/>
      <w:bookmarkStart w:id="614" w:name="_Toc486233208"/>
      <w:bookmarkStart w:id="615" w:name="_Toc81544611"/>
      <w:r w:rsidRPr="00DB3A74">
        <w:rPr>
          <w:rFonts w:ascii="Calibri" w:eastAsia="Calibri" w:hAnsi="Calibri"/>
          <w:b/>
          <w:bCs/>
          <w:szCs w:val="18"/>
        </w:rPr>
        <w:t xml:space="preserve">Figure </w:t>
      </w:r>
      <w:r w:rsidR="00F85E49">
        <w:rPr>
          <w:rFonts w:ascii="Calibri" w:eastAsia="Calibri" w:hAnsi="Calibri"/>
          <w:b/>
          <w:bCs/>
          <w:szCs w:val="18"/>
        </w:rPr>
        <w:fldChar w:fldCharType="begin"/>
      </w:r>
      <w:r w:rsidR="00F85E49">
        <w:rPr>
          <w:rFonts w:ascii="Calibri" w:eastAsia="Calibri" w:hAnsi="Calibri"/>
          <w:b/>
          <w:bCs/>
          <w:szCs w:val="18"/>
        </w:rPr>
        <w:instrText xml:space="preserve"> STYLEREF 1 \s </w:instrText>
      </w:r>
      <w:r w:rsidR="00F85E49">
        <w:rPr>
          <w:rFonts w:ascii="Calibri" w:eastAsia="Calibri" w:hAnsi="Calibri"/>
          <w:b/>
          <w:bCs/>
          <w:szCs w:val="18"/>
        </w:rPr>
        <w:fldChar w:fldCharType="separate"/>
      </w:r>
      <w:r w:rsidR="00F85E49">
        <w:rPr>
          <w:rFonts w:ascii="Calibri" w:eastAsia="Calibri" w:hAnsi="Calibri"/>
          <w:b/>
          <w:bCs/>
          <w:noProof/>
          <w:szCs w:val="18"/>
        </w:rPr>
        <w:t>5</w:t>
      </w:r>
      <w:r w:rsidR="00F85E49">
        <w:rPr>
          <w:rFonts w:ascii="Calibri" w:eastAsia="Calibri" w:hAnsi="Calibri"/>
          <w:b/>
          <w:bCs/>
          <w:szCs w:val="18"/>
        </w:rPr>
        <w:fldChar w:fldCharType="end"/>
      </w:r>
      <w:r w:rsidR="00F85E49">
        <w:rPr>
          <w:rFonts w:ascii="Calibri" w:eastAsia="Calibri" w:hAnsi="Calibri"/>
          <w:b/>
          <w:bCs/>
          <w:szCs w:val="18"/>
        </w:rPr>
        <w:noBreakHyphen/>
      </w:r>
      <w:r w:rsidR="00F85E49">
        <w:rPr>
          <w:rFonts w:ascii="Calibri" w:eastAsia="Calibri" w:hAnsi="Calibri"/>
          <w:b/>
          <w:bCs/>
          <w:szCs w:val="18"/>
        </w:rPr>
        <w:fldChar w:fldCharType="begin"/>
      </w:r>
      <w:r w:rsidR="00F85E49">
        <w:rPr>
          <w:rFonts w:ascii="Calibri" w:eastAsia="Calibri" w:hAnsi="Calibri"/>
          <w:b/>
          <w:bCs/>
          <w:szCs w:val="18"/>
        </w:rPr>
        <w:instrText xml:space="preserve"> SEQ Figure \* ARABIC \s 1 </w:instrText>
      </w:r>
      <w:r w:rsidR="00F85E49">
        <w:rPr>
          <w:rFonts w:ascii="Calibri" w:eastAsia="Calibri" w:hAnsi="Calibri"/>
          <w:b/>
          <w:bCs/>
          <w:szCs w:val="18"/>
        </w:rPr>
        <w:fldChar w:fldCharType="separate"/>
      </w:r>
      <w:r w:rsidR="00F85E49">
        <w:rPr>
          <w:rFonts w:ascii="Calibri" w:eastAsia="Calibri" w:hAnsi="Calibri"/>
          <w:b/>
          <w:bCs/>
          <w:noProof/>
          <w:szCs w:val="18"/>
        </w:rPr>
        <w:t>1</w:t>
      </w:r>
      <w:r w:rsidR="00F85E49">
        <w:rPr>
          <w:rFonts w:ascii="Calibri" w:eastAsia="Calibri" w:hAnsi="Calibri"/>
          <w:b/>
          <w:bCs/>
          <w:szCs w:val="18"/>
        </w:rPr>
        <w:fldChar w:fldCharType="end"/>
      </w:r>
      <w:bookmarkEnd w:id="612"/>
      <w:bookmarkEnd w:id="613"/>
      <w:r w:rsidRPr="00DB3A74">
        <w:rPr>
          <w:rFonts w:ascii="Calibri" w:eastAsia="Calibri" w:hAnsi="Calibri"/>
          <w:b/>
          <w:bCs/>
          <w:szCs w:val="18"/>
        </w:rPr>
        <w:t>: Key study areas in New England</w:t>
      </w:r>
      <w:bookmarkEnd w:id="614"/>
      <w:bookmarkEnd w:id="615"/>
    </w:p>
    <w:p w:rsidR="00DB3A74" w:rsidRPr="00DB3A74" w:rsidRDefault="00DB3A74" w:rsidP="00655272">
      <w:pPr>
        <w:pStyle w:val="Heading3"/>
        <w:rPr>
          <w:rFonts w:eastAsia="Times New Roman"/>
        </w:rPr>
      </w:pPr>
      <w:bookmarkStart w:id="616" w:name="_Ref13255980"/>
      <w:bookmarkStart w:id="617" w:name="_Ref11865456"/>
      <w:bookmarkStart w:id="618" w:name="_Toc490323045"/>
      <w:bookmarkStart w:id="619" w:name="_Toc81544556"/>
      <w:r w:rsidRPr="00DB3A74">
        <w:rPr>
          <w:rFonts w:eastAsia="Times New Roman"/>
        </w:rPr>
        <w:t>Southwest Connecticut Key Study Area</w:t>
      </w:r>
      <w:bookmarkEnd w:id="616"/>
      <w:bookmarkEnd w:id="617"/>
      <w:bookmarkEnd w:id="618"/>
      <w:bookmarkEnd w:id="619"/>
    </w:p>
    <w:p w:rsidR="00DB3A74" w:rsidRPr="00DB3A74" w:rsidRDefault="00DB3A74" w:rsidP="00DB3A74">
      <w:pPr>
        <w:rPr>
          <w:rFonts w:eastAsia="Calibri"/>
        </w:rPr>
      </w:pPr>
      <w:r w:rsidRPr="00DB3A74">
        <w:rPr>
          <w:rFonts w:eastAsia="Calibri"/>
        </w:rPr>
        <w:t xml:space="preserve">The </w:t>
      </w:r>
      <w:hyperlink r:id="rId215" w:history="1">
        <w:r w:rsidRPr="0083441B">
          <w:rPr>
            <w:rStyle w:val="Hyperlink"/>
          </w:rPr>
          <w:t>Southwest Connecticut (SWCT) Key Study Area</w:t>
        </w:r>
      </w:hyperlink>
      <w:r w:rsidRPr="00DB3A74">
        <w:rPr>
          <w:rFonts w:eastAsia="Calibri"/>
        </w:rPr>
        <w:t xml:space="preserve"> is located inside the Southwest Connecticut import interface. It borders the New England to New York interface along the Connecticut state border.</w:t>
      </w:r>
    </w:p>
    <w:p w:rsidR="00DB3A74" w:rsidRPr="00DB3A74" w:rsidRDefault="00DB3A74" w:rsidP="00DB3A74">
      <w:pPr>
        <w:rPr>
          <w:rFonts w:eastAsia="Calibri"/>
        </w:rPr>
      </w:pPr>
      <w:r w:rsidRPr="00DB3A74">
        <w:rPr>
          <w:rFonts w:eastAsia="Calibri"/>
        </w:rPr>
        <w:t xml:space="preserve">The SWCT study area has gone through four study efforts over the past 11 years. These study efforts are identified by the study horizon years of 2018, 2022, 2025, and 2027. All the upgrades identified in the 2018, 2022, and 2025 study efforts were placed in service by February 2021. The major components of the preferred solutions for addressing the needs are listed in the latest version of the </w:t>
      </w:r>
      <w:hyperlink r:id="rId216" w:history="1">
        <w:r w:rsidR="00AF7782" w:rsidRPr="0083441B">
          <w:rPr>
            <w:rStyle w:val="Hyperlink"/>
            <w:i/>
          </w:rPr>
          <w:t>RSP Project List</w:t>
        </w:r>
      </w:hyperlink>
      <w:r w:rsidRPr="00DB3A74">
        <w:rPr>
          <w:rFonts w:eastAsia="Calibri"/>
        </w:rPr>
        <w:t>.</w:t>
      </w:r>
    </w:p>
    <w:p w:rsidR="00DB3A74" w:rsidRPr="00DB3A74" w:rsidRDefault="00DB3A74" w:rsidP="00DB3A74">
      <w:pPr>
        <w:rPr>
          <w:rFonts w:eastAsia="Calibri"/>
        </w:rPr>
      </w:pPr>
      <w:r w:rsidRPr="00DB3A74">
        <w:rPr>
          <w:rFonts w:eastAsia="Calibri"/>
        </w:rPr>
        <w:t xml:space="preserve">The results of the </w:t>
      </w:r>
      <w:hyperlink r:id="rId217" w:history="1">
        <w:r w:rsidRPr="00521057">
          <w:rPr>
            <w:rStyle w:val="Hyperlink"/>
            <w:i/>
          </w:rPr>
          <w:t>SWCT 2027 Needs Assessment</w:t>
        </w:r>
      </w:hyperlink>
      <w:r w:rsidRPr="00DB3A74">
        <w:rPr>
          <w:rFonts w:eastAsia="Calibri"/>
        </w:rPr>
        <w:t xml:space="preserve"> for peak load indicated that no thermal or voltage violations were identified as Pool Transmission Facility (PTF) needs for conditions with no contingencies or with first or second contingencies (N-0, N-1, or N-1-1 conditions). The steady-state testing performed at the minimum load level of 8,000 MW indicated four N-1-1 high-voltage violations that have been identified as PTF needs and no N-0 or N-1 thermal or voltage violations. The results of the short-circuit assessment indicated that no PTF breakers are over-dutied in the study area. Because the needs identified in the </w:t>
      </w:r>
      <w:r w:rsidRPr="00521057">
        <w:rPr>
          <w:rFonts w:eastAsia="Calibri"/>
          <w:i/>
        </w:rPr>
        <w:t>SWCT 2027 Needs Assessment</w:t>
      </w:r>
      <w:r w:rsidRPr="00DB3A74">
        <w:rPr>
          <w:rFonts w:eastAsia="Calibri"/>
        </w:rPr>
        <w:t xml:space="preserve"> were the result of the minimum-load assessment, they could occur under current system conditions and thus were determined to be time sensitive.</w:t>
      </w:r>
    </w:p>
    <w:p w:rsidR="00DB3A74" w:rsidRPr="00DB3A74" w:rsidRDefault="00DB3A74" w:rsidP="00DB3A74">
      <w:pPr>
        <w:rPr>
          <w:rFonts w:eastAsia="Calibri"/>
        </w:rPr>
      </w:pPr>
      <w:r w:rsidRPr="00DB3A74">
        <w:rPr>
          <w:rFonts w:eastAsia="Calibri"/>
        </w:rPr>
        <w:t>Eversource identified asset-condition concerns associated with the two Glenbrook static synchronous compensator</w:t>
      </w:r>
      <w:r w:rsidR="00C80C19">
        <w:rPr>
          <w:rFonts w:eastAsia="Calibri"/>
        </w:rPr>
        <w:t>s</w:t>
      </w:r>
      <w:r w:rsidRPr="00DB3A74">
        <w:rPr>
          <w:rFonts w:eastAsia="Calibri"/>
        </w:rPr>
        <w:t xml:space="preserve"> (STATCOMs). Proposed rehabilitation and improvements made to the STATCOMs would also solve the needs identified in the minimum-load assessment. The solution to the asset-condition issues of the Glenbrook STATCOM were identified in July 2020.</w:t>
      </w:r>
      <w:r w:rsidRPr="00DB3A74">
        <w:rPr>
          <w:rFonts w:eastAsia="Calibri"/>
          <w:vertAlign w:val="superscript"/>
        </w:rPr>
        <w:footnoteReference w:id="103"/>
      </w:r>
      <w:r w:rsidRPr="00DB3A74">
        <w:rPr>
          <w:rFonts w:eastAsia="Calibri"/>
        </w:rPr>
        <w:t xml:space="preserve"> With the plans to replace and improve the Glenbrook STATCOM, the </w:t>
      </w:r>
      <w:hyperlink r:id="rId218" w:history="1">
        <w:r w:rsidRPr="0083441B">
          <w:rPr>
            <w:rStyle w:val="Hyperlink"/>
          </w:rPr>
          <w:t>SWCT 2027 Study</w:t>
        </w:r>
      </w:hyperlink>
      <w:r w:rsidRPr="00DB3A74">
        <w:rPr>
          <w:rFonts w:eastAsia="Calibri"/>
        </w:rPr>
        <w:t xml:space="preserve"> was considered complete.</w:t>
      </w:r>
    </w:p>
    <w:p w:rsidR="00DB3A74" w:rsidRPr="00DB3A74" w:rsidRDefault="00DB3A74" w:rsidP="00655272">
      <w:pPr>
        <w:pStyle w:val="Heading3"/>
        <w:rPr>
          <w:rFonts w:eastAsia="Times New Roman"/>
        </w:rPr>
      </w:pPr>
      <w:bookmarkStart w:id="620" w:name="_Toc490323046"/>
      <w:bookmarkStart w:id="621" w:name="_Toc81544557"/>
      <w:r w:rsidRPr="00DB3A74">
        <w:rPr>
          <w:rFonts w:eastAsia="Times New Roman"/>
        </w:rPr>
        <w:t>Greater Hartford Central Connecticut Key Study</w:t>
      </w:r>
      <w:r w:rsidR="00DF213A">
        <w:rPr>
          <w:rFonts w:eastAsia="Times New Roman"/>
        </w:rPr>
        <w:t> </w:t>
      </w:r>
      <w:r w:rsidRPr="00DB3A74">
        <w:rPr>
          <w:rFonts w:eastAsia="Times New Roman"/>
        </w:rPr>
        <w:t>Area</w:t>
      </w:r>
      <w:bookmarkEnd w:id="620"/>
      <w:bookmarkEnd w:id="621"/>
    </w:p>
    <w:p w:rsidR="00DB3A74" w:rsidRPr="00DB3A74" w:rsidRDefault="00DB3A74" w:rsidP="00DB3A74">
      <w:pPr>
        <w:rPr>
          <w:rFonts w:eastAsia="Calibri"/>
        </w:rPr>
      </w:pPr>
      <w:r w:rsidRPr="00DB3A74">
        <w:rPr>
          <w:rFonts w:eastAsia="Calibri"/>
        </w:rPr>
        <w:t xml:space="preserve">The </w:t>
      </w:r>
      <w:hyperlink r:id="rId219" w:history="1">
        <w:r w:rsidRPr="0083441B">
          <w:rPr>
            <w:rStyle w:val="Hyperlink"/>
          </w:rPr>
          <w:t>Greater Hartford Central Connecticut (GHCC) Key Study Area</w:t>
        </w:r>
      </w:hyperlink>
      <w:r w:rsidRPr="00DB3A74">
        <w:rPr>
          <w:rFonts w:eastAsia="Calibri"/>
        </w:rPr>
        <w:t xml:space="preserve"> is located between the Connecticut import interface and the SWCT import interface, while only parts of the study area are within the Western Connecticut import area. The GHCC study area represents about 35% of the Connecticut load. </w:t>
      </w:r>
    </w:p>
    <w:p w:rsidR="00DB3A74" w:rsidRPr="00DB3A74" w:rsidRDefault="00DB3A74" w:rsidP="00DB3A74">
      <w:pPr>
        <w:rPr>
          <w:rFonts w:eastAsia="Calibri"/>
        </w:rPr>
      </w:pPr>
      <w:r w:rsidRPr="00DB3A74">
        <w:rPr>
          <w:rFonts w:eastAsia="Calibri"/>
        </w:rPr>
        <w:t xml:space="preserve">All the Greater Hartford Central Connecticut 2022 upgrades were placed in service by September 2020. The major components of the preferred solutions for addressing the needs are included in the latest version of the </w:t>
      </w:r>
      <w:hyperlink r:id="rId220" w:history="1">
        <w:r w:rsidRPr="0083441B">
          <w:rPr>
            <w:rStyle w:val="Hyperlink"/>
            <w:i/>
          </w:rPr>
          <w:t>RSP Project List</w:t>
        </w:r>
      </w:hyperlink>
      <w:r w:rsidRPr="00DB3A74">
        <w:rPr>
          <w:rFonts w:eastAsia="Calibri"/>
        </w:rPr>
        <w:t>.</w:t>
      </w:r>
    </w:p>
    <w:p w:rsidR="00DB3A74" w:rsidRPr="00DB3A74" w:rsidRDefault="00DB3A74" w:rsidP="00DB3A74">
      <w:pPr>
        <w:rPr>
          <w:rFonts w:eastAsia="Calibri"/>
        </w:rPr>
      </w:pPr>
      <w:r w:rsidRPr="00DB3A74">
        <w:rPr>
          <w:rFonts w:eastAsia="Calibri"/>
        </w:rPr>
        <w:t xml:space="preserve">Currently, no peak-load studies on the GHCC study area are underway. A minimum-load assessment of the GHCC study area was conducted in the </w:t>
      </w:r>
      <w:r w:rsidRPr="00521057">
        <w:rPr>
          <w:rFonts w:eastAsia="Calibri"/>
          <w:i/>
        </w:rPr>
        <w:t>SWCT 2027 Needs Assessment</w:t>
      </w:r>
      <w:r w:rsidRPr="00DB3A74">
        <w:rPr>
          <w:rFonts w:eastAsia="Calibri"/>
        </w:rPr>
        <w:t>, and no needs were identified in the GHCC study area.</w:t>
      </w:r>
    </w:p>
    <w:p w:rsidR="00DB3A74" w:rsidRPr="00DB3A74" w:rsidRDefault="00DB3A74" w:rsidP="00655272">
      <w:pPr>
        <w:pStyle w:val="Heading3"/>
        <w:rPr>
          <w:rFonts w:eastAsia="Times New Roman"/>
        </w:rPr>
      </w:pPr>
      <w:bookmarkStart w:id="622" w:name="_Ref6299836"/>
      <w:bookmarkStart w:id="623" w:name="_Toc490323047"/>
      <w:bookmarkStart w:id="624" w:name="_Toc81544558"/>
      <w:r w:rsidRPr="00DB3A74">
        <w:rPr>
          <w:rFonts w:eastAsia="Times New Roman"/>
        </w:rPr>
        <w:t>Western and Central Massachusetts Key Study</w:t>
      </w:r>
      <w:r w:rsidR="00DF213A">
        <w:rPr>
          <w:rFonts w:eastAsia="Times New Roman"/>
        </w:rPr>
        <w:t> </w:t>
      </w:r>
      <w:r w:rsidRPr="00DB3A74">
        <w:rPr>
          <w:rFonts w:eastAsia="Times New Roman"/>
        </w:rPr>
        <w:t>Area</w:t>
      </w:r>
      <w:bookmarkEnd w:id="622"/>
      <w:bookmarkEnd w:id="623"/>
      <w:bookmarkEnd w:id="624"/>
    </w:p>
    <w:p w:rsidR="00DB3A74" w:rsidRPr="00DB3A74" w:rsidRDefault="00DB3A74" w:rsidP="00DB3A74">
      <w:pPr>
        <w:rPr>
          <w:rFonts w:eastAsia="Calibri"/>
        </w:rPr>
      </w:pPr>
      <w:r w:rsidRPr="00DB3A74">
        <w:rPr>
          <w:rFonts w:eastAsia="Calibri"/>
        </w:rPr>
        <w:t xml:space="preserve">The </w:t>
      </w:r>
      <w:hyperlink r:id="rId221" w:history="1">
        <w:r w:rsidRPr="0083441B">
          <w:rPr>
            <w:rStyle w:val="Hyperlink"/>
          </w:rPr>
          <w:t>Western and Central Massachusetts (WCMA) Key Study Area</w:t>
        </w:r>
      </w:hyperlink>
      <w:r w:rsidRPr="00DB3A74">
        <w:rPr>
          <w:rFonts w:eastAsia="Calibri"/>
        </w:rPr>
        <w:t xml:space="preserve"> is bordered by the Connecticut border to the south, the New York border to the west, the Vermont and New Hampshire borders to the north, and the Boston Import interface to the east. The Pittsfield and Greenfield study area is within the WCMA study area and extends from the city of Pittsfield north to the Vermont border, east to Greenfield, and south to Amherst (MA).</w:t>
      </w:r>
    </w:p>
    <w:p w:rsidR="00DB3A74" w:rsidRPr="00DB3A74" w:rsidRDefault="00DB3A74" w:rsidP="00DB3A74">
      <w:pPr>
        <w:rPr>
          <w:rFonts w:eastAsia="Calibri"/>
        </w:rPr>
      </w:pPr>
      <w:r w:rsidRPr="00DB3A74">
        <w:rPr>
          <w:rFonts w:eastAsia="Times New Roman"/>
          <w:szCs w:val="24"/>
        </w:rPr>
        <w:t>All the Pittsfield and Greenfield</w:t>
      </w:r>
      <w:r w:rsidRPr="00DB3A74">
        <w:rPr>
          <w:rFonts w:eastAsia="Calibri"/>
        </w:rPr>
        <w:t xml:space="preserve"> 2022 upgrades have been placed in service by June 2020. The major components of the preferred solutions for addressing the needs are included in the latest version of the </w:t>
      </w:r>
      <w:hyperlink r:id="rId222" w:history="1">
        <w:r w:rsidRPr="0083441B">
          <w:rPr>
            <w:rStyle w:val="Hyperlink"/>
            <w:i/>
          </w:rPr>
          <w:t>RSP Project List</w:t>
        </w:r>
      </w:hyperlink>
      <w:r w:rsidRPr="00DB3A74">
        <w:rPr>
          <w:rFonts w:eastAsia="Calibri"/>
        </w:rPr>
        <w:t>.</w:t>
      </w:r>
    </w:p>
    <w:p w:rsidR="00DB3A74" w:rsidRPr="00DB3A74" w:rsidRDefault="00DB3A74" w:rsidP="00DB3A74">
      <w:pPr>
        <w:rPr>
          <w:rFonts w:eastAsia="Calibri"/>
        </w:rPr>
      </w:pPr>
      <w:r w:rsidRPr="00DB3A74">
        <w:rPr>
          <w:rFonts w:eastAsia="Calibri"/>
        </w:rPr>
        <w:t xml:space="preserve">The </w:t>
      </w:r>
      <w:hyperlink r:id="rId223" w:history="1">
        <w:r w:rsidRPr="0083441B">
          <w:rPr>
            <w:rStyle w:val="Hyperlink"/>
          </w:rPr>
          <w:t>Needs Assessment for the WCMA study area</w:t>
        </w:r>
      </w:hyperlink>
      <w:r w:rsidRPr="00DB3A74">
        <w:rPr>
          <w:rFonts w:eastAsia="Calibri"/>
        </w:rPr>
        <w:t xml:space="preserve"> began in June 2017. A draft WCMA 2027 scope of work was presented to the PAC in January 2018, but the effort was paused to take into account the 2018 updated load, energy efficiency , and photovoltaic forecasts.</w:t>
      </w:r>
      <w:r w:rsidRPr="00DB3A74">
        <w:rPr>
          <w:rFonts w:eastAsia="Calibri"/>
          <w:vertAlign w:val="superscript"/>
        </w:rPr>
        <w:footnoteReference w:id="104"/>
      </w:r>
      <w:r w:rsidRPr="00DB3A74">
        <w:rPr>
          <w:rFonts w:eastAsia="Calibri"/>
        </w:rPr>
        <w:t xml:space="preserve"> A </w:t>
      </w:r>
      <w:hyperlink r:id="rId224" w:history="1">
        <w:r w:rsidRPr="0083441B">
          <w:rPr>
            <w:rStyle w:val="Hyperlink"/>
          </w:rPr>
          <w:t>new WCMA 2028 scope of work</w:t>
        </w:r>
      </w:hyperlink>
      <w:r w:rsidRPr="00DB3A74">
        <w:rPr>
          <w:rFonts w:eastAsia="Calibri"/>
        </w:rPr>
        <w:t xml:space="preserve"> was presented to the PAC in September 2018. To account for the draft 2019 forecasts, the ISO posted a </w:t>
      </w:r>
      <w:hyperlink r:id="rId225" w:history="1">
        <w:r w:rsidRPr="0083441B">
          <w:rPr>
            <w:rStyle w:val="Hyperlink"/>
          </w:rPr>
          <w:t>new WCMA 2029 scope of work</w:t>
        </w:r>
      </w:hyperlink>
      <w:r w:rsidRPr="00DB3A74">
        <w:rPr>
          <w:rFonts w:eastAsia="Calibri"/>
        </w:rPr>
        <w:t xml:space="preserve"> and intermediate study files in December 2019. The WCMA 2029 scope of work included the forecast data from the </w:t>
      </w:r>
      <w:r w:rsidRPr="00963B61">
        <w:rPr>
          <w:rFonts w:eastAsia="Calibri"/>
          <w:i/>
        </w:rPr>
        <w:t xml:space="preserve">2019 </w:t>
      </w:r>
      <w:hyperlink r:id="rId226" w:history="1">
        <w:r w:rsidRPr="00963B61">
          <w:rPr>
            <w:rStyle w:val="Hyperlink"/>
            <w:i/>
          </w:rPr>
          <w:t>CELT Report</w:t>
        </w:r>
      </w:hyperlink>
      <w:r w:rsidRPr="00DB3A74">
        <w:rPr>
          <w:rFonts w:eastAsia="Calibri"/>
        </w:rPr>
        <w:t>. The</w:t>
      </w:r>
      <w:r w:rsidR="00521057">
        <w:rPr>
          <w:rFonts w:eastAsia="Calibri"/>
        </w:rPr>
        <w:t xml:space="preserve"> final</w:t>
      </w:r>
      <w:r w:rsidRPr="00DB3A74">
        <w:rPr>
          <w:rFonts w:eastAsia="Calibri"/>
        </w:rPr>
        <w:t xml:space="preserve"> </w:t>
      </w:r>
      <w:hyperlink r:id="rId227" w:history="1">
        <w:r w:rsidR="00521057">
          <w:rPr>
            <w:rStyle w:val="Hyperlink"/>
            <w:i/>
          </w:rPr>
          <w:t>WCMA 2029 Needs Assessment</w:t>
        </w:r>
      </w:hyperlink>
      <w:r w:rsidRPr="00DB3A74">
        <w:rPr>
          <w:rFonts w:eastAsia="Calibri"/>
        </w:rPr>
        <w:t xml:space="preserve"> was completed in May 2020.</w:t>
      </w:r>
    </w:p>
    <w:p w:rsidR="00DB3A74" w:rsidRPr="00DB3A74" w:rsidRDefault="00DB3A74" w:rsidP="00DB3A74">
      <w:pPr>
        <w:rPr>
          <w:rFonts w:eastAsia="Calibri"/>
        </w:rPr>
      </w:pPr>
      <w:r w:rsidRPr="00DB3A74">
        <w:rPr>
          <w:rFonts w:eastAsia="Calibri"/>
        </w:rPr>
        <w:t xml:space="preserve">The </w:t>
      </w:r>
      <w:r w:rsidRPr="00521057">
        <w:rPr>
          <w:rFonts w:eastAsia="Calibri"/>
          <w:i/>
        </w:rPr>
        <w:t>WCMA 2029 Needs Assessment</w:t>
      </w:r>
      <w:r w:rsidRPr="00DB3A74">
        <w:rPr>
          <w:rFonts w:eastAsia="Calibri"/>
        </w:rPr>
        <w:t xml:space="preserve"> only showed voltage needs along the A1/B2 69 kV PTF lines between Pratts Junction in Massachusetts and Vernon in Vermont under peak-load conditions. No other needs were observed under peak or minimum load conditions. All of the voltage needs were determined to be time-sensitive needs. </w:t>
      </w:r>
    </w:p>
    <w:p w:rsidR="00DB3A74" w:rsidRPr="00DB3A74" w:rsidRDefault="00DB3A74" w:rsidP="00DB3A74">
      <w:pPr>
        <w:rPr>
          <w:rFonts w:eastAsia="Calibri"/>
        </w:rPr>
      </w:pPr>
      <w:r w:rsidRPr="00DB3A74">
        <w:rPr>
          <w:rFonts w:eastAsia="Calibri"/>
        </w:rPr>
        <w:t xml:space="preserve">At the same time the </w:t>
      </w:r>
      <w:r w:rsidRPr="00521057">
        <w:rPr>
          <w:rFonts w:eastAsia="Calibri"/>
          <w:i/>
        </w:rPr>
        <w:t>WCMA Needs Assessment</w:t>
      </w:r>
      <w:r w:rsidRPr="00DB3A74">
        <w:rPr>
          <w:rFonts w:eastAsia="Calibri"/>
        </w:rPr>
        <w:t xml:space="preserve"> results were being finalized, a number of distributed energy resource (DER) projects were seeking proposed plan application (PPA) approval at the Reliability Committee. Some of the DER projects were located in the area of the A1/B2 line corridor and interconnecting the DER projects required Transmission Upgrades on the A1/B2 line corridor. A decision was made to not begin the Solutions Study due to the uncertainty of the amount of DER additions along the A1/B2 line corridor. Since most of the DER projects have withdrawn, </w:t>
      </w:r>
      <w:r w:rsidR="00EB222B">
        <w:rPr>
          <w:rFonts w:eastAsia="Calibri"/>
        </w:rPr>
        <w:t xml:space="preserve">and </w:t>
      </w:r>
      <w:r w:rsidRPr="00DB3A74">
        <w:rPr>
          <w:rFonts w:eastAsia="Calibri"/>
        </w:rPr>
        <w:t xml:space="preserve">the ISO began a Solutions Study to determine the regulated transmission solutions to </w:t>
      </w:r>
      <w:r w:rsidR="00EB222B">
        <w:rPr>
          <w:rFonts w:eastAsia="Calibri"/>
        </w:rPr>
        <w:t>address</w:t>
      </w:r>
      <w:r w:rsidR="00EB222B" w:rsidRPr="00DB3A74">
        <w:rPr>
          <w:rFonts w:eastAsia="Calibri"/>
        </w:rPr>
        <w:t xml:space="preserve"> </w:t>
      </w:r>
      <w:r w:rsidRPr="00DB3A74">
        <w:rPr>
          <w:rFonts w:eastAsia="Calibri"/>
        </w:rPr>
        <w:t>the needs found in the A1/B2 line corridor.</w:t>
      </w:r>
      <w:r w:rsidRPr="00DB3A74">
        <w:rPr>
          <w:rFonts w:eastAsia="Calibri"/>
          <w:vertAlign w:val="superscript"/>
        </w:rPr>
        <w:footnoteReference w:id="105"/>
      </w:r>
      <w:r w:rsidRPr="00DB3A74">
        <w:rPr>
          <w:rFonts w:eastAsia="Calibri"/>
          <w:vertAlign w:val="superscript"/>
        </w:rPr>
        <w:t xml:space="preserve">, </w:t>
      </w:r>
      <w:r w:rsidRPr="001D69A5">
        <w:rPr>
          <w:rFonts w:eastAsia="Calibri"/>
          <w:vertAlign w:val="superscript"/>
        </w:rPr>
        <w:footnoteReference w:id="106"/>
      </w:r>
      <w:r w:rsidRPr="001D69A5">
        <w:rPr>
          <w:rFonts w:eastAsia="Calibri"/>
          <w:vertAlign w:val="superscript"/>
        </w:rPr>
        <w:t xml:space="preserve"> </w:t>
      </w:r>
      <w:r w:rsidRPr="00DB3A74">
        <w:rPr>
          <w:rFonts w:eastAsia="Calibri"/>
        </w:rPr>
        <w:t xml:space="preserve">National Grid identified </w:t>
      </w:r>
      <w:hyperlink r:id="rId228" w:history="1">
        <w:r w:rsidRPr="0083441B">
          <w:rPr>
            <w:rStyle w:val="Hyperlink"/>
          </w:rPr>
          <w:t>four asset condition projects</w:t>
        </w:r>
      </w:hyperlink>
      <w:r w:rsidRPr="00DB3A74">
        <w:rPr>
          <w:rFonts w:eastAsia="Calibri"/>
        </w:rPr>
        <w:t xml:space="preserve"> in the vicinity of the A1/B2 corridor at the April 2020 PAC meeting. One of the asset condition projects, A-1 &amp; B-2 69kV Line Asset Condition Project, is under investigation to determine if it solves the voltage needs along the A1/B2 line corridor. </w:t>
      </w:r>
    </w:p>
    <w:p w:rsidR="00DB3A74" w:rsidRPr="00DB3A74" w:rsidRDefault="00DB3A74" w:rsidP="00655272">
      <w:pPr>
        <w:pStyle w:val="Heading3"/>
        <w:rPr>
          <w:rFonts w:eastAsia="Times New Roman"/>
        </w:rPr>
      </w:pPr>
      <w:bookmarkStart w:id="625" w:name="_Toc490323048"/>
      <w:bookmarkStart w:id="626" w:name="_Ref485805455"/>
      <w:bookmarkStart w:id="627" w:name="_Ref485805448"/>
      <w:bookmarkStart w:id="628" w:name="_Toc81544559"/>
      <w:r w:rsidRPr="00DB3A74">
        <w:rPr>
          <w:rFonts w:eastAsia="Times New Roman"/>
        </w:rPr>
        <w:t>Greater Boston Key Study Area</w:t>
      </w:r>
      <w:bookmarkEnd w:id="625"/>
      <w:bookmarkEnd w:id="626"/>
      <w:bookmarkEnd w:id="627"/>
      <w:bookmarkEnd w:id="628"/>
    </w:p>
    <w:p w:rsidR="00DB3A74" w:rsidRPr="00DB3A74" w:rsidRDefault="00DB3A74" w:rsidP="00DB3A74">
      <w:pPr>
        <w:rPr>
          <w:rFonts w:eastAsia="Times New Roman"/>
          <w:szCs w:val="24"/>
        </w:rPr>
      </w:pPr>
      <w:r w:rsidRPr="00DB3A74">
        <w:rPr>
          <w:rFonts w:eastAsia="Calibri"/>
        </w:rPr>
        <w:t xml:space="preserve">The </w:t>
      </w:r>
      <w:hyperlink r:id="rId229" w:history="1">
        <w:r w:rsidRPr="0083441B">
          <w:rPr>
            <w:rStyle w:val="Hyperlink"/>
          </w:rPr>
          <w:t>Greater Boston Key Study Area</w:t>
        </w:r>
      </w:hyperlink>
      <w:r w:rsidRPr="00DB3A74">
        <w:rPr>
          <w:rFonts w:eastAsia="Calibri"/>
        </w:rPr>
        <w:t xml:space="preserve"> includes the communities north and east of Interstate 495 north to the New Hampshire border, the city of Boston, and the suburbs south of Boston.</w:t>
      </w:r>
    </w:p>
    <w:p w:rsidR="00DB3A74" w:rsidRPr="00DB3A74" w:rsidRDefault="00DB3A74" w:rsidP="00DB3A74">
      <w:pPr>
        <w:rPr>
          <w:rFonts w:eastAsia="Calibri"/>
        </w:rPr>
      </w:pPr>
      <w:r w:rsidRPr="00DB3A74">
        <w:rPr>
          <w:rFonts w:eastAsia="Calibri"/>
        </w:rPr>
        <w:t xml:space="preserve">The Greater Boston study area has gone through two study efforts over the past 10 years. The first Greater Boston study and most of the projects developed through this effort are already in service, with the final components anticipated to be in service by December 2023. </w:t>
      </w:r>
    </w:p>
    <w:p w:rsidR="00DB3A74" w:rsidRPr="00DB3A74" w:rsidRDefault="00DB3A74" w:rsidP="0035205B">
      <w:pPr>
        <w:spacing w:after="0"/>
        <w:contextualSpacing/>
        <w:rPr>
          <w:rFonts w:eastAsia="Calibri"/>
        </w:rPr>
      </w:pPr>
      <w:r w:rsidRPr="00DB3A74">
        <w:rPr>
          <w:rFonts w:eastAsia="Calibri"/>
        </w:rPr>
        <w:t xml:space="preserve">The second effort is the Boston study. The Boston study area is a subset of the Greater Boston key study area and is approximately bounded by the Boston import interface. Due to the submittal of retirement de-list bids for Mystic units 7, 8, 9, and Jet for FCA 13, a </w:t>
      </w:r>
      <w:hyperlink r:id="rId230" w:history="1">
        <w:r w:rsidRPr="00521057">
          <w:rPr>
            <w:rStyle w:val="Hyperlink"/>
            <w:i/>
          </w:rPr>
          <w:t>Boston 2028 Needs Assessment</w:t>
        </w:r>
      </w:hyperlink>
      <w:r w:rsidRPr="00521057">
        <w:rPr>
          <w:rFonts w:eastAsia="Calibri"/>
          <w:i/>
        </w:rPr>
        <w:t xml:space="preserve"> </w:t>
      </w:r>
      <w:r w:rsidRPr="00DB3A74">
        <w:rPr>
          <w:rFonts w:eastAsia="Calibri"/>
        </w:rPr>
        <w:t xml:space="preserve">was initiated on September 14, 2018. The Boston 2028 Needs Assessment </w:t>
      </w:r>
      <w:hyperlink r:id="rId231" w:history="1">
        <w:r w:rsidRPr="0083441B">
          <w:rPr>
            <w:rStyle w:val="Hyperlink"/>
          </w:rPr>
          <w:t>scope of work</w:t>
        </w:r>
      </w:hyperlink>
      <w:r w:rsidRPr="00DB3A74">
        <w:rPr>
          <w:rFonts w:eastAsia="Calibri"/>
        </w:rPr>
        <w:t xml:space="preserve"> incorporated the draft 2019 load, EE, and PV forecasts, was presented to PAC on September 27, 2018, and was </w:t>
      </w:r>
      <w:hyperlink r:id="rId232" w:history="1">
        <w:r w:rsidRPr="0083441B">
          <w:rPr>
            <w:rStyle w:val="Hyperlink"/>
          </w:rPr>
          <w:t>posted</w:t>
        </w:r>
      </w:hyperlink>
      <w:r w:rsidRPr="00DB3A74">
        <w:rPr>
          <w:rFonts w:eastAsia="Calibri"/>
        </w:rPr>
        <w:t xml:space="preserve"> in March 2019. The</w:t>
      </w:r>
      <w:r w:rsidR="00521057">
        <w:rPr>
          <w:rFonts w:eastAsia="Calibri"/>
        </w:rPr>
        <w:t xml:space="preserve"> final</w:t>
      </w:r>
      <w:r w:rsidRPr="00DB3A74">
        <w:rPr>
          <w:rFonts w:eastAsia="Calibri"/>
        </w:rPr>
        <w:t xml:space="preserve"> </w:t>
      </w:r>
      <w:hyperlink r:id="rId233" w:history="1">
        <w:r w:rsidR="00521057">
          <w:rPr>
            <w:rStyle w:val="Hyperlink"/>
            <w:i/>
          </w:rPr>
          <w:t>Boston 2028 Needs Assessment</w:t>
        </w:r>
      </w:hyperlink>
      <w:r w:rsidRPr="00DB3A74">
        <w:rPr>
          <w:rFonts w:eastAsia="Calibri"/>
        </w:rPr>
        <w:t xml:space="preserve"> and study files were posted on June 10, 2019. The results of the </w:t>
      </w:r>
      <w:r w:rsidRPr="00521057">
        <w:rPr>
          <w:rFonts w:eastAsia="Calibri"/>
          <w:i/>
        </w:rPr>
        <w:t>Boston 2028 Needs Assessment</w:t>
      </w:r>
      <w:r w:rsidRPr="00DB3A74">
        <w:rPr>
          <w:rFonts w:eastAsia="Calibri"/>
        </w:rPr>
        <w:t xml:space="preserve"> showed a number of voltage violations at minimum load and thermal violations at peak load.</w:t>
      </w:r>
      <w:r w:rsidR="0035205B">
        <w:rPr>
          <w:rStyle w:val="FootnoteReference"/>
          <w:rFonts w:eastAsia="Calibri"/>
        </w:rPr>
        <w:footnoteReference w:id="107"/>
      </w:r>
      <w:r w:rsidRPr="00DB3A74">
        <w:rPr>
          <w:rFonts w:eastAsia="Calibri"/>
        </w:rPr>
        <w:t xml:space="preserve">  </w:t>
      </w:r>
    </w:p>
    <w:p w:rsidR="00DB3A74" w:rsidRPr="00DB3A74" w:rsidRDefault="00DB3A74" w:rsidP="00DB3A74">
      <w:pPr>
        <w:spacing w:after="0"/>
        <w:contextualSpacing/>
        <w:rPr>
          <w:rFonts w:eastAsia="Calibri"/>
        </w:rPr>
      </w:pPr>
      <w:r w:rsidRPr="00DB3A74">
        <w:rPr>
          <w:rFonts w:eastAsia="Calibri"/>
        </w:rPr>
        <w:t xml:space="preserve">The needs found at minimum load were deemed time-sensitive because the load level is possible under current-day system conditions. The Solutions Study process, detailed in the </w:t>
      </w:r>
      <w:hyperlink r:id="rId234" w:history="1">
        <w:r w:rsidR="00A86C5C" w:rsidRPr="0083441B">
          <w:rPr>
            <w:rStyle w:val="Hyperlink"/>
            <w:i/>
          </w:rPr>
          <w:t>Open Access Transmission Tariff</w:t>
        </w:r>
        <w:r w:rsidR="00A86C5C" w:rsidRPr="00496814">
          <w:rPr>
            <w:rFonts w:eastAsia="Times New Roman"/>
            <w:color w:val="0645AD"/>
            <w:u w:val="single"/>
          </w:rPr>
          <w:t xml:space="preserve"> </w:t>
        </w:r>
      </w:hyperlink>
      <w:r w:rsidRPr="00DB3A74">
        <w:rPr>
          <w:rFonts w:eastAsia="Calibri"/>
        </w:rPr>
        <w:t xml:space="preserve"> (OATT), Attachment K, Section 4.2, was used to solve the time-sensitive voltage violations identified at minimum load. The </w:t>
      </w:r>
      <w:hyperlink r:id="rId235" w:history="1">
        <w:r w:rsidRPr="0083441B">
          <w:rPr>
            <w:rStyle w:val="Hyperlink"/>
          </w:rPr>
          <w:t>Solutions Study results</w:t>
        </w:r>
      </w:hyperlink>
      <w:r w:rsidRPr="00DB3A74">
        <w:rPr>
          <w:rFonts w:eastAsia="Calibri"/>
        </w:rPr>
        <w:t xml:space="preserve"> were presented to the PAC in September 2019 and the </w:t>
      </w:r>
      <w:hyperlink r:id="rId236" w:history="1">
        <w:r w:rsidRPr="00DB3A74">
          <w:rPr>
            <w:rFonts w:eastAsia="Calibri"/>
            <w:color w:val="0645AD"/>
            <w:u w:val="single"/>
          </w:rPr>
          <w:t>report</w:t>
        </w:r>
      </w:hyperlink>
      <w:r w:rsidRPr="00DB3A74">
        <w:rPr>
          <w:rFonts w:eastAsia="Calibri"/>
        </w:rPr>
        <w:t xml:space="preserve"> posted in October 2019. As a result of the Solutions Study, a shunt reactor and series breaker were selected to mitigate high-voltage needs found at minimum load. </w:t>
      </w:r>
      <w:r w:rsidRPr="00DB3A74">
        <w:rPr>
          <w:rFonts w:eastAsia="Times New Roman"/>
          <w:szCs w:val="24"/>
        </w:rPr>
        <w:t xml:space="preserve">The anticipated in-service date for the equipment is September 2021. Once the Solutions Study components were known, the ISO completed a </w:t>
      </w:r>
      <w:r w:rsidRPr="00521057">
        <w:rPr>
          <w:rFonts w:eastAsia="Times New Roman"/>
          <w:i/>
          <w:szCs w:val="24"/>
        </w:rPr>
        <w:t>Boston 2028 Needs Assessment</w:t>
      </w:r>
      <w:r w:rsidRPr="00DB3A74">
        <w:rPr>
          <w:rFonts w:eastAsia="Times New Roman"/>
          <w:szCs w:val="24"/>
        </w:rPr>
        <w:t xml:space="preserve"> </w:t>
      </w:r>
      <w:r w:rsidR="00521057">
        <w:rPr>
          <w:rFonts w:eastAsia="Times New Roman"/>
          <w:i/>
          <w:szCs w:val="24"/>
        </w:rPr>
        <w:t>U</w:t>
      </w:r>
      <w:r w:rsidRPr="00521057">
        <w:rPr>
          <w:rFonts w:eastAsia="Times New Roman"/>
          <w:i/>
          <w:szCs w:val="24"/>
        </w:rPr>
        <w:t>pdate</w:t>
      </w:r>
      <w:r w:rsidRPr="00DB3A74">
        <w:rPr>
          <w:rFonts w:eastAsia="Times New Roman"/>
          <w:szCs w:val="24"/>
        </w:rPr>
        <w:t xml:space="preserve">, which included the Solutions Study components as well as any updated information related to the study since the first Needs Assessment. The Needs Assessment update was </w:t>
      </w:r>
      <w:hyperlink r:id="rId237" w:history="1">
        <w:r w:rsidRPr="00DB3A74">
          <w:rPr>
            <w:rFonts w:eastAsia="Times New Roman"/>
            <w:color w:val="0645AD"/>
            <w:szCs w:val="24"/>
            <w:u w:val="single"/>
          </w:rPr>
          <w:t>presented</w:t>
        </w:r>
      </w:hyperlink>
      <w:r w:rsidRPr="00DB3A74">
        <w:rPr>
          <w:rFonts w:eastAsia="Times New Roman"/>
          <w:szCs w:val="24"/>
        </w:rPr>
        <w:t xml:space="preserve"> to the ISO’s Planning Advisory Committee on September 26, 2019 and the report </w:t>
      </w:r>
      <w:hyperlink r:id="rId238" w:history="1">
        <w:r w:rsidRPr="00DB3A74">
          <w:rPr>
            <w:rFonts w:eastAsia="Times New Roman"/>
            <w:color w:val="0645AD"/>
            <w:szCs w:val="24"/>
            <w:u w:val="single"/>
          </w:rPr>
          <w:t>posted</w:t>
        </w:r>
      </w:hyperlink>
      <w:r w:rsidRPr="00DB3A74">
        <w:rPr>
          <w:rFonts w:eastAsia="Times New Roman"/>
          <w:szCs w:val="24"/>
        </w:rPr>
        <w:t xml:space="preserve"> in October 2019. </w:t>
      </w:r>
      <w:r w:rsidRPr="00DB3A74">
        <w:rPr>
          <w:rFonts w:eastAsia="Calibri"/>
        </w:rPr>
        <w:t>In addition, an operational study was performed to evaluate the impact of the retirement of Mystic 8 and 9 on system restoration plans.</w:t>
      </w:r>
      <w:r w:rsidRPr="00DB3A74">
        <w:rPr>
          <w:rFonts w:eastAsia="Calibri"/>
          <w:vertAlign w:val="superscript"/>
        </w:rPr>
        <w:footnoteReference w:id="108"/>
      </w:r>
      <w:r w:rsidRPr="00DB3A74">
        <w:rPr>
          <w:rFonts w:eastAsia="Calibri"/>
        </w:rPr>
        <w:t xml:space="preserve"> The results of the operational study were documented in the </w:t>
      </w:r>
      <w:hyperlink r:id="rId239" w:history="1">
        <w:r w:rsidRPr="00521057">
          <w:rPr>
            <w:rStyle w:val="Hyperlink"/>
            <w:i/>
          </w:rPr>
          <w:t>Boston 2028 Needs Assessment Addendum</w:t>
        </w:r>
      </w:hyperlink>
      <w:r w:rsidRPr="00DB3A74">
        <w:rPr>
          <w:rFonts w:eastAsia="Calibri"/>
        </w:rPr>
        <w:t xml:space="preserve"> that was posted in October 2019.</w:t>
      </w:r>
      <w:r w:rsidRPr="00DB3A74">
        <w:rPr>
          <w:rFonts w:eastAsia="Times New Roman"/>
          <w:szCs w:val="24"/>
        </w:rPr>
        <w:t xml:space="preserve"> The Needs Assessment update, along with the Needs Assessment addendum, identified the non-time-sensitive needs to be solved in the study area.</w:t>
      </w:r>
    </w:p>
    <w:p w:rsidR="00DB3A74" w:rsidRPr="00DB3A74" w:rsidRDefault="00DB3A74" w:rsidP="00D2356F">
      <w:pPr>
        <w:spacing w:after="0"/>
        <w:contextualSpacing/>
        <w:rPr>
          <w:rFonts w:eastAsia="Calibri"/>
        </w:rPr>
      </w:pPr>
    </w:p>
    <w:p w:rsidR="00DB3A74" w:rsidRPr="00DB3A74" w:rsidRDefault="00DB3A74" w:rsidP="00DB3A74">
      <w:pPr>
        <w:spacing w:after="0"/>
        <w:contextualSpacing/>
        <w:rPr>
          <w:rFonts w:eastAsia="Calibri"/>
        </w:rPr>
      </w:pPr>
      <w:r w:rsidRPr="00DB3A74">
        <w:rPr>
          <w:rFonts w:eastAsia="Calibri"/>
        </w:rPr>
        <w:t xml:space="preserve">The peak-load needs were found to be non-time-sensitive because the needs were present in the study horizon cases of 2028 but were not observed in the time-sensitive cases of 2022. In addition, the system-restoration need for reactive support was considered a non-time-sensitive need because the retirement date of Mystic 8 and 9 is beyond the three-year time-sensitive period. The competitive solution process, detailed in Attachment K, Section 4.3, was initiated to solve the non-time-sensitive needs.  </w:t>
      </w:r>
    </w:p>
    <w:p w:rsidR="00DB3A74" w:rsidRPr="00DB3A74" w:rsidRDefault="00DB3A74" w:rsidP="00DB3A74">
      <w:pPr>
        <w:spacing w:after="0"/>
        <w:contextualSpacing/>
        <w:rPr>
          <w:rFonts w:eastAsia="Calibri"/>
        </w:rPr>
      </w:pPr>
    </w:p>
    <w:p w:rsidR="00DB3A74" w:rsidRPr="00DB3A74" w:rsidRDefault="00DB3A74" w:rsidP="00DB3A74">
      <w:pPr>
        <w:spacing w:after="0"/>
        <w:contextualSpacing/>
        <w:rPr>
          <w:rFonts w:eastAsia="Calibri"/>
        </w:rPr>
      </w:pPr>
      <w:r w:rsidRPr="00DB3A74">
        <w:rPr>
          <w:rFonts w:eastAsia="Calibri"/>
        </w:rPr>
        <w:t xml:space="preserve">The ISO issued its first RFP to solicit competitive bids from qualified transmission project sponsors to solve needs observed due to the retirement of the Mystic generating units. See the FERC Order No. 1000 Discussion </w:t>
      </w:r>
      <w:r w:rsidR="00EB222B">
        <w:rPr>
          <w:rFonts w:eastAsia="Calibri"/>
        </w:rPr>
        <w:t>in</w:t>
      </w:r>
      <w:r w:rsidR="006202EF">
        <w:rPr>
          <w:rFonts w:eastAsia="Calibri"/>
        </w:rPr>
        <w:t xml:space="preserve"> </w:t>
      </w:r>
      <w:hyperlink w:anchor="_FERC_Order_No." w:history="1">
        <w:r w:rsidR="006202EF" w:rsidRPr="00526E4C">
          <w:rPr>
            <w:rStyle w:val="Hyperlink"/>
            <w:rFonts w:eastAsia="Calibri"/>
          </w:rPr>
          <w:t>Section</w:t>
        </w:r>
        <w:r w:rsidR="00526E4C" w:rsidRPr="00526E4C">
          <w:rPr>
            <w:rStyle w:val="Hyperlink"/>
            <w:rFonts w:eastAsia="Calibri"/>
          </w:rPr>
          <w:t xml:space="preserve"> 5.2</w:t>
        </w:r>
      </w:hyperlink>
      <w:r w:rsidRPr="00DB3A74">
        <w:rPr>
          <w:rFonts w:eastAsia="Calibri"/>
        </w:rPr>
        <w:t xml:space="preserve">. From the Boston 2028 RFP and subsequent </w:t>
      </w:r>
      <w:hyperlink r:id="rId240" w:history="1">
        <w:r w:rsidRPr="008D35DE">
          <w:rPr>
            <w:rStyle w:val="Hyperlink"/>
            <w:i/>
          </w:rPr>
          <w:t>Boston 2028 Solutions Study – Mystic Retirement</w:t>
        </w:r>
      </w:hyperlink>
      <w:r w:rsidRPr="00DB3A74">
        <w:rPr>
          <w:rFonts w:eastAsia="Calibri"/>
        </w:rPr>
        <w:t>, the preferred solution, named the Boston Area Optimized Solution (BAOS), comprise</w:t>
      </w:r>
      <w:r w:rsidR="00BF34DC">
        <w:rPr>
          <w:rFonts w:eastAsia="Calibri"/>
        </w:rPr>
        <w:t>s</w:t>
      </w:r>
      <w:r w:rsidRPr="00DB3A74">
        <w:rPr>
          <w:rFonts w:eastAsia="Calibri"/>
        </w:rPr>
        <w:t xml:space="preserve"> of two 345 kV series reactors, which can be bypassed if needed, a +/- 167 MVAR STATCOM, and a direct transfer trip (DTT) scheme on a 345 kV line.</w:t>
      </w:r>
    </w:p>
    <w:p w:rsidR="00DB3A74" w:rsidRPr="00DB3A74" w:rsidRDefault="00DB3A74" w:rsidP="00655272">
      <w:pPr>
        <w:pStyle w:val="Heading3"/>
        <w:rPr>
          <w:rFonts w:eastAsia="Times New Roman"/>
        </w:rPr>
      </w:pPr>
      <w:bookmarkStart w:id="629" w:name="_Toc490323049"/>
      <w:bookmarkStart w:id="630" w:name="_Ref485733954"/>
      <w:bookmarkStart w:id="631" w:name="_Ref485733796"/>
      <w:bookmarkStart w:id="632" w:name="_Toc81544560"/>
      <w:r w:rsidRPr="00DB3A74">
        <w:rPr>
          <w:rFonts w:eastAsia="Times New Roman"/>
        </w:rPr>
        <w:t>Southeastern Massachusetts and Rhode Island Key Study</w:t>
      </w:r>
      <w:r w:rsidR="00DF213A">
        <w:rPr>
          <w:rFonts w:eastAsia="Times New Roman"/>
        </w:rPr>
        <w:t> </w:t>
      </w:r>
      <w:r w:rsidRPr="00DB3A74">
        <w:rPr>
          <w:rFonts w:eastAsia="Times New Roman"/>
        </w:rPr>
        <w:t>Area</w:t>
      </w:r>
      <w:bookmarkEnd w:id="629"/>
      <w:bookmarkEnd w:id="630"/>
      <w:bookmarkEnd w:id="631"/>
      <w:bookmarkEnd w:id="632"/>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The </w:t>
      </w:r>
      <w:hyperlink r:id="rId241" w:history="1">
        <w:r w:rsidRPr="0083441B">
          <w:rPr>
            <w:rStyle w:val="Hyperlink"/>
          </w:rPr>
          <w:t>Southeastern Massachusetts and Rhode Island (SEMA/RI) Key Study Area</w:t>
        </w:r>
      </w:hyperlink>
      <w:r w:rsidRPr="00DB3A74">
        <w:rPr>
          <w:rFonts w:eastAsia="Calibri"/>
        </w:rPr>
        <w:t xml:space="preserve"> focuses on the SEMA and RI load zones, which encompass the areas within Massachusetts located south of Boston and the entire state of Rhode Island.</w:t>
      </w:r>
    </w:p>
    <w:p w:rsidR="00DB3A74" w:rsidRPr="00DB3A74" w:rsidRDefault="00DB3A74" w:rsidP="00DB3A74">
      <w:pPr>
        <w:rPr>
          <w:rFonts w:eastAsia="Calibri"/>
        </w:rPr>
      </w:pPr>
      <w:r w:rsidRPr="00DB3A74">
        <w:rPr>
          <w:rFonts w:eastAsia="Calibri"/>
        </w:rPr>
        <w:t>The major goal of the SEMA/RI study was to determine any long-term system needs required to serve the broad SEMA and Rhode Island areas. Several ISO Planning Advisory Committee (PAC) presentations detailed needs in the study area, but a Needs Assessment was never completed due to the retirement announcements of Brayton Point in late 2013 and Pilgrim Nuclear Power Station in late 2015.</w:t>
      </w:r>
      <w:r w:rsidRPr="00DB3A74">
        <w:rPr>
          <w:rFonts w:eastAsia="Calibri"/>
          <w:vertAlign w:val="superscript"/>
        </w:rPr>
        <w:footnoteReference w:id="109"/>
      </w:r>
      <w:r w:rsidRPr="00DB3A74">
        <w:rPr>
          <w:rFonts w:eastAsia="Calibri"/>
        </w:rPr>
        <w:t xml:space="preserve"> After the Pilgrim retirement announcement, the SEMA/RI study was restarted in late 2015 with a study horizon of 2026. The 2026 Needs Assessment was </w:t>
      </w:r>
      <w:hyperlink r:id="rId242" w:history="1">
        <w:r w:rsidRPr="00DB3A74">
          <w:rPr>
            <w:rFonts w:eastAsia="Calibri"/>
            <w:color w:val="0645AD"/>
            <w:u w:val="single"/>
          </w:rPr>
          <w:t>presented</w:t>
        </w:r>
      </w:hyperlink>
      <w:r w:rsidRPr="00DB3A74">
        <w:rPr>
          <w:rFonts w:eastAsia="Calibri"/>
        </w:rPr>
        <w:t xml:space="preserve"> to the PAC in March 2016, and the report was </w:t>
      </w:r>
      <w:hyperlink r:id="rId243" w:history="1">
        <w:r w:rsidRPr="0083441B">
          <w:rPr>
            <w:rStyle w:val="Hyperlink"/>
          </w:rPr>
          <w:t>published</w:t>
        </w:r>
      </w:hyperlink>
      <w:r w:rsidRPr="00DB3A74">
        <w:rPr>
          <w:rFonts w:eastAsia="Calibri"/>
        </w:rPr>
        <w:t xml:space="preserve"> in May 2016. </w:t>
      </w:r>
    </w:p>
    <w:p w:rsidR="00DB3A74" w:rsidRPr="00DB3A74" w:rsidRDefault="00DB3A74" w:rsidP="00DB3A74">
      <w:pPr>
        <w:rPr>
          <w:rFonts w:eastAsia="Calibri"/>
        </w:rPr>
      </w:pPr>
      <w:r w:rsidRPr="00DB3A74">
        <w:rPr>
          <w:rFonts w:eastAsia="Calibri"/>
        </w:rPr>
        <w:t xml:space="preserve">The Needs Assessment results continued to show various time-sensitive needs on the 115 kilovolt (kV) system in all the SEMA/RI subareas. A 2026 Solutions Study solved the time-sensitive needs from the 2026 Needs Assessment, the preferred solution components were </w:t>
      </w:r>
      <w:hyperlink r:id="rId244" w:history="1">
        <w:r w:rsidRPr="0083441B">
          <w:rPr>
            <w:rStyle w:val="Hyperlink"/>
          </w:rPr>
          <w:t>presented</w:t>
        </w:r>
      </w:hyperlink>
      <w:r w:rsidRPr="00DB3A74">
        <w:rPr>
          <w:rFonts w:eastAsia="Calibri"/>
        </w:rPr>
        <w:t xml:space="preserve"> to the PAC in December 2016, and the </w:t>
      </w:r>
      <w:hyperlink r:id="rId245" w:history="1">
        <w:r w:rsidRPr="0083441B">
          <w:rPr>
            <w:rStyle w:val="Hyperlink"/>
            <w:i/>
          </w:rPr>
          <w:t>Southeastern Massachusetts and Rhode Island Area 2026 Solutions Study, Revision 1</w:t>
        </w:r>
      </w:hyperlink>
      <w:r w:rsidRPr="00DB3A74">
        <w:rPr>
          <w:rFonts w:eastAsia="Calibri"/>
        </w:rPr>
        <w:t xml:space="preserve"> was completed in March 2017.</w:t>
      </w:r>
      <w:r w:rsidRPr="00DB3A74">
        <w:rPr>
          <w:rFonts w:eastAsia="Calibri"/>
          <w:vertAlign w:val="superscript"/>
        </w:rPr>
        <w:t xml:space="preserve"> </w:t>
      </w:r>
      <w:r w:rsidRPr="00DB3A74">
        <w:rPr>
          <w:rFonts w:eastAsia="Calibri"/>
        </w:rPr>
        <w:t xml:space="preserve">Most of the preferred solution components were identified on the 115 kV system and included adding a new switching station, reconductoring lines, installing new lines, separating DCTs, and adding reactive support to maintain voltage. One 345 kV project required the separation of circuits that shared common towers. The upgrades are expected to be placed in service by May 2025. The major components of the preferred solutions for addressing the needs are included in the latest version of the </w:t>
      </w:r>
      <w:hyperlink r:id="rId246" w:history="1">
        <w:r w:rsidRPr="0083441B">
          <w:rPr>
            <w:rStyle w:val="Hyperlink"/>
            <w:i/>
          </w:rPr>
          <w:t>RSP Project List</w:t>
        </w:r>
      </w:hyperlink>
      <w:r w:rsidRPr="00DB3A74">
        <w:rPr>
          <w:rFonts w:eastAsia="Calibri"/>
        </w:rPr>
        <w:t xml:space="preserve">. </w:t>
      </w:r>
    </w:p>
    <w:p w:rsidR="00DB3A74" w:rsidRPr="00DB3A74" w:rsidRDefault="00DB3A74" w:rsidP="00DB3A74">
      <w:pPr>
        <w:rPr>
          <w:rFonts w:eastAsia="Calibri"/>
        </w:rPr>
      </w:pPr>
      <w:r w:rsidRPr="00DB3A74">
        <w:rPr>
          <w:rFonts w:eastAsia="Calibri"/>
        </w:rPr>
        <w:t xml:space="preserve">The Aquidneck Island area, which is part of the SEMA/RI Somerset–Newport subarea, underwent an advanced </w:t>
      </w:r>
      <w:hyperlink r:id="rId247" w:history="1">
        <w:r w:rsidRPr="0083441B">
          <w:rPr>
            <w:rStyle w:val="Hyperlink"/>
          </w:rPr>
          <w:t>Needs Assessment and Solutions Study</w:t>
        </w:r>
      </w:hyperlink>
      <w:r w:rsidRPr="00DB3A74">
        <w:rPr>
          <w:rFonts w:eastAsia="Calibri"/>
        </w:rPr>
        <w:t xml:space="preserve"> in early 2015. The Needs Assessment results showed </w:t>
      </w:r>
      <w:r w:rsidRPr="000829E4">
        <w:rPr>
          <w:rFonts w:eastAsia="Calibri"/>
        </w:rPr>
        <w:t xml:space="preserve">thermal overloads on the 115/69 kV autotransformer and 69 kV lines serving the area. </w:t>
      </w:r>
      <w:r w:rsidR="009A5A7C" w:rsidRPr="000829E4">
        <w:rPr>
          <w:rFonts w:eastAsia="Calibri"/>
        </w:rPr>
        <w:t>The preferred solution components included the extension of the 115</w:t>
      </w:r>
      <w:r w:rsidR="00442CC8" w:rsidRPr="000829E4">
        <w:rPr>
          <w:rFonts w:eastAsia="Calibri"/>
        </w:rPr>
        <w:t xml:space="preserve"> </w:t>
      </w:r>
      <w:r w:rsidR="009A5A7C" w:rsidRPr="000829E4">
        <w:rPr>
          <w:rFonts w:eastAsia="Calibri"/>
        </w:rPr>
        <w:t>kV by circuit conversion</w:t>
      </w:r>
      <w:r w:rsidR="000829E4">
        <w:rPr>
          <w:rFonts w:eastAsia="Calibri"/>
        </w:rPr>
        <w:t>,</w:t>
      </w:r>
      <w:r w:rsidR="009A5A7C" w:rsidRPr="000829E4">
        <w:rPr>
          <w:rFonts w:eastAsia="Calibri"/>
        </w:rPr>
        <w:t xml:space="preserve"> and a rebuild of a station and 69 kV lines</w:t>
      </w:r>
      <w:r w:rsidR="000829E4">
        <w:rPr>
          <w:rFonts w:eastAsia="Calibri"/>
        </w:rPr>
        <w:t>,</w:t>
      </w:r>
      <w:r w:rsidR="009A5A7C" w:rsidRPr="000829E4">
        <w:rPr>
          <w:rFonts w:eastAsia="Calibri"/>
        </w:rPr>
        <w:t xml:space="preserve"> and the conversion of some 69 kV equipment to 115 kV.</w:t>
      </w:r>
      <w:r w:rsidRPr="000829E4">
        <w:rPr>
          <w:rFonts w:eastAsia="Calibri"/>
        </w:rPr>
        <w:t xml:space="preserve"> All the projects were placed in service by March 2021. The major components of the preferred solutions for </w:t>
      </w:r>
      <w:r w:rsidRPr="00DB3A74">
        <w:rPr>
          <w:rFonts w:eastAsia="Calibri"/>
        </w:rPr>
        <w:t xml:space="preserve">addressing the needs are included in the latest version of the </w:t>
      </w:r>
      <w:hyperlink r:id="rId248" w:history="1">
        <w:r w:rsidRPr="0083441B">
          <w:rPr>
            <w:rStyle w:val="Hyperlink"/>
            <w:i/>
          </w:rPr>
          <w:t>RSP Project List</w:t>
        </w:r>
      </w:hyperlink>
      <w:r w:rsidRPr="00DB3A74">
        <w:rPr>
          <w:rFonts w:eastAsia="Calibri"/>
        </w:rPr>
        <w:t>.</w:t>
      </w:r>
    </w:p>
    <w:p w:rsidR="00DB3A74" w:rsidRPr="00DB3A74" w:rsidRDefault="00DB3A74" w:rsidP="00DB3A74">
      <w:pPr>
        <w:rPr>
          <w:rFonts w:eastAsia="Calibri"/>
        </w:rPr>
      </w:pPr>
      <w:r w:rsidRPr="00DB3A74">
        <w:rPr>
          <w:rFonts w:eastAsia="Calibri"/>
        </w:rPr>
        <w:t xml:space="preserve">The </w:t>
      </w:r>
      <w:hyperlink r:id="rId249" w:history="1">
        <w:r w:rsidRPr="0083441B">
          <w:rPr>
            <w:rStyle w:val="Hyperlink"/>
          </w:rPr>
          <w:t>Needs Assessment</w:t>
        </w:r>
      </w:hyperlink>
      <w:r w:rsidRPr="00DB3A74">
        <w:rPr>
          <w:rFonts w:eastAsia="Calibri"/>
        </w:rPr>
        <w:t xml:space="preserve"> for the SEMA/RI study area began in June 2017 to identify remaining needs, if any. This Needs Assessment includes the preferred solutions, which were developed to solve time-sensitive needs found in the </w:t>
      </w:r>
      <w:r w:rsidRPr="00521057">
        <w:rPr>
          <w:rFonts w:eastAsia="Calibri"/>
          <w:i/>
        </w:rPr>
        <w:t>SEMA/RI 2026 Needs Assessment</w:t>
      </w:r>
      <w:r w:rsidRPr="00DB3A74">
        <w:rPr>
          <w:rFonts w:eastAsia="Calibri"/>
        </w:rPr>
        <w:t xml:space="preserve">. A draft SEMA/RI 2027 scope of work was </w:t>
      </w:r>
      <w:hyperlink r:id="rId250" w:history="1">
        <w:r w:rsidRPr="00DB3A74">
          <w:rPr>
            <w:rFonts w:eastAsia="Calibri"/>
            <w:color w:val="0645AD"/>
            <w:u w:val="single"/>
          </w:rPr>
          <w:t>presented</w:t>
        </w:r>
      </w:hyperlink>
      <w:r w:rsidRPr="00DB3A74">
        <w:rPr>
          <w:rFonts w:eastAsia="Calibri"/>
        </w:rPr>
        <w:t xml:space="preserve"> to the PAC in December 2017, but the effort was paused to take into account the 2018 load, EE, and PV forecasts.</w:t>
      </w:r>
      <w:r w:rsidRPr="00DB3A74">
        <w:rPr>
          <w:rFonts w:eastAsia="Calibri"/>
          <w:vertAlign w:val="superscript"/>
        </w:rPr>
        <w:footnoteReference w:id="110"/>
      </w:r>
      <w:r w:rsidRPr="00DB3A74">
        <w:rPr>
          <w:rFonts w:eastAsia="Calibri"/>
        </w:rPr>
        <w:t xml:space="preserve"> A new draft SEMA/RI 2028 scope of work was </w:t>
      </w:r>
      <w:hyperlink r:id="rId251" w:history="1">
        <w:r w:rsidRPr="00DB3A74">
          <w:rPr>
            <w:rFonts w:eastAsia="Calibri"/>
            <w:color w:val="0645AD"/>
            <w:u w:val="single"/>
          </w:rPr>
          <w:t>presented</w:t>
        </w:r>
      </w:hyperlink>
      <w:r w:rsidRPr="00DB3A74">
        <w:rPr>
          <w:rFonts w:eastAsia="Calibri"/>
        </w:rPr>
        <w:t xml:space="preserve"> to the PAC in November 2018. Due to the new forecasts and the uncertainty of the interconnections of several resources in the SEMA/RI area, the finalization of the SEMA/RI 2028 scope of work and intermediate study files was suspended. </w:t>
      </w:r>
    </w:p>
    <w:p w:rsidR="00DB3A74" w:rsidRPr="00DB3A74" w:rsidRDefault="00DB3A74" w:rsidP="00DB3A74">
      <w:pPr>
        <w:rPr>
          <w:rFonts w:eastAsia="Calibri"/>
        </w:rPr>
      </w:pPr>
      <w:r w:rsidRPr="00DB3A74">
        <w:rPr>
          <w:rFonts w:eastAsia="Calibri"/>
        </w:rPr>
        <w:t xml:space="preserve">Due to the significant reduction in the net load from the </w:t>
      </w:r>
      <w:r w:rsidRPr="00963B61">
        <w:rPr>
          <w:rFonts w:eastAsia="Calibri"/>
          <w:i/>
        </w:rPr>
        <w:t>2019 Forecast Report of Capacity, Energy, Loads, and Transmission (CELT) Report</w:t>
      </w:r>
      <w:r w:rsidRPr="00DB3A74">
        <w:rPr>
          <w:rFonts w:eastAsia="Calibri"/>
        </w:rPr>
        <w:t>, the ISO conducted an analysis to determine if the new net load would alter the needs associated with the solution components from the 2026 Solutions Study, which had not advanced to the construction in-progress phase. The new assessment</w:t>
      </w:r>
      <w:r w:rsidR="00BF34DC">
        <w:rPr>
          <w:rFonts w:eastAsia="Calibri"/>
        </w:rPr>
        <w:t>,</w:t>
      </w:r>
      <w:r w:rsidRPr="00DB3A74">
        <w:rPr>
          <w:rFonts w:eastAsia="Calibri"/>
        </w:rPr>
        <w:t xml:space="preserve"> called the </w:t>
      </w:r>
      <w:r w:rsidRPr="00521057">
        <w:rPr>
          <w:rFonts w:eastAsia="Calibri"/>
          <w:i/>
        </w:rPr>
        <w:t>SEMA/RI 2029 Needs As</w:t>
      </w:r>
      <w:r w:rsidR="00521057">
        <w:rPr>
          <w:rFonts w:eastAsia="Calibri"/>
          <w:i/>
        </w:rPr>
        <w:t>sessment U</w:t>
      </w:r>
      <w:r w:rsidRPr="00521057">
        <w:rPr>
          <w:rFonts w:eastAsia="Calibri"/>
          <w:i/>
        </w:rPr>
        <w:t>pdate</w:t>
      </w:r>
      <w:r w:rsidR="00BF34DC">
        <w:rPr>
          <w:rFonts w:eastAsia="Calibri"/>
        </w:rPr>
        <w:t>,</w:t>
      </w:r>
      <w:r w:rsidRPr="00DB3A74">
        <w:rPr>
          <w:rFonts w:eastAsia="Calibri"/>
        </w:rPr>
        <w:t xml:space="preserve"> used many of the assumptions found in the 2026 Needs Assessment with the exception of the updated loads from the </w:t>
      </w:r>
      <w:r w:rsidRPr="00963B61">
        <w:rPr>
          <w:rFonts w:eastAsia="Calibri"/>
          <w:i/>
        </w:rPr>
        <w:t>2019 CELT</w:t>
      </w:r>
      <w:r w:rsidRPr="00DB3A74">
        <w:rPr>
          <w:rFonts w:eastAsia="Calibri"/>
        </w:rPr>
        <w:t xml:space="preserve">, the addition of Vineyard Wind, and the retirement of the Mystic generation. Projects that had not started construction were excluded from the cases. The results of the </w:t>
      </w:r>
      <w:hyperlink r:id="rId252" w:history="1">
        <w:r w:rsidR="00521057">
          <w:rPr>
            <w:rStyle w:val="Hyperlink"/>
            <w:i/>
          </w:rPr>
          <w:t>SEMA/RI 2029 Needs Assessment Update</w:t>
        </w:r>
      </w:hyperlink>
      <w:r w:rsidRPr="00DB3A74">
        <w:rPr>
          <w:rFonts w:eastAsia="Calibri"/>
        </w:rPr>
        <w:t xml:space="preserve"> were presented to PAC in April 2020. Stakeholders requested the assessment update be redone using the </w:t>
      </w:r>
      <w:r w:rsidRPr="00963B61">
        <w:rPr>
          <w:rFonts w:eastAsia="Calibri"/>
          <w:i/>
        </w:rPr>
        <w:t>2020 CELT</w:t>
      </w:r>
      <w:r w:rsidRPr="00DB3A74">
        <w:rPr>
          <w:rFonts w:eastAsia="Calibri"/>
        </w:rPr>
        <w:t xml:space="preserve"> and that additional sensitivities be analyzed to include Cape Cod load peak occurring non-coincidentally with the rest of New England and the impact of the Mayflower Wind and Revolution Wind offshore wind projects. The revised</w:t>
      </w:r>
      <w:r w:rsidR="00521057">
        <w:rPr>
          <w:rFonts w:eastAsia="Calibri"/>
        </w:rPr>
        <w:t xml:space="preserve"> </w:t>
      </w:r>
      <w:r w:rsidR="00521057" w:rsidRPr="00521057">
        <w:rPr>
          <w:rFonts w:eastAsia="Calibri"/>
          <w:i/>
        </w:rPr>
        <w:t>SEMA/RI 2029 Needs Assessment U</w:t>
      </w:r>
      <w:r w:rsidRPr="00521057">
        <w:rPr>
          <w:rFonts w:eastAsia="Calibri"/>
          <w:i/>
        </w:rPr>
        <w:t>pdate</w:t>
      </w:r>
      <w:r w:rsidRPr="00DB3A74">
        <w:rPr>
          <w:rFonts w:eastAsia="Calibri"/>
        </w:rPr>
        <w:t xml:space="preserve"> was </w:t>
      </w:r>
      <w:hyperlink r:id="rId253" w:history="1">
        <w:r w:rsidRPr="00DB3A74">
          <w:rPr>
            <w:rFonts w:eastAsia="Calibri"/>
            <w:color w:val="0645AD"/>
            <w:u w:val="single"/>
          </w:rPr>
          <w:t>presented</w:t>
        </w:r>
      </w:hyperlink>
      <w:r w:rsidRPr="00DB3A74">
        <w:rPr>
          <w:rFonts w:eastAsia="Calibri"/>
        </w:rPr>
        <w:t xml:space="preserve"> to PAC in July 2020</w:t>
      </w:r>
      <w:r w:rsidR="001931D3">
        <w:rPr>
          <w:rFonts w:eastAsia="Calibri"/>
        </w:rPr>
        <w:t xml:space="preserve"> </w:t>
      </w:r>
      <w:r w:rsidRPr="00DB3A74">
        <w:rPr>
          <w:rFonts w:eastAsia="Calibri"/>
        </w:rPr>
        <w:t>and superseded the</w:t>
      </w:r>
      <w:r w:rsidR="00521057">
        <w:rPr>
          <w:rFonts w:eastAsia="Calibri"/>
        </w:rPr>
        <w:t xml:space="preserve"> </w:t>
      </w:r>
      <w:r w:rsidR="00521057" w:rsidRPr="00521057">
        <w:rPr>
          <w:rFonts w:eastAsia="Calibri"/>
          <w:i/>
        </w:rPr>
        <w:t>SEMA/RI 2029 Needs Assessment U</w:t>
      </w:r>
      <w:r w:rsidRPr="00521057">
        <w:rPr>
          <w:rFonts w:eastAsia="Calibri"/>
          <w:i/>
        </w:rPr>
        <w:t>pdate</w:t>
      </w:r>
      <w:r w:rsidRPr="00DB3A74">
        <w:rPr>
          <w:rFonts w:eastAsia="Calibri"/>
        </w:rPr>
        <w:t xml:space="preserve"> effort presented in April 2020. The results showed four solution components from the 2026 Solutions Study were candidates to be canceled. The ISO worked with the affected transmission owners and determined that a new capacitor</w:t>
      </w:r>
      <w:r w:rsidR="00EB222B">
        <w:rPr>
          <w:rFonts w:eastAsia="Calibri"/>
        </w:rPr>
        <w:t xml:space="preserve"> bank</w:t>
      </w:r>
      <w:r w:rsidRPr="00DB3A74">
        <w:rPr>
          <w:rFonts w:eastAsia="Calibri"/>
        </w:rPr>
        <w:t xml:space="preserve">, the reconductoring of two 115 kV lines and </w:t>
      </w:r>
      <w:r w:rsidR="00762332">
        <w:t>the separation of 345 kV double circuit towers w</w:t>
      </w:r>
      <w:r w:rsidR="00D86BEF">
        <w:t>ere</w:t>
      </w:r>
      <w:r w:rsidR="00762332">
        <w:t xml:space="preserve"> cancelled.</w:t>
      </w:r>
      <w:r w:rsidRPr="00DB3A74">
        <w:rPr>
          <w:rFonts w:eastAsia="Calibri"/>
        </w:rPr>
        <w:t xml:space="preserve"> A project for the replacement of a 345/115 kV autotransformer was retained due to the current age of the autotransformer, short-circuit considerations, known asset family history, and the amount spent on the project to date. The results of the determination were </w:t>
      </w:r>
      <w:hyperlink r:id="rId254" w:history="1">
        <w:r w:rsidRPr="00DB3A74">
          <w:rPr>
            <w:rFonts w:eastAsia="Calibri"/>
            <w:color w:val="0645AD"/>
            <w:u w:val="single"/>
          </w:rPr>
          <w:t>presented</w:t>
        </w:r>
      </w:hyperlink>
      <w:r w:rsidRPr="00DB3A74">
        <w:rPr>
          <w:rFonts w:eastAsia="Calibri"/>
        </w:rPr>
        <w:t xml:space="preserve"> to PAC in August 2020 and the revised </w:t>
      </w:r>
      <w:r w:rsidR="00FE394E">
        <w:rPr>
          <w:rFonts w:eastAsia="Calibri"/>
          <w:i/>
        </w:rPr>
        <w:t>SEMA/RI 2029 Needs Assessment U</w:t>
      </w:r>
      <w:r w:rsidRPr="00FE394E">
        <w:rPr>
          <w:rFonts w:eastAsia="Calibri"/>
          <w:i/>
        </w:rPr>
        <w:t>pdate</w:t>
      </w:r>
      <w:r w:rsidRPr="00DB3A74">
        <w:rPr>
          <w:rFonts w:eastAsia="Calibri"/>
        </w:rPr>
        <w:t xml:space="preserve"> </w:t>
      </w:r>
      <w:hyperlink r:id="rId255" w:history="1">
        <w:r w:rsidRPr="0083441B">
          <w:rPr>
            <w:rStyle w:val="Hyperlink"/>
          </w:rPr>
          <w:t>report</w:t>
        </w:r>
      </w:hyperlink>
      <w:r w:rsidRPr="00DB3A74">
        <w:rPr>
          <w:rFonts w:eastAsia="Calibri"/>
        </w:rPr>
        <w:t xml:space="preserve"> was posted in November 2020.</w:t>
      </w:r>
    </w:p>
    <w:p w:rsidR="00DB3A74" w:rsidRPr="00DB3A74" w:rsidRDefault="00DB3A74" w:rsidP="00DB3A74">
      <w:pPr>
        <w:rPr>
          <w:rFonts w:eastAsia="Calibri"/>
        </w:rPr>
      </w:pPr>
      <w:r w:rsidRPr="00DB3A74">
        <w:rPr>
          <w:rFonts w:eastAsia="Calibri"/>
        </w:rPr>
        <w:t>The outcome of the revised</w:t>
      </w:r>
      <w:r w:rsidR="00FE394E">
        <w:rPr>
          <w:rFonts w:eastAsia="Calibri"/>
        </w:rPr>
        <w:t xml:space="preserve"> </w:t>
      </w:r>
      <w:r w:rsidR="00FE394E" w:rsidRPr="00FE394E">
        <w:rPr>
          <w:rFonts w:eastAsia="Calibri"/>
          <w:i/>
        </w:rPr>
        <w:t>SEMA/RI 2029 Needs Assessment U</w:t>
      </w:r>
      <w:r w:rsidRPr="00FE394E">
        <w:rPr>
          <w:rFonts w:eastAsia="Calibri"/>
          <w:i/>
        </w:rPr>
        <w:t>pdate</w:t>
      </w:r>
      <w:r w:rsidRPr="00DB3A74">
        <w:rPr>
          <w:rFonts w:eastAsia="Calibri"/>
        </w:rPr>
        <w:t xml:space="preserve"> showed one N-1 thermal need that was not solved by the 2026 Solutions Study components. This thermal need was observed due to the two-unit, out-of-service generator dispatch assumption used in the 2026 Needs Assessment. Under the current probabilistic generator dispatch assumption, only one generator would be eligible to be taken out of service and the thermal need would no longer be observed.</w:t>
      </w:r>
      <w:r w:rsidRPr="00DB3A74">
        <w:rPr>
          <w:rFonts w:eastAsia="Calibri"/>
          <w:vertAlign w:val="superscript"/>
        </w:rPr>
        <w:footnoteReference w:id="111"/>
      </w:r>
      <w:r w:rsidRPr="00DB3A74">
        <w:rPr>
          <w:rFonts w:eastAsia="Calibri"/>
        </w:rPr>
        <w:t xml:space="preserve"> Since the revised </w:t>
      </w:r>
      <w:r w:rsidRPr="00FE394E">
        <w:rPr>
          <w:rFonts w:eastAsia="Calibri"/>
          <w:i/>
        </w:rPr>
        <w:t>SEMA/RI 2029 Needs Assessment</w:t>
      </w:r>
      <w:r w:rsidRPr="00DB3A74">
        <w:rPr>
          <w:rFonts w:eastAsia="Calibri"/>
        </w:rPr>
        <w:t xml:space="preserve"> </w:t>
      </w:r>
      <w:r w:rsidR="00FE394E">
        <w:rPr>
          <w:rFonts w:eastAsia="Calibri"/>
          <w:i/>
        </w:rPr>
        <w:t>U</w:t>
      </w:r>
      <w:r w:rsidRPr="00FE394E">
        <w:rPr>
          <w:rFonts w:eastAsia="Calibri"/>
          <w:i/>
        </w:rPr>
        <w:t>pdate</w:t>
      </w:r>
      <w:r w:rsidRPr="00DB3A74">
        <w:rPr>
          <w:rFonts w:eastAsia="Calibri"/>
        </w:rPr>
        <w:t xml:space="preserve"> showed no other needs, and that a reassessment of the area would utilize the probabilistic generator dispatch method that would result in less stressed cases, a follow-up to the 2028 Needs Assessment at peak load is not required. </w:t>
      </w:r>
    </w:p>
    <w:p w:rsidR="00DB3A74" w:rsidRPr="00DB3A74" w:rsidRDefault="00DB3A74" w:rsidP="00DB3A74">
      <w:pPr>
        <w:rPr>
          <w:rFonts w:eastAsia="Calibri"/>
        </w:rPr>
      </w:pPr>
      <w:r w:rsidRPr="00DB3A74">
        <w:rPr>
          <w:rFonts w:eastAsia="Calibri"/>
        </w:rPr>
        <w:t xml:space="preserve">In late 2016, a SEMA/RI minimum-load Needs Assessment began to evaluate the reliability performance and identify reliability-based transmission needs in the SEMA/RI study area under minimum-load conditions. The </w:t>
      </w:r>
      <w:hyperlink r:id="rId256" w:history="1">
        <w:r w:rsidRPr="00FE394E">
          <w:rPr>
            <w:rStyle w:val="Hyperlink"/>
            <w:i/>
          </w:rPr>
          <w:t>SEMA/RI Minimum-Load Needs Assessment</w:t>
        </w:r>
      </w:hyperlink>
      <w:r w:rsidRPr="00DB3A74">
        <w:rPr>
          <w:rFonts w:eastAsia="Calibri"/>
        </w:rPr>
        <w:t xml:space="preserve"> was posted in August 2017. High-voltage </w:t>
      </w:r>
      <w:r w:rsidR="00EB222B">
        <w:rPr>
          <w:rFonts w:eastAsia="Calibri"/>
        </w:rPr>
        <w:t>issues</w:t>
      </w:r>
      <w:r w:rsidR="00EB222B" w:rsidRPr="00DB3A74">
        <w:rPr>
          <w:rFonts w:eastAsia="Calibri"/>
        </w:rPr>
        <w:t xml:space="preserve"> </w:t>
      </w:r>
      <w:r w:rsidRPr="00DB3A74">
        <w:rPr>
          <w:rFonts w:eastAsia="Calibri"/>
        </w:rPr>
        <w:t xml:space="preserve">were identified under N-1 and N-1-1 contingencies in the Cape Cod area. The needs were determined to be time sensitive because </w:t>
      </w:r>
      <w:r w:rsidR="00EB222B">
        <w:rPr>
          <w:rFonts w:eastAsia="Calibri"/>
        </w:rPr>
        <w:t xml:space="preserve">they </w:t>
      </w:r>
      <w:r w:rsidRPr="00DB3A74">
        <w:rPr>
          <w:rFonts w:eastAsia="Calibri"/>
        </w:rPr>
        <w:t>were the result of the minimum-load assessment and can occur under current system conditions.</w:t>
      </w:r>
      <w:r w:rsidRPr="00DB3A74">
        <w:rPr>
          <w:rFonts w:eastAsia="Calibri"/>
          <w:vertAlign w:val="superscript"/>
        </w:rPr>
        <w:t xml:space="preserve"> </w:t>
      </w:r>
    </w:p>
    <w:p w:rsidR="00DB3A74" w:rsidRPr="00DB3A74" w:rsidRDefault="00DB3A74" w:rsidP="00DB3A74">
      <w:pPr>
        <w:rPr>
          <w:rFonts w:eastAsia="Calibri"/>
        </w:rPr>
      </w:pPr>
      <w:r w:rsidRPr="00DB3A74">
        <w:rPr>
          <w:rFonts w:eastAsia="Calibri"/>
        </w:rPr>
        <w:t xml:space="preserve">The </w:t>
      </w:r>
      <w:hyperlink r:id="rId257" w:history="1">
        <w:r w:rsidR="008D35DE">
          <w:rPr>
            <w:rStyle w:val="Hyperlink"/>
          </w:rPr>
          <w:t>SEMA/RI 2026 Minimum-load Solutions Study</w:t>
        </w:r>
      </w:hyperlink>
      <w:r w:rsidRPr="00DB3A74">
        <w:rPr>
          <w:rFonts w:eastAsia="Calibri"/>
        </w:rPr>
        <w:t xml:space="preserve"> began in September 2017. Since that time, the minimum-load level evaluated in New England was decreased from 8,500 MW to 8,000 MW. The Solutions Study was delayed due to the number of offshore wind interconnection designs </w:t>
      </w:r>
      <w:r w:rsidR="00EB222B" w:rsidRPr="00DB3A74">
        <w:rPr>
          <w:rFonts w:eastAsia="Calibri"/>
        </w:rPr>
        <w:t xml:space="preserve">that </w:t>
      </w:r>
      <w:r w:rsidR="00EB222B">
        <w:rPr>
          <w:rFonts w:eastAsia="Calibri"/>
        </w:rPr>
        <w:t xml:space="preserve">were </w:t>
      </w:r>
      <w:r w:rsidR="00EB222B" w:rsidRPr="00DB3A74">
        <w:rPr>
          <w:rFonts w:eastAsia="Calibri"/>
        </w:rPr>
        <w:t xml:space="preserve">still </w:t>
      </w:r>
      <w:r w:rsidR="00EB222B">
        <w:rPr>
          <w:rFonts w:eastAsia="Calibri"/>
        </w:rPr>
        <w:t>under</w:t>
      </w:r>
      <w:r w:rsidR="00EB222B" w:rsidRPr="00DB3A74">
        <w:rPr>
          <w:rFonts w:eastAsia="Calibri"/>
        </w:rPr>
        <w:t xml:space="preserve"> develop</w:t>
      </w:r>
      <w:r w:rsidR="00EB222B">
        <w:rPr>
          <w:rFonts w:eastAsia="Calibri"/>
        </w:rPr>
        <w:t>ment</w:t>
      </w:r>
      <w:r w:rsidR="00EB222B" w:rsidRPr="00DB3A74">
        <w:rPr>
          <w:rFonts w:eastAsia="Calibri"/>
        </w:rPr>
        <w:t>.</w:t>
      </w:r>
      <w:r w:rsidRPr="00DB3A74">
        <w:rPr>
          <w:rFonts w:eastAsia="Calibri"/>
        </w:rPr>
        <w:t xml:space="preserve"> A</w:t>
      </w:r>
      <w:r w:rsidR="00FE394E">
        <w:rPr>
          <w:rFonts w:eastAsia="Calibri"/>
        </w:rPr>
        <w:t xml:space="preserve"> new</w:t>
      </w:r>
      <w:r w:rsidRPr="00DB3A74">
        <w:rPr>
          <w:rFonts w:eastAsia="Calibri"/>
        </w:rPr>
        <w:t xml:space="preserve"> </w:t>
      </w:r>
      <w:hyperlink r:id="rId258" w:history="1">
        <w:r w:rsidR="00FE394E" w:rsidRPr="00FE394E">
          <w:rPr>
            <w:rStyle w:val="Hyperlink"/>
            <w:i/>
          </w:rPr>
          <w:t>SEMA/RI 2030 Minimum-Load Needs Assessment</w:t>
        </w:r>
      </w:hyperlink>
      <w:r w:rsidRPr="00DB3A74">
        <w:rPr>
          <w:rFonts w:eastAsia="Calibri"/>
        </w:rPr>
        <w:t xml:space="preserve"> was started in March 2021 since several offshore wind projects have gained binding contract</w:t>
      </w:r>
      <w:r w:rsidR="00BF34DC">
        <w:rPr>
          <w:rFonts w:eastAsia="Calibri"/>
        </w:rPr>
        <w:t>s</w:t>
      </w:r>
      <w:r w:rsidRPr="00DB3A74">
        <w:rPr>
          <w:rFonts w:eastAsia="Calibri"/>
        </w:rPr>
        <w:t xml:space="preserve"> through state-sponsored RFPs and there is certainty in their interconnection designs.</w:t>
      </w:r>
      <w:r w:rsidRPr="00DB3A74">
        <w:rPr>
          <w:rFonts w:eastAsia="Calibri"/>
          <w:vertAlign w:val="superscript"/>
        </w:rPr>
        <w:footnoteReference w:id="112"/>
      </w:r>
      <w:r w:rsidRPr="00DB3A74">
        <w:rPr>
          <w:rFonts w:eastAsia="Calibri"/>
        </w:rPr>
        <w:t xml:space="preserve"> It is anticipated that the results of the minimum load needs assessment will be shared with the PAC by the end of 2021.</w:t>
      </w:r>
    </w:p>
    <w:p w:rsidR="00DB3A74" w:rsidRPr="00DB3A74" w:rsidRDefault="00DB3A74" w:rsidP="00655272">
      <w:pPr>
        <w:pStyle w:val="Heading3"/>
        <w:rPr>
          <w:rFonts w:eastAsia="Times New Roman"/>
        </w:rPr>
      </w:pPr>
      <w:bookmarkStart w:id="633" w:name="_Toc490323050"/>
      <w:bookmarkStart w:id="634" w:name="_Ref485733829"/>
      <w:bookmarkStart w:id="635" w:name="_Toc81544561"/>
      <w:r w:rsidRPr="00DB3A74">
        <w:rPr>
          <w:rFonts w:eastAsia="Times New Roman"/>
        </w:rPr>
        <w:t>Maine Key Study Area</w:t>
      </w:r>
      <w:bookmarkEnd w:id="633"/>
      <w:bookmarkEnd w:id="634"/>
      <w:bookmarkEnd w:id="635"/>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The </w:t>
      </w:r>
      <w:hyperlink r:id="rId259" w:history="1">
        <w:r w:rsidRPr="0083441B">
          <w:rPr>
            <w:rStyle w:val="Hyperlink"/>
          </w:rPr>
          <w:t>Maine Key Study Area</w:t>
        </w:r>
      </w:hyperlink>
      <w:r w:rsidRPr="00DB3A74">
        <w:rPr>
          <w:rFonts w:eastAsia="Calibri"/>
        </w:rPr>
        <w:t xml:space="preserve"> examines the entire state of Maine. The most recent study cycle for Maine began in June 2019. When this study began, the </w:t>
      </w:r>
      <w:hyperlink r:id="rId260" w:history="1">
        <w:r w:rsidRPr="0083441B">
          <w:rPr>
            <w:rStyle w:val="Hyperlink"/>
          </w:rPr>
          <w:t>New England Clean Energy Connect</w:t>
        </w:r>
      </w:hyperlink>
      <w:r w:rsidRPr="00DB3A74">
        <w:rPr>
          <w:rFonts w:eastAsia="Calibri"/>
        </w:rPr>
        <w:t xml:space="preserve"> (NECEC) HVDC project had met the threshold for inclusion in needs assessments, but the exact system upgrades required for it to interconnect had not yet been determined. To avoid further delays in Maine studies, the key study area was split into two halves: Upper Maine and Lower Maine. Upper Maine, roughly defined as the area north of the Coopers Mills substation, was distant enough from NECEC’s point of interconnection that study work could proceed despite its required system upgrades having not yet been determined. The </w:t>
      </w:r>
      <w:hyperlink r:id="rId261" w:history="1">
        <w:r w:rsidRPr="00FE394E">
          <w:rPr>
            <w:rStyle w:val="Hyperlink"/>
            <w:i/>
          </w:rPr>
          <w:t>Upper Maine Needs Assessment</w:t>
        </w:r>
      </w:hyperlink>
      <w:r w:rsidRPr="00DB3A74">
        <w:rPr>
          <w:rFonts w:eastAsia="Calibri"/>
        </w:rPr>
        <w:t xml:space="preserve"> commenced in June 2019. The final needs assessment </w:t>
      </w:r>
      <w:hyperlink r:id="rId262" w:history="1">
        <w:r w:rsidRPr="0083441B">
          <w:rPr>
            <w:rStyle w:val="Hyperlink"/>
          </w:rPr>
          <w:t>report</w:t>
        </w:r>
      </w:hyperlink>
      <w:r w:rsidRPr="00DB3A74">
        <w:rPr>
          <w:rFonts w:eastAsia="Calibri"/>
        </w:rPr>
        <w:t xml:space="preserve"> for Upper Maine was subsequently posted in March 2020.</w:t>
      </w:r>
      <w:r w:rsidRPr="00DB3A74">
        <w:rPr>
          <w:rFonts w:eastAsia="Calibri"/>
          <w:vertAlign w:val="superscript"/>
        </w:rPr>
        <w:t xml:space="preserve"> </w:t>
      </w:r>
      <w:r w:rsidRPr="00DB3A74">
        <w:rPr>
          <w:rFonts w:eastAsia="Calibri"/>
        </w:rPr>
        <w:t xml:space="preserve">The Upper Maine 2029 needs assessment identified a number of N-1 and N-1-1 thermal and voltage violations, both under peak- and minimum-load conditions. With the exception of a single N-1 thermal violation, all of the identified needs were deemed time-sensitive. A solutions study to address these needs was conducted in 2020 and 2021. The solutions study identified preferred solutions that include rebuilding one 115 kV line in order to achieve higher capacity and several devices to produce reactive power and maintain acceptable voltage. These preferred solutions were </w:t>
      </w:r>
      <w:hyperlink r:id="rId263" w:history="1">
        <w:r w:rsidRPr="00DB3A74">
          <w:rPr>
            <w:rFonts w:eastAsia="Calibri"/>
            <w:color w:val="0645AD"/>
            <w:u w:val="single"/>
          </w:rPr>
          <w:t>presented</w:t>
        </w:r>
      </w:hyperlink>
      <w:r w:rsidRPr="00DB3A74">
        <w:rPr>
          <w:rFonts w:eastAsia="Calibri"/>
        </w:rPr>
        <w:t xml:space="preserve"> to the ISO Planning Advisory Committee (PAC) in February 2021. The final </w:t>
      </w:r>
      <w:hyperlink r:id="rId264" w:history="1">
        <w:r w:rsidRPr="0083441B">
          <w:rPr>
            <w:rStyle w:val="Hyperlink"/>
            <w:i/>
          </w:rPr>
          <w:t>Upper Maine (UME) Solutions Study</w:t>
        </w:r>
      </w:hyperlink>
      <w:r w:rsidRPr="00DB3A74">
        <w:rPr>
          <w:rFonts w:eastAsia="Calibri"/>
        </w:rPr>
        <w:t xml:space="preserve"> was finalized in June 2021. The final solution was modified from that presented in February to replace the two proposed STATCOMs with two synchronous condensers to provide dynamic voltage support.</w:t>
      </w:r>
    </w:p>
    <w:p w:rsidR="00DB3A74" w:rsidRPr="00DB3A74" w:rsidRDefault="00DB3A74" w:rsidP="00DB3A74">
      <w:pPr>
        <w:rPr>
          <w:rFonts w:eastAsia="Calibri"/>
        </w:rPr>
      </w:pPr>
      <w:r w:rsidRPr="00DB3A74">
        <w:rPr>
          <w:rFonts w:eastAsia="Calibri"/>
        </w:rPr>
        <w:t xml:space="preserve">The study process for lower Maine was not able to proceed until the required system upgrades for the New England Clean Energy Connect project had been fully developed. As a result, the commencement of this </w:t>
      </w:r>
      <w:hyperlink r:id="rId265" w:history="1">
        <w:r w:rsidRPr="0083441B">
          <w:rPr>
            <w:rStyle w:val="Hyperlink"/>
          </w:rPr>
          <w:t>study</w:t>
        </w:r>
      </w:hyperlink>
      <w:r w:rsidRPr="00DB3A74">
        <w:rPr>
          <w:rFonts w:eastAsia="Calibri"/>
        </w:rPr>
        <w:t xml:space="preserve"> was delayed until September 2020. Since this study did not begin until 2020, it examined a study year of 2030, and incorporated assumptions based on the </w:t>
      </w:r>
      <w:r w:rsidRPr="00963B61">
        <w:rPr>
          <w:rFonts w:eastAsia="Calibri"/>
          <w:i/>
        </w:rPr>
        <w:t xml:space="preserve">2020 </w:t>
      </w:r>
      <w:hyperlink r:id="rId266" w:history="1">
        <w:r w:rsidRPr="00963B61">
          <w:rPr>
            <w:rStyle w:val="Hyperlink"/>
            <w:i/>
          </w:rPr>
          <w:t>CELT Report</w:t>
        </w:r>
      </w:hyperlink>
      <w:r w:rsidRPr="00DB3A74">
        <w:rPr>
          <w:rFonts w:eastAsia="Calibri"/>
        </w:rPr>
        <w:t xml:space="preserve"> and FCA 14 results. This </w:t>
      </w:r>
      <w:hyperlink r:id="rId267" w:history="1">
        <w:r w:rsidRPr="0083441B">
          <w:rPr>
            <w:rStyle w:val="Hyperlink"/>
          </w:rPr>
          <w:t>needs assessment</w:t>
        </w:r>
      </w:hyperlink>
      <w:r w:rsidRPr="00DB3A74">
        <w:rPr>
          <w:rFonts w:eastAsia="Calibri"/>
        </w:rPr>
        <w:t xml:space="preserve"> did not identify any needs to be addressed through the regional planning process.</w:t>
      </w:r>
      <w:r w:rsidRPr="00DB3A74">
        <w:rPr>
          <w:rFonts w:eastAsia="Calibri"/>
          <w:vertAlign w:val="superscript"/>
        </w:rPr>
        <w:t xml:space="preserve"> </w:t>
      </w:r>
      <w:r w:rsidRPr="00DB3A74">
        <w:rPr>
          <w:rFonts w:eastAsia="Calibri"/>
        </w:rPr>
        <w:t xml:space="preserve">The final </w:t>
      </w:r>
      <w:hyperlink r:id="rId268" w:history="1">
        <w:r w:rsidRPr="00FE394E">
          <w:rPr>
            <w:rStyle w:val="Hyperlink"/>
            <w:i/>
          </w:rPr>
          <w:t>Lower Maine 2030 Needs</w:t>
        </w:r>
        <w:r w:rsidR="0083441B" w:rsidRPr="00FE394E">
          <w:rPr>
            <w:rStyle w:val="Hyperlink"/>
            <w:i/>
          </w:rPr>
          <w:t xml:space="preserve"> </w:t>
        </w:r>
        <w:r w:rsidRPr="00FE394E">
          <w:rPr>
            <w:rStyle w:val="Hyperlink"/>
            <w:i/>
          </w:rPr>
          <w:t>Assessment</w:t>
        </w:r>
        <w:r w:rsidRPr="00DB3A74">
          <w:rPr>
            <w:rFonts w:eastAsia="Calibri"/>
            <w:color w:val="0645AD"/>
            <w:u w:val="single"/>
          </w:rPr>
          <w:t xml:space="preserve"> </w:t>
        </w:r>
      </w:hyperlink>
      <w:r w:rsidRPr="00DB3A74">
        <w:rPr>
          <w:rFonts w:eastAsia="Calibri"/>
        </w:rPr>
        <w:t>was published in May 2021.</w:t>
      </w:r>
    </w:p>
    <w:p w:rsidR="00DB3A74" w:rsidRPr="00DB3A74" w:rsidRDefault="00DB3A74" w:rsidP="00655272">
      <w:pPr>
        <w:pStyle w:val="Heading3"/>
        <w:rPr>
          <w:rFonts w:eastAsia="Calibri"/>
        </w:rPr>
      </w:pPr>
      <w:bookmarkStart w:id="636" w:name="_Toc490323051"/>
      <w:bookmarkStart w:id="637" w:name="_Ref485733820"/>
      <w:bookmarkStart w:id="638" w:name="_Toc81544562"/>
      <w:r w:rsidRPr="00DB3A74">
        <w:rPr>
          <w:rFonts w:eastAsia="Times New Roman"/>
        </w:rPr>
        <w:t>New Hampshire and Vermont Key Study</w:t>
      </w:r>
      <w:r w:rsidR="00DF213A">
        <w:rPr>
          <w:rFonts w:eastAsia="Times New Roman"/>
        </w:rPr>
        <w:t> </w:t>
      </w:r>
      <w:r w:rsidRPr="00DB3A74">
        <w:rPr>
          <w:rFonts w:eastAsia="Times New Roman"/>
        </w:rPr>
        <w:t>Area</w:t>
      </w:r>
      <w:bookmarkEnd w:id="636"/>
      <w:bookmarkEnd w:id="637"/>
      <w:bookmarkEnd w:id="638"/>
    </w:p>
    <w:p w:rsidR="00DB3A74" w:rsidRPr="00DB3A74" w:rsidRDefault="00DB3A74" w:rsidP="00DB3A74">
      <w:pPr>
        <w:rPr>
          <w:rFonts w:eastAsia="Calibri"/>
        </w:rPr>
      </w:pPr>
      <w:r w:rsidRPr="00DB3A74">
        <w:rPr>
          <w:rFonts w:eastAsia="Calibri"/>
        </w:rPr>
        <w:t xml:space="preserve">The </w:t>
      </w:r>
      <w:hyperlink r:id="rId269" w:history="1">
        <w:r w:rsidRPr="0083441B">
          <w:rPr>
            <w:rStyle w:val="Hyperlink"/>
          </w:rPr>
          <w:t>New Hampshire and Vermont (NH/VT) Key Study Area</w:t>
        </w:r>
      </w:hyperlink>
      <w:r w:rsidRPr="00DB3A74">
        <w:rPr>
          <w:rFonts w:eastAsia="Calibri"/>
        </w:rPr>
        <w:t xml:space="preserve"> includes the states of New Hampshire and Vermont. A previous study effort for this area led to the New Hampshire/Vermont 2020 Upgrades, the last of which was placed in service in May 2020. Subsequent study efforts examined target years of 2023 and 2027, but both were suspended before completion due to significant changes in study assumptions. </w:t>
      </w:r>
    </w:p>
    <w:p w:rsidR="00DB3A74" w:rsidRPr="00DB3A74" w:rsidRDefault="00DB3A74" w:rsidP="00DB3A74">
      <w:pPr>
        <w:rPr>
          <w:rFonts w:eastAsia="Calibri"/>
        </w:rPr>
      </w:pPr>
      <w:r w:rsidRPr="00DB3A74">
        <w:rPr>
          <w:rFonts w:eastAsia="Calibri"/>
        </w:rPr>
        <w:t xml:space="preserve">The most recent study cycle for New Hampshire began in May 2019 with the </w:t>
      </w:r>
      <w:hyperlink r:id="rId270" w:history="1">
        <w:r w:rsidRPr="0083441B">
          <w:rPr>
            <w:rStyle w:val="Hyperlink"/>
          </w:rPr>
          <w:t>posting of a notice of initiation</w:t>
        </w:r>
      </w:hyperlink>
      <w:r w:rsidRPr="00DB3A74">
        <w:rPr>
          <w:rFonts w:eastAsia="Calibri"/>
        </w:rPr>
        <w:t xml:space="preserve"> for the </w:t>
      </w:r>
      <w:r w:rsidRPr="00FE394E">
        <w:rPr>
          <w:rFonts w:eastAsia="Calibri"/>
          <w:i/>
        </w:rPr>
        <w:t>New Hampshire 2029 Needs Assessment</w:t>
      </w:r>
      <w:r w:rsidRPr="00DB3A74">
        <w:rPr>
          <w:rFonts w:eastAsia="Calibri"/>
        </w:rPr>
        <w:t>. This</w:t>
      </w:r>
      <w:r w:rsidR="00EB222B">
        <w:rPr>
          <w:rFonts w:eastAsia="Calibri"/>
        </w:rPr>
        <w:t xml:space="preserve"> </w:t>
      </w:r>
      <w:hyperlink r:id="rId271" w:history="1">
        <w:r w:rsidRPr="0083441B">
          <w:rPr>
            <w:rStyle w:val="Hyperlink"/>
          </w:rPr>
          <w:t>needs assessment</w:t>
        </w:r>
      </w:hyperlink>
      <w:r w:rsidRPr="00DB3A74">
        <w:rPr>
          <w:rFonts w:eastAsia="Calibri"/>
        </w:rPr>
        <w:t xml:space="preserve"> was completed in December 2019</w:t>
      </w:r>
      <w:r w:rsidR="00724C88">
        <w:rPr>
          <w:rFonts w:eastAsia="Calibri"/>
        </w:rPr>
        <w:t xml:space="preserve"> </w:t>
      </w:r>
      <w:r w:rsidRPr="00DB3A74">
        <w:rPr>
          <w:rFonts w:eastAsia="Calibri"/>
        </w:rPr>
        <w:t xml:space="preserve">and identified a number of time-sensitive </w:t>
      </w:r>
      <w:r w:rsidR="00EB222B">
        <w:rPr>
          <w:rFonts w:eastAsia="Calibri"/>
        </w:rPr>
        <w:t>issues</w:t>
      </w:r>
      <w:r w:rsidR="00EB222B" w:rsidRPr="00DB3A74">
        <w:rPr>
          <w:rFonts w:eastAsia="Calibri"/>
        </w:rPr>
        <w:t xml:space="preserve"> </w:t>
      </w:r>
      <w:r w:rsidRPr="00DB3A74">
        <w:rPr>
          <w:rFonts w:eastAsia="Calibri"/>
        </w:rPr>
        <w:t xml:space="preserve">related to N-1-1 voltage violations. The needs were categorized into three broad sub-areas of New Hampshire: Western New Hampshire (centered roughly on the Keene substation), Central New Hampshire (consisting of the 115 kV system bounded by the Webster, Whitefield, and Saco Valley substations), and Southern New Hampshire (violations on the 345 kV system between the Fitzwilliam and Seabrook substations). </w:t>
      </w:r>
    </w:p>
    <w:p w:rsidR="00DB3A74" w:rsidRPr="00DB3A74" w:rsidRDefault="00DB3A74" w:rsidP="00DB3A74">
      <w:pPr>
        <w:rPr>
          <w:rFonts w:eastAsia="Calibri"/>
        </w:rPr>
      </w:pPr>
      <w:r w:rsidRPr="00DB3A74">
        <w:rPr>
          <w:rFonts w:eastAsia="Calibri"/>
        </w:rPr>
        <w:t xml:space="preserve">The needs identified by the </w:t>
      </w:r>
      <w:r w:rsidRPr="00FE394E">
        <w:rPr>
          <w:rFonts w:eastAsia="Calibri"/>
          <w:i/>
        </w:rPr>
        <w:t>New Hampshire 2029 Needs Assessment</w:t>
      </w:r>
      <w:r w:rsidRPr="00DB3A74">
        <w:rPr>
          <w:rFonts w:eastAsia="Calibri"/>
        </w:rPr>
        <w:t xml:space="preserve"> were addressed in a </w:t>
      </w:r>
      <w:hyperlink r:id="rId272" w:history="1">
        <w:r w:rsidRPr="0083441B">
          <w:rPr>
            <w:rStyle w:val="Hyperlink"/>
          </w:rPr>
          <w:t>Solutions Study</w:t>
        </w:r>
      </w:hyperlink>
      <w:r w:rsidR="004F2A2D">
        <w:rPr>
          <w:rFonts w:eastAsia="Calibri"/>
        </w:rPr>
        <w:t xml:space="preserve">, </w:t>
      </w:r>
      <w:r w:rsidRPr="00DB3A74">
        <w:rPr>
          <w:rFonts w:eastAsia="Calibri"/>
        </w:rPr>
        <w:t xml:space="preserve">which began in December 2019. Preliminary preferred solutions were presented for the </w:t>
      </w:r>
      <w:hyperlink r:id="rId273" w:history="1">
        <w:r w:rsidRPr="0083441B">
          <w:rPr>
            <w:rStyle w:val="Hyperlink"/>
          </w:rPr>
          <w:t>Western and Central New Hampshire sub-areas</w:t>
        </w:r>
      </w:hyperlink>
      <w:r w:rsidRPr="00DB3A74">
        <w:rPr>
          <w:rFonts w:eastAsia="Calibri"/>
        </w:rPr>
        <w:t xml:space="preserve"> in February 2021, and for the </w:t>
      </w:r>
      <w:hyperlink r:id="rId274" w:history="1">
        <w:r w:rsidRPr="0083441B">
          <w:rPr>
            <w:rStyle w:val="Hyperlink"/>
          </w:rPr>
          <w:t>Southern New Hampshire sub-area</w:t>
        </w:r>
      </w:hyperlink>
      <w:r w:rsidRPr="00DB3A74">
        <w:rPr>
          <w:rFonts w:eastAsia="Calibri"/>
        </w:rPr>
        <w:t xml:space="preserve"> in April 2021. In all three of these sub-areas, synchronous condensers were chosen as the preliminary preferred solution to maintain voltage within criteria. Additionally, the Southern New Hampshire sub-area includes the addition of two shunt capacitors in order to avoid low-voltage criteria violations. The final </w:t>
      </w:r>
      <w:hyperlink r:id="rId275" w:history="1">
        <w:r w:rsidRPr="008D35DE">
          <w:rPr>
            <w:rStyle w:val="Hyperlink"/>
            <w:i/>
          </w:rPr>
          <w:t>New Hampshire 2029 Solutions Study</w:t>
        </w:r>
        <w:r w:rsidRPr="00DB3A74">
          <w:rPr>
            <w:rFonts w:eastAsia="Calibri"/>
            <w:color w:val="0645AD"/>
            <w:u w:val="single"/>
          </w:rPr>
          <w:t xml:space="preserve"> </w:t>
        </w:r>
      </w:hyperlink>
      <w:r w:rsidRPr="00DB3A74">
        <w:rPr>
          <w:rFonts w:eastAsia="Calibri"/>
        </w:rPr>
        <w:t xml:space="preserve">report was published in May 2021.  </w:t>
      </w:r>
    </w:p>
    <w:p w:rsidR="00DB3A74" w:rsidRPr="00DB3A74" w:rsidRDefault="00DB3A74" w:rsidP="00655272">
      <w:pPr>
        <w:pStyle w:val="Heading3"/>
        <w:rPr>
          <w:rFonts w:eastAsia="Times New Roman"/>
        </w:rPr>
      </w:pPr>
      <w:bookmarkStart w:id="639" w:name="_Toc490323052"/>
      <w:bookmarkStart w:id="640" w:name="_Ref486322140"/>
      <w:bookmarkStart w:id="641" w:name="_Toc81544563"/>
      <w:r w:rsidRPr="00DB3A74">
        <w:rPr>
          <w:rFonts w:eastAsia="Times New Roman"/>
        </w:rPr>
        <w:t>Eastern Connecticut Key Study Area</w:t>
      </w:r>
      <w:bookmarkEnd w:id="639"/>
      <w:bookmarkEnd w:id="640"/>
      <w:bookmarkEnd w:id="641"/>
    </w:p>
    <w:p w:rsidR="00DB3A74" w:rsidRPr="00DB3A74" w:rsidRDefault="00DB3A74" w:rsidP="00DB3A74">
      <w:pPr>
        <w:rPr>
          <w:rFonts w:eastAsia="Calibri"/>
        </w:rPr>
      </w:pPr>
      <w:r w:rsidRPr="00DB3A74">
        <w:rPr>
          <w:rFonts w:eastAsia="Calibri"/>
        </w:rPr>
        <w:t xml:space="preserve">The </w:t>
      </w:r>
      <w:hyperlink r:id="rId276" w:history="1">
        <w:r w:rsidRPr="0083441B">
          <w:rPr>
            <w:rStyle w:val="Hyperlink"/>
          </w:rPr>
          <w:t>Eastern Connecticut (ECT) Key Study Area</w:t>
        </w:r>
      </w:hyperlink>
      <w:r w:rsidRPr="00DB3A74">
        <w:rPr>
          <w:rFonts w:eastAsia="Calibri"/>
        </w:rPr>
        <w:t xml:space="preserve"> is the area in the eastern part of Connecticut not covered by the SWCT or GHCC studies. The ECT study area is located outside the western Connecticut import interface and inside the Connecticut import/export interface. The study area also borders part of the New England east–west and west–east interfaces</w:t>
      </w:r>
      <w:r w:rsidR="00BF34DC">
        <w:rPr>
          <w:rFonts w:eastAsia="Calibri"/>
        </w:rPr>
        <w:t>,</w:t>
      </w:r>
      <w:r w:rsidRPr="00DB3A74">
        <w:rPr>
          <w:rFonts w:eastAsia="Calibri"/>
        </w:rPr>
        <w:t xml:space="preserve"> mainly along the Rhode Island border. </w:t>
      </w:r>
    </w:p>
    <w:p w:rsidR="00DB3A74" w:rsidRPr="00DB3A74" w:rsidRDefault="00DB3A74" w:rsidP="00DB3A74">
      <w:pPr>
        <w:rPr>
          <w:rFonts w:eastAsia="Calibri"/>
        </w:rPr>
      </w:pPr>
      <w:r w:rsidRPr="00DB3A74">
        <w:rPr>
          <w:rFonts w:eastAsia="Calibri"/>
        </w:rPr>
        <w:t xml:space="preserve">The ECT study area is a large load pocket served from the Killingly, Card, and Montville </w:t>
      </w:r>
      <w:r w:rsidR="00724C88">
        <w:rPr>
          <w:rFonts w:eastAsia="Calibri"/>
        </w:rPr>
        <w:t>sub</w:t>
      </w:r>
      <w:r w:rsidRPr="00DB3A74">
        <w:rPr>
          <w:rFonts w:eastAsia="Calibri"/>
        </w:rPr>
        <w:t xml:space="preserve">stations, and a 115 kV line from Rhode Island. A </w:t>
      </w:r>
      <w:hyperlink r:id="rId277" w:history="1">
        <w:r w:rsidRPr="0083441B">
          <w:rPr>
            <w:rStyle w:val="Hyperlink"/>
          </w:rPr>
          <w:t>needs assessment</w:t>
        </w:r>
      </w:hyperlink>
      <w:r w:rsidRPr="00DB3A74">
        <w:rPr>
          <w:rFonts w:eastAsia="Calibri"/>
        </w:rPr>
        <w:t xml:space="preserve"> with a study horizon of 2022 was completed in June 2015 and a needs assessment with a study year of 2027 was completed in May 2018.</w:t>
      </w:r>
      <w:r w:rsidRPr="00DB3A74">
        <w:rPr>
          <w:rFonts w:eastAsia="Calibri"/>
          <w:vertAlign w:val="superscript"/>
        </w:rPr>
        <w:footnoteReference w:id="113"/>
      </w:r>
      <w:r w:rsidRPr="00DB3A74">
        <w:rPr>
          <w:rFonts w:eastAsia="Calibri"/>
        </w:rPr>
        <w:t xml:space="preserve"> The 2022 Needs Assessment was superseded by the 2027 Needs Assessment due to changes in the study assumptions, inputs, and processes.   </w:t>
      </w:r>
    </w:p>
    <w:p w:rsidR="00DB3A74" w:rsidRPr="00DB3A74" w:rsidRDefault="00DB3A74" w:rsidP="00DB3A74">
      <w:pPr>
        <w:rPr>
          <w:rFonts w:eastAsia="Calibri"/>
        </w:rPr>
      </w:pPr>
      <w:r w:rsidRPr="00DB3A74">
        <w:rPr>
          <w:rFonts w:eastAsia="Calibri"/>
        </w:rPr>
        <w:t xml:space="preserve">The </w:t>
      </w:r>
      <w:hyperlink r:id="rId278" w:history="1">
        <w:r w:rsidRPr="008D35DE">
          <w:rPr>
            <w:rStyle w:val="Hyperlink"/>
            <w:i/>
          </w:rPr>
          <w:t>ECT 2027 Solutions Study</w:t>
        </w:r>
      </w:hyperlink>
      <w:r w:rsidRPr="00DB3A74">
        <w:rPr>
          <w:rFonts w:eastAsia="Calibri"/>
        </w:rPr>
        <w:t xml:space="preserve"> began in June 2018. The </w:t>
      </w:r>
      <w:r w:rsidRPr="008D35DE">
        <w:rPr>
          <w:rFonts w:eastAsia="Calibri"/>
          <w:i/>
        </w:rPr>
        <w:t>2027 ECT Solutions Study</w:t>
      </w:r>
      <w:r w:rsidRPr="00DB3A74">
        <w:rPr>
          <w:rFonts w:eastAsia="Calibri"/>
        </w:rPr>
        <w:t xml:space="preserve"> was near completion when the effort was suspended in February 2019 due to the changes in the load, EE, and PV forecasts. The draft 2019 forecasts were used to update the models and study files to form an updated </w:t>
      </w:r>
      <w:r w:rsidRPr="00FE394E">
        <w:rPr>
          <w:rFonts w:eastAsia="Calibri"/>
          <w:i/>
        </w:rPr>
        <w:t>ECT 2029 Needs Assessment</w:t>
      </w:r>
      <w:r w:rsidRPr="00DB3A74">
        <w:rPr>
          <w:rFonts w:eastAsia="Calibri"/>
        </w:rPr>
        <w:t xml:space="preserve">. The changes made between the new </w:t>
      </w:r>
      <w:r w:rsidRPr="00FE394E">
        <w:rPr>
          <w:rFonts w:eastAsia="Calibri"/>
          <w:i/>
        </w:rPr>
        <w:t>ECT 2029 Needs Assessment</w:t>
      </w:r>
      <w:r w:rsidRPr="00DB3A74">
        <w:rPr>
          <w:rFonts w:eastAsia="Calibri"/>
        </w:rPr>
        <w:t xml:space="preserve"> and the past </w:t>
      </w:r>
      <w:r w:rsidRPr="00FE394E">
        <w:rPr>
          <w:rFonts w:eastAsia="Calibri"/>
          <w:i/>
        </w:rPr>
        <w:t>ECT 2027 Needs Assessment</w:t>
      </w:r>
      <w:r w:rsidRPr="00DB3A74">
        <w:rPr>
          <w:rFonts w:eastAsia="Calibri"/>
        </w:rPr>
        <w:t xml:space="preserve"> were </w:t>
      </w:r>
      <w:hyperlink r:id="rId279" w:history="1">
        <w:r w:rsidRPr="00DB3A74">
          <w:rPr>
            <w:rFonts w:eastAsia="Calibri"/>
            <w:color w:val="0645AD"/>
            <w:u w:val="single"/>
          </w:rPr>
          <w:t>presented</w:t>
        </w:r>
      </w:hyperlink>
      <w:r w:rsidRPr="00DB3A74">
        <w:rPr>
          <w:rFonts w:eastAsia="Calibri"/>
        </w:rPr>
        <w:t xml:space="preserve"> to the PAC in April 2019. The ECT Needs Assessment results were </w:t>
      </w:r>
      <w:hyperlink r:id="rId280" w:history="1">
        <w:r w:rsidRPr="00DB3A74">
          <w:rPr>
            <w:rFonts w:eastAsia="Calibri"/>
            <w:color w:val="0645AD"/>
            <w:u w:val="single"/>
          </w:rPr>
          <w:t>presented</w:t>
        </w:r>
      </w:hyperlink>
      <w:r w:rsidRPr="00DB3A74">
        <w:rPr>
          <w:rFonts w:eastAsia="Calibri"/>
        </w:rPr>
        <w:t xml:space="preserve"> to the ISO Planning Advisory Committee (PAC) on September 26, 2019 and the final report </w:t>
      </w:r>
      <w:hyperlink r:id="rId281" w:history="1">
        <w:r w:rsidRPr="004433A3">
          <w:rPr>
            <w:rStyle w:val="Hyperlink"/>
          </w:rPr>
          <w:t>posted</w:t>
        </w:r>
      </w:hyperlink>
      <w:r w:rsidRPr="00DB3A74">
        <w:rPr>
          <w:rFonts w:eastAsia="Calibri"/>
        </w:rPr>
        <w:t xml:space="preserve"> in November 2019. The needs assessment showed one N-1 voltage and numerous N-1-1 thermal and voltage needs in the study area under peak-load conditions. All of the needs were determined to be time-sensitive needs.</w:t>
      </w:r>
    </w:p>
    <w:p w:rsidR="00DB3A74" w:rsidRPr="00DB3A74" w:rsidRDefault="00DB3A74" w:rsidP="00DB3A74">
      <w:pPr>
        <w:rPr>
          <w:rFonts w:eastAsia="Calibri"/>
        </w:rPr>
      </w:pPr>
      <w:r w:rsidRPr="00DB3A74">
        <w:rPr>
          <w:rFonts w:eastAsia="Calibri"/>
        </w:rPr>
        <w:t xml:space="preserve">The </w:t>
      </w:r>
      <w:hyperlink r:id="rId282" w:history="1">
        <w:r w:rsidRPr="008D35DE">
          <w:rPr>
            <w:rStyle w:val="Hyperlink"/>
            <w:i/>
          </w:rPr>
          <w:t>ECT 2029 Solutions Study</w:t>
        </w:r>
      </w:hyperlink>
      <w:r w:rsidRPr="00DB3A74">
        <w:rPr>
          <w:rFonts w:eastAsia="Calibri"/>
        </w:rPr>
        <w:t xml:space="preserve"> began in November 2019. The ECT 2029 preliminary preferred solutions were </w:t>
      </w:r>
      <w:hyperlink r:id="rId283" w:history="1">
        <w:r w:rsidRPr="00DB3A74">
          <w:rPr>
            <w:rFonts w:eastAsia="Calibri"/>
            <w:color w:val="0645AD"/>
            <w:u w:val="single"/>
          </w:rPr>
          <w:t>presented</w:t>
        </w:r>
      </w:hyperlink>
      <w:r w:rsidRPr="00DB3A74">
        <w:rPr>
          <w:rFonts w:eastAsia="Calibri"/>
        </w:rPr>
        <w:t xml:space="preserve"> to PAC on May 20, 2020 and the final solutions study was </w:t>
      </w:r>
      <w:hyperlink r:id="rId284" w:history="1">
        <w:r w:rsidRPr="004433A3">
          <w:rPr>
            <w:rStyle w:val="Hyperlink"/>
          </w:rPr>
          <w:t>posted</w:t>
        </w:r>
      </w:hyperlink>
      <w:r w:rsidRPr="00DB3A74">
        <w:rPr>
          <w:rFonts w:eastAsia="Calibri"/>
        </w:rPr>
        <w:t xml:space="preserve"> in June 2020. The major components of the preferred solutions for addressing the needs include a 345/115 kilovolt (kV) autotransformer and 115 kV upgrades that include the conversion of a line from 69 kV to 115 kV, the reconductoring of a line, and the installation of a synchronous condenser, a series reactor, a capacitor and two series breakers. In addition, a station will be upgraded to meet bulk power system standards. The projected in-service date of the last solution component is December 2026. </w:t>
      </w:r>
    </w:p>
    <w:p w:rsidR="00DB3A74" w:rsidRPr="00DB3A74" w:rsidRDefault="00DB3A74" w:rsidP="00DB3A74">
      <w:pPr>
        <w:rPr>
          <w:rFonts w:eastAsia="Calibri"/>
        </w:rPr>
      </w:pPr>
      <w:r w:rsidRPr="00DB3A74">
        <w:rPr>
          <w:rFonts w:eastAsia="Calibri"/>
        </w:rPr>
        <w:t xml:space="preserve">A minimum-load assessment for the ECT study area was conducted as part of the </w:t>
      </w:r>
      <w:r w:rsidRPr="00FE394E">
        <w:rPr>
          <w:rFonts w:eastAsia="Calibri"/>
          <w:i/>
        </w:rPr>
        <w:t>SWCT 2027 Needs Assessment</w:t>
      </w:r>
      <w:r w:rsidRPr="00DB3A74">
        <w:rPr>
          <w:rFonts w:eastAsia="Calibri"/>
        </w:rPr>
        <w:t>, and no needs were identified in the ECT study area.</w:t>
      </w:r>
    </w:p>
    <w:p w:rsidR="00DB3A74" w:rsidRPr="00DB3A74" w:rsidRDefault="00DB3A74" w:rsidP="00655272">
      <w:pPr>
        <w:pStyle w:val="Heading2"/>
        <w:rPr>
          <w:rFonts w:eastAsia="Times New Roman"/>
        </w:rPr>
      </w:pPr>
      <w:bookmarkStart w:id="642" w:name="_Forward-Looking_Transmission_Planni"/>
      <w:bookmarkStart w:id="643" w:name="_Ref64984184"/>
      <w:bookmarkStart w:id="644" w:name="_Toc490323053"/>
      <w:bookmarkStart w:id="645" w:name="_Toc81544564"/>
      <w:bookmarkEnd w:id="642"/>
      <w:r w:rsidRPr="00DB3A74">
        <w:rPr>
          <w:rFonts w:eastAsia="Times New Roman"/>
        </w:rPr>
        <w:t>Forward-Looking Transmission Planning</w:t>
      </w:r>
      <w:r w:rsidR="007A4A55">
        <w:rPr>
          <w:rFonts w:eastAsia="Times New Roman"/>
        </w:rPr>
        <w:t> </w:t>
      </w:r>
      <w:r w:rsidRPr="00DB3A74">
        <w:rPr>
          <w:rFonts w:eastAsia="Times New Roman"/>
        </w:rPr>
        <w:t>Efforts</w:t>
      </w:r>
      <w:bookmarkEnd w:id="643"/>
      <w:bookmarkEnd w:id="645"/>
    </w:p>
    <w:p w:rsidR="00DB3A74" w:rsidRPr="00DB3A74" w:rsidRDefault="00DB3A74" w:rsidP="00DB3A74">
      <w:pPr>
        <w:rPr>
          <w:rFonts w:eastAsia="Calibri"/>
        </w:rPr>
      </w:pPr>
      <w:r w:rsidRPr="00DB3A74">
        <w:rPr>
          <w:rFonts w:eastAsia="Calibri"/>
        </w:rPr>
        <w:t>Many ongoing trends in the electric power industry have the potential to significantly change the way that New England’s transmission system is planned. With substantial increases in renewable generation, certain load and weather conditions are creating new power system conditions that have not previously been studied, but may limit system performance. Additionally, many of the resources currently proposed for interconnection into the New England system are inverter-based rather than traditional synchronous machines, such as wind, photovoltaic (PV), and imports across high-voltage direct-current (HVDC) lines. The reduced amount of synchronous generation, coupled with increases in inverter-based generation, leads to lower system strength, and may change the system’s response to contingencies and other unexpected events.</w:t>
      </w:r>
    </w:p>
    <w:p w:rsidR="00DB3A74" w:rsidRPr="00DB3A74" w:rsidRDefault="00DB3A74" w:rsidP="00DB3A74">
      <w:pPr>
        <w:rPr>
          <w:rFonts w:eastAsia="Calibri"/>
        </w:rPr>
      </w:pPr>
      <w:r w:rsidRPr="00DB3A74">
        <w:rPr>
          <w:rFonts w:eastAsia="Calibri"/>
        </w:rPr>
        <w:t>To address these trends and ensure continued reliability, the ISO is leading or supporting a number of Transmission Planning study efforts. These efforts examine the continued evolution of the power system, and determine whether the existing transmission system and planning practices adequately accommodate the future of the power system, or whether reinforcements to the transmission system or changes to our study practices may be necessary. These studies are not intended to be, or take the place of, needs assessments, solutions studies, or request for proposals for competitive transmission projects. Rather, they are intended to give a high-level view of some of the challenges that New England will face, and the scope of the transmission system upgrades that might be required.</w:t>
      </w:r>
    </w:p>
    <w:p w:rsidR="00DB3A74" w:rsidRPr="00DB3A74" w:rsidRDefault="00DB3A74" w:rsidP="00655272">
      <w:pPr>
        <w:pStyle w:val="Heading3"/>
        <w:rPr>
          <w:rFonts w:eastAsia="Times New Roman"/>
        </w:rPr>
      </w:pPr>
      <w:bookmarkStart w:id="646" w:name="_Toc81544565"/>
      <w:r w:rsidRPr="00DB3A74">
        <w:rPr>
          <w:rFonts w:eastAsia="Times New Roman"/>
        </w:rPr>
        <w:t>Transmission Planning for the Clean-Energy</w:t>
      </w:r>
      <w:r w:rsidR="007A4A55">
        <w:rPr>
          <w:rFonts w:eastAsia="Times New Roman"/>
        </w:rPr>
        <w:t> </w:t>
      </w:r>
      <w:r w:rsidRPr="00DB3A74">
        <w:rPr>
          <w:rFonts w:eastAsia="Times New Roman"/>
        </w:rPr>
        <w:t>Transition</w:t>
      </w:r>
      <w:bookmarkEnd w:id="646"/>
    </w:p>
    <w:p w:rsidR="00DB3A74" w:rsidRPr="00DB3A74" w:rsidRDefault="00DB3A74" w:rsidP="00DB3A74">
      <w:pPr>
        <w:rPr>
          <w:rFonts w:eastAsia="Calibri"/>
        </w:rPr>
      </w:pPr>
      <w:r w:rsidRPr="00DB3A74">
        <w:rPr>
          <w:rFonts w:eastAsia="Calibri"/>
        </w:rPr>
        <w:t xml:space="preserve">The first of these forward-looking </w:t>
      </w:r>
      <w:r w:rsidR="0053760E" w:rsidRPr="00DB3A74">
        <w:rPr>
          <w:rFonts w:eastAsia="Calibri"/>
        </w:rPr>
        <w:t>transmission-planning</w:t>
      </w:r>
      <w:r w:rsidRPr="00DB3A74">
        <w:rPr>
          <w:rFonts w:eastAsia="Calibri"/>
        </w:rPr>
        <w:t xml:space="preserve"> studies is the Transmission Planning for the C</w:t>
      </w:r>
      <w:r w:rsidR="00A86C5C">
        <w:rPr>
          <w:rFonts w:eastAsia="Calibri"/>
        </w:rPr>
        <w:t>lean-Energy Transition (TPCET) Pilot S</w:t>
      </w:r>
      <w:r w:rsidRPr="00DB3A74">
        <w:rPr>
          <w:rFonts w:eastAsia="Calibri"/>
        </w:rPr>
        <w:t xml:space="preserve">tudy. This study grew out of an effort by ISO-NE Transmission Planning to re-evaluate assumptions used in transmission planning assessments to ensure that, as renewable and distributed resource integration leads to shifts in the most critical conditions for reliability, these critical conditions continue to be adequately studied. The </w:t>
      </w:r>
      <w:hyperlink r:id="rId285" w:history="1">
        <w:r w:rsidRPr="004433A3">
          <w:rPr>
            <w:rStyle w:val="Hyperlink"/>
          </w:rPr>
          <w:t>first presentation on this topic</w:t>
        </w:r>
      </w:hyperlink>
      <w:r w:rsidRPr="00DB3A74">
        <w:rPr>
          <w:rFonts w:eastAsia="Calibri"/>
        </w:rPr>
        <w:t xml:space="preserve"> was given to the ISO Planning Advisory Committee (PAC) in September 2020. During and following that presentation, many stakeholders expressed a desire for a more complete understanding of the trade-offs between the grid’s ability to reliably accommodate relatively infrequent conditions and the costs associated with transmission system upgrades. At the November 2020 PAC meeting, a </w:t>
      </w:r>
      <w:hyperlink r:id="rId286" w:history="1">
        <w:r w:rsidRPr="004433A3">
          <w:rPr>
            <w:rStyle w:val="Hyperlink"/>
          </w:rPr>
          <w:t>follow-up presentation</w:t>
        </w:r>
      </w:hyperlink>
      <w:r w:rsidRPr="00DB3A74">
        <w:rPr>
          <w:rFonts w:eastAsia="Calibri"/>
        </w:rPr>
        <w:t xml:space="preserve"> proposed a pilot study that would better illustrate these trade-offs.</w:t>
      </w:r>
    </w:p>
    <w:p w:rsidR="00DB3A74" w:rsidRPr="00DB3A74" w:rsidRDefault="00DB3A74" w:rsidP="00DB3A74">
      <w:pPr>
        <w:rPr>
          <w:rFonts w:eastAsia="Calibri"/>
        </w:rPr>
      </w:pPr>
      <w:r w:rsidRPr="00DB3A74">
        <w:rPr>
          <w:rFonts w:eastAsia="Calibri"/>
        </w:rPr>
        <w:t xml:space="preserve">The </w:t>
      </w:r>
      <w:r w:rsidR="00A86C5C">
        <w:t>TPCET Pilot Study</w:t>
      </w:r>
      <w:r w:rsidRPr="00DB3A74">
        <w:rPr>
          <w:rFonts w:eastAsia="Calibri"/>
        </w:rPr>
        <w:t xml:space="preserve"> </w:t>
      </w:r>
      <w:r w:rsidR="00826C77" w:rsidRPr="00DB3A74">
        <w:rPr>
          <w:rFonts w:eastAsia="Calibri"/>
        </w:rPr>
        <w:t>examine</w:t>
      </w:r>
      <w:r w:rsidR="00826C77">
        <w:rPr>
          <w:rFonts w:eastAsia="Calibri"/>
        </w:rPr>
        <w:t>d</w:t>
      </w:r>
      <w:r w:rsidRPr="00DB3A74">
        <w:rPr>
          <w:rFonts w:eastAsia="Calibri"/>
        </w:rPr>
        <w:t xml:space="preserve"> six different conditions, defined by four combinations of time of year and time of day. These six conditions are expected to “bookend” the wide range of transmission system conditions that may occur by 2030. These conditions are the following:</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Spring Weekend Nighttime Minimum Load: This condition represents the time when load consumed by New England customers,</w:t>
      </w:r>
      <w:r w:rsidR="0053760E">
        <w:rPr>
          <w:rFonts w:eastAsia="Times New Roman"/>
          <w:szCs w:val="24"/>
        </w:rPr>
        <w:t xml:space="preserve"> </w:t>
      </w:r>
      <w:r w:rsidRPr="00DB3A74">
        <w:rPr>
          <w:rFonts w:eastAsia="Times New Roman"/>
          <w:szCs w:val="24"/>
        </w:rPr>
        <w:t>without reductions due to behind-the-meter (BTM) photovoltaic (PV) generation, is generally lowest. This condition may lead to high transmission voltage or transient stability concerns due to the relatively low amount of synchronous generation online. Both a high-renewables and low-renewables condition are studied for this time period, to examine the different effects of wind generation levels on interface transfers, transmission voltage, and transient stability.</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Spring Weekend Mid-Day Minimum Load: This condition represents the time period when load served from the transmission system is expected to be lowest, due to relatively low consumption by customers and high output of BTM PV generation. This condition results in the lowest amount of synchronous generation online, and thus should be investigated for possible transient-stability or high-voltage concerns.</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Summer Weekday Mid-Day Peak Load: This condition represents the highest consumption of power by New England customers (without reductions due to BTM PV generation). In areas with little development of PV generation, load served by the transmission system may be highest under this condition. Like the Spring Weekend Nighttime Minimum Load time period, both high-renewables and low-renewables condition</w:t>
      </w:r>
      <w:r w:rsidR="00BF34DC">
        <w:rPr>
          <w:rFonts w:eastAsia="Times New Roman"/>
          <w:szCs w:val="24"/>
        </w:rPr>
        <w:t>s</w:t>
      </w:r>
      <w:r w:rsidRPr="00DB3A74">
        <w:rPr>
          <w:rFonts w:eastAsia="Times New Roman"/>
          <w:szCs w:val="24"/>
        </w:rPr>
        <w:t xml:space="preserve"> are studied for this time period.</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Summer Weekday Evening Peak Load: This condition reflects the time period when load served from the transmission system is at its maximum. Due to the high proliferation of BTM PV generation expected by 2030, it is expected that this condition will occur later in the evening than it does today.</w:t>
      </w:r>
    </w:p>
    <w:p w:rsidR="00DB3A74" w:rsidRPr="00DB3A74" w:rsidRDefault="00DB3A74" w:rsidP="00DB3A74">
      <w:pPr>
        <w:rPr>
          <w:rFonts w:eastAsia="Calibri"/>
        </w:rPr>
      </w:pPr>
      <w:r w:rsidRPr="00DB3A74">
        <w:rPr>
          <w:rFonts w:eastAsia="Calibri"/>
        </w:rPr>
        <w:t xml:space="preserve">Details of each of the six conditions studied in the </w:t>
      </w:r>
      <w:r w:rsidR="00A86C5C">
        <w:t>TPCET Pilot Study</w:t>
      </w:r>
      <w:r w:rsidRPr="00DB3A74">
        <w:rPr>
          <w:rFonts w:eastAsia="Calibri"/>
        </w:rPr>
        <w:t xml:space="preserve"> were presented at the </w:t>
      </w:r>
      <w:hyperlink r:id="rId287" w:history="1">
        <w:r w:rsidRPr="004433A3">
          <w:rPr>
            <w:rStyle w:val="Hyperlink"/>
          </w:rPr>
          <w:t>December 2020</w:t>
        </w:r>
      </w:hyperlink>
      <w:r w:rsidRPr="00DB3A74">
        <w:rPr>
          <w:rFonts w:eastAsia="Calibri"/>
        </w:rPr>
        <w:t xml:space="preserve"> and </w:t>
      </w:r>
      <w:hyperlink r:id="rId288" w:history="1">
        <w:r w:rsidRPr="004433A3">
          <w:rPr>
            <w:rStyle w:val="Hyperlink"/>
          </w:rPr>
          <w:t>January 2021</w:t>
        </w:r>
      </w:hyperlink>
      <w:r w:rsidRPr="00DB3A74">
        <w:rPr>
          <w:rFonts w:eastAsia="Calibri"/>
        </w:rPr>
        <w:t xml:space="preserve"> PAC meetings.</w:t>
      </w:r>
    </w:p>
    <w:p w:rsidR="00826C77" w:rsidRPr="00DB3A74" w:rsidRDefault="00826C77" w:rsidP="00826C77">
      <w:pPr>
        <w:rPr>
          <w:rFonts w:eastAsia="Calibri"/>
        </w:rPr>
      </w:pPr>
      <w:r w:rsidRPr="00DB3A74">
        <w:rPr>
          <w:rFonts w:eastAsia="Calibri"/>
        </w:rPr>
        <w:t xml:space="preserve">For reliability concerns identified in any of the conditions studied in the </w:t>
      </w:r>
      <w:r>
        <w:t>TPCET Pilot Study</w:t>
      </w:r>
      <w:r w:rsidRPr="00DB3A74">
        <w:rPr>
          <w:rFonts w:eastAsia="Calibri"/>
        </w:rPr>
        <w:t xml:space="preserve">, sample transmission system reinforcements that address the concern </w:t>
      </w:r>
      <w:r>
        <w:rPr>
          <w:rFonts w:eastAsia="Calibri"/>
        </w:rPr>
        <w:t>were</w:t>
      </w:r>
      <w:r w:rsidRPr="00DB3A74">
        <w:rPr>
          <w:rFonts w:eastAsia="Calibri"/>
        </w:rPr>
        <w:t xml:space="preserve"> developed. These sample proposals may not match projects that are ultimately chosen as transmission solutions and constructed. However, they serve</w:t>
      </w:r>
      <w:r>
        <w:rPr>
          <w:rFonts w:eastAsia="Calibri"/>
        </w:rPr>
        <w:t>d</w:t>
      </w:r>
      <w:r w:rsidRPr="00DB3A74">
        <w:rPr>
          <w:rFonts w:eastAsia="Calibri"/>
        </w:rPr>
        <w:t xml:space="preserve"> to give stakeholders a rough approximation of the scope and cost of </w:t>
      </w:r>
      <w:r w:rsidR="00D86BEF">
        <w:rPr>
          <w:rFonts w:eastAsia="Calibri"/>
        </w:rPr>
        <w:t>t</w:t>
      </w:r>
      <w:r w:rsidRPr="00DB3A74">
        <w:rPr>
          <w:rFonts w:eastAsia="Calibri"/>
        </w:rPr>
        <w:t xml:space="preserve">ransmission </w:t>
      </w:r>
      <w:r w:rsidR="00D86BEF">
        <w:rPr>
          <w:rFonts w:eastAsia="Calibri"/>
        </w:rPr>
        <w:t>u</w:t>
      </w:r>
      <w:r w:rsidRPr="00DB3A74">
        <w:rPr>
          <w:rFonts w:eastAsia="Calibri"/>
        </w:rPr>
        <w:t xml:space="preserve">pgrades. Operational solutions to the concerns </w:t>
      </w:r>
      <w:r>
        <w:rPr>
          <w:rFonts w:eastAsia="Calibri"/>
        </w:rPr>
        <w:t>were</w:t>
      </w:r>
      <w:r w:rsidRPr="00DB3A74">
        <w:rPr>
          <w:rFonts w:eastAsia="Calibri"/>
        </w:rPr>
        <w:t xml:space="preserve"> also examined so that stakeholders </w:t>
      </w:r>
      <w:r>
        <w:rPr>
          <w:rFonts w:eastAsia="Calibri"/>
        </w:rPr>
        <w:t xml:space="preserve">could understand the </w:t>
      </w:r>
      <w:r w:rsidRPr="00DB3A74">
        <w:rPr>
          <w:rFonts w:eastAsia="Calibri"/>
        </w:rPr>
        <w:t xml:space="preserve">impacts of operational measures, such as curtailing renewable generation or running fossil-fueled generation out of merit that will be required to maintain reliability in the absence of </w:t>
      </w:r>
      <w:r>
        <w:rPr>
          <w:rFonts w:eastAsia="Calibri"/>
        </w:rPr>
        <w:t xml:space="preserve">additional </w:t>
      </w:r>
      <w:r w:rsidRPr="00DB3A74">
        <w:rPr>
          <w:rFonts w:eastAsia="Calibri"/>
        </w:rPr>
        <w:t>transmission.</w:t>
      </w:r>
    </w:p>
    <w:p w:rsidR="00826C77" w:rsidRPr="00DB3A74" w:rsidRDefault="00826C77" w:rsidP="00DB3A74">
      <w:pPr>
        <w:rPr>
          <w:rFonts w:eastAsia="Calibri"/>
        </w:rPr>
      </w:pPr>
      <w:r>
        <w:rPr>
          <w:rFonts w:eastAsia="Calibri"/>
        </w:rPr>
        <w:t>Three</w:t>
      </w:r>
      <w:r w:rsidRPr="00DB3A74">
        <w:rPr>
          <w:rFonts w:eastAsia="Calibri"/>
        </w:rPr>
        <w:t xml:space="preserve"> results </w:t>
      </w:r>
      <w:r>
        <w:rPr>
          <w:rFonts w:eastAsia="Calibri"/>
        </w:rPr>
        <w:t xml:space="preserve">presentations </w:t>
      </w:r>
      <w:r w:rsidRPr="00DB3A74">
        <w:rPr>
          <w:rFonts w:eastAsia="Calibri"/>
        </w:rPr>
        <w:t>w</w:t>
      </w:r>
      <w:r>
        <w:rPr>
          <w:rFonts w:eastAsia="Calibri"/>
        </w:rPr>
        <w:t>ere</w:t>
      </w:r>
      <w:r w:rsidRPr="00DB3A74">
        <w:rPr>
          <w:rFonts w:eastAsia="Calibri"/>
        </w:rPr>
        <w:t xml:space="preserve"> </w:t>
      </w:r>
      <w:r>
        <w:rPr>
          <w:rFonts w:eastAsia="Calibri"/>
        </w:rPr>
        <w:t>discussed with</w:t>
      </w:r>
      <w:r w:rsidRPr="00DB3A74">
        <w:rPr>
          <w:rFonts w:eastAsia="Calibri"/>
        </w:rPr>
        <w:t xml:space="preserve"> the PAC in </w:t>
      </w:r>
      <w:hyperlink r:id="rId289" w:history="1">
        <w:r w:rsidRPr="00FA3934">
          <w:rPr>
            <w:rStyle w:val="Hyperlink"/>
            <w:rFonts w:eastAsia="Calibri"/>
          </w:rPr>
          <w:t>June</w:t>
        </w:r>
      </w:hyperlink>
      <w:r>
        <w:rPr>
          <w:rFonts w:eastAsia="Calibri"/>
        </w:rPr>
        <w:t xml:space="preserve">, </w:t>
      </w:r>
      <w:hyperlink r:id="rId290" w:history="1">
        <w:r w:rsidRPr="00FA3934">
          <w:rPr>
            <w:rStyle w:val="Hyperlink"/>
            <w:rFonts w:eastAsia="Calibri"/>
          </w:rPr>
          <w:t>July,</w:t>
        </w:r>
      </w:hyperlink>
      <w:r>
        <w:rPr>
          <w:rFonts w:eastAsia="Calibri"/>
        </w:rPr>
        <w:t xml:space="preserve"> and </w:t>
      </w:r>
      <w:hyperlink r:id="rId291" w:history="1">
        <w:r w:rsidRPr="00FA3934">
          <w:rPr>
            <w:rStyle w:val="Hyperlink"/>
            <w:rFonts w:eastAsia="Calibri"/>
          </w:rPr>
          <w:t xml:space="preserve">August </w:t>
        </w:r>
      </w:hyperlink>
      <w:r w:rsidRPr="00DB3A74">
        <w:rPr>
          <w:rFonts w:eastAsia="Calibri"/>
        </w:rPr>
        <w:t>2021. Th</w:t>
      </w:r>
      <w:r>
        <w:rPr>
          <w:rFonts w:eastAsia="Calibri"/>
        </w:rPr>
        <w:t>ese</w:t>
      </w:r>
      <w:r w:rsidRPr="00DB3A74">
        <w:rPr>
          <w:rFonts w:eastAsia="Calibri"/>
        </w:rPr>
        <w:t xml:space="preserve"> presentation</w:t>
      </w:r>
      <w:r>
        <w:rPr>
          <w:rFonts w:eastAsia="Calibri"/>
        </w:rPr>
        <w:t>s</w:t>
      </w:r>
      <w:r w:rsidRPr="00DB3A74">
        <w:rPr>
          <w:rFonts w:eastAsia="Calibri"/>
        </w:rPr>
        <w:t xml:space="preserve"> showed that one of the most critical phenomena to be examined is the loss of legacy DER following transmission system faults, due to transient low voltage and the inability of DER interconnected in compliance with IEEE Standard 1547-2003 to ride</w:t>
      </w:r>
      <w:r w:rsidR="00D86BEF">
        <w:rPr>
          <w:rFonts w:eastAsia="Calibri"/>
        </w:rPr>
        <w:t>-</w:t>
      </w:r>
      <w:r w:rsidRPr="00DB3A74">
        <w:rPr>
          <w:rFonts w:eastAsia="Calibri"/>
        </w:rPr>
        <w:t xml:space="preserve">through disturbances. </w:t>
      </w:r>
      <w:r>
        <w:rPr>
          <w:rFonts w:eastAsia="Calibri"/>
        </w:rPr>
        <w:t xml:space="preserve">While preliminary </w:t>
      </w:r>
      <w:r w:rsidRPr="00DB3A74">
        <w:rPr>
          <w:rFonts w:eastAsia="Calibri"/>
        </w:rPr>
        <w:t xml:space="preserve">investigation into mitigating this issue </w:t>
      </w:r>
      <w:r>
        <w:rPr>
          <w:rFonts w:eastAsia="Calibri"/>
        </w:rPr>
        <w:t>has been performed, additional study is needed</w:t>
      </w:r>
      <w:r w:rsidR="00D86BEF">
        <w:rPr>
          <w:rFonts w:eastAsia="Calibri"/>
        </w:rPr>
        <w:t>. T</w:t>
      </w:r>
      <w:r w:rsidRPr="00DB3A74">
        <w:rPr>
          <w:rFonts w:eastAsia="Calibri"/>
        </w:rPr>
        <w:t>he solution will likely involve additional dynamic voltage control devices that can inject reactive power to support voltage during and immediately after transmission system faults. In addition, relatively minor steady-state voltage criteria violations were identified in some of the minimum-load conditions, and the Stoughton-K Street cables connecting Boston and Southeastern Massachusetts were identified as an emerging bottleneck</w:t>
      </w:r>
      <w:r w:rsidR="00D86BEF">
        <w:rPr>
          <w:rFonts w:eastAsia="Calibri"/>
        </w:rPr>
        <w:t>,</w:t>
      </w:r>
      <w:r w:rsidRPr="00DB3A74">
        <w:rPr>
          <w:rFonts w:eastAsia="Calibri"/>
        </w:rPr>
        <w:t xml:space="preserve"> due to a high concentration of offshore wind and PV resources in Southeastern Massachusetts</w:t>
      </w:r>
      <w:r w:rsidR="00D86BEF">
        <w:rPr>
          <w:rFonts w:eastAsia="Calibri"/>
        </w:rPr>
        <w:t xml:space="preserve"> </w:t>
      </w:r>
      <w:r w:rsidRPr="00DB3A74">
        <w:rPr>
          <w:rFonts w:eastAsia="Calibri"/>
        </w:rPr>
        <w:t xml:space="preserve">and a high concentration of load in Boston. </w:t>
      </w:r>
      <w:r>
        <w:rPr>
          <w:rFonts w:eastAsia="Calibri"/>
        </w:rPr>
        <w:t xml:space="preserve">Updates to the </w:t>
      </w:r>
      <w:hyperlink r:id="rId292" w:history="1">
        <w:r w:rsidRPr="00E07230">
          <w:rPr>
            <w:rStyle w:val="Hyperlink"/>
            <w:rFonts w:eastAsia="Calibri"/>
          </w:rPr>
          <w:t>Transmission Planning Technical Guide</w:t>
        </w:r>
      </w:hyperlink>
      <w:r>
        <w:rPr>
          <w:rFonts w:eastAsia="Calibri"/>
        </w:rPr>
        <w:t xml:space="preserve"> reflecting these changes in assumptions for Needs Assessments and associated solution development are expected to be made in September 2021. </w:t>
      </w:r>
    </w:p>
    <w:p w:rsidR="00DB3A74" w:rsidRPr="00DB3A74" w:rsidRDefault="00DB3A74" w:rsidP="00655272">
      <w:pPr>
        <w:pStyle w:val="Heading3"/>
        <w:rPr>
          <w:rFonts w:eastAsia="Times New Roman"/>
        </w:rPr>
      </w:pPr>
      <w:bookmarkStart w:id="647" w:name="_Toc81544566"/>
      <w:r w:rsidRPr="00DB3A74">
        <w:rPr>
          <w:rFonts w:eastAsia="Times New Roman"/>
        </w:rPr>
        <w:t>New England Energy Vision and 2050 Reliability</w:t>
      </w:r>
      <w:r w:rsidR="007A4A55">
        <w:rPr>
          <w:rFonts w:eastAsia="Times New Roman"/>
        </w:rPr>
        <w:t> </w:t>
      </w:r>
      <w:r w:rsidRPr="00DB3A74">
        <w:rPr>
          <w:rFonts w:eastAsia="Times New Roman"/>
        </w:rPr>
        <w:t>Study</w:t>
      </w:r>
      <w:bookmarkEnd w:id="647"/>
    </w:p>
    <w:p w:rsidR="00DB3A74" w:rsidRPr="00DB3A74" w:rsidRDefault="00724C88" w:rsidP="00DB3A74">
      <w:pPr>
        <w:keepNext/>
        <w:keepLines/>
        <w:rPr>
          <w:rFonts w:eastAsia="Calibri"/>
        </w:rPr>
      </w:pPr>
      <w:r>
        <w:rPr>
          <w:rFonts w:eastAsia="Calibri"/>
        </w:rPr>
        <w:t>T</w:t>
      </w:r>
      <w:r w:rsidR="00DB3A74" w:rsidRPr="00DB3A74">
        <w:rPr>
          <w:rFonts w:eastAsia="Calibri"/>
        </w:rPr>
        <w:t>he New England states released a vision statement describing their expectations for the future power system. As part of the development and implementation of this vision, the New England states have expressed interest in a transmission system reliability study examining the system through 2050. This will provide a high-level vision of the direction of the power system’s evolution over the next 30 years</w:t>
      </w:r>
      <w:r w:rsidRPr="00724C88">
        <w:rPr>
          <w:rFonts w:eastAsia="Calibri"/>
        </w:rPr>
        <w:t xml:space="preserve"> </w:t>
      </w:r>
      <w:r>
        <w:rPr>
          <w:rFonts w:eastAsia="Calibri"/>
        </w:rPr>
        <w:t>and high-level costs associated with needed transmission infrastructure to achieve the vision</w:t>
      </w:r>
      <w:r w:rsidR="00D43922">
        <w:rPr>
          <w:rFonts w:eastAsia="Calibri"/>
        </w:rPr>
        <w:t xml:space="preserve"> </w:t>
      </w:r>
      <w:r w:rsidR="00D43922" w:rsidRPr="00D43922">
        <w:rPr>
          <w:rFonts w:eastAsia="Calibri"/>
        </w:rPr>
        <w:t>under various clean energy scenarios over the long term</w:t>
      </w:r>
      <w:r w:rsidR="00DB3A74" w:rsidRPr="00DB3A74">
        <w:rPr>
          <w:rFonts w:eastAsia="Calibri"/>
        </w:rPr>
        <w:t>. Understanding the importance of assessing the changing grid, the ISO is considering tariff changes to ensure this type of study is performed on a regular basis.</w:t>
      </w:r>
    </w:p>
    <w:p w:rsidR="00DB3A74" w:rsidRPr="00DB3A74" w:rsidRDefault="00DB3A74" w:rsidP="00655272">
      <w:pPr>
        <w:pStyle w:val="Heading2"/>
        <w:rPr>
          <w:rFonts w:eastAsia="Times New Roman"/>
        </w:rPr>
      </w:pPr>
      <w:bookmarkStart w:id="648" w:name="_Toc81544567"/>
      <w:r w:rsidRPr="00DB3A74">
        <w:rPr>
          <w:rFonts w:eastAsia="Times New Roman"/>
        </w:rPr>
        <w:t>Forwar</w:t>
      </w:r>
      <w:r w:rsidR="00655272">
        <w:rPr>
          <w:rFonts w:eastAsia="Times New Roman"/>
        </w:rPr>
        <w:t>d-Looking Transmission Planning </w:t>
      </w:r>
      <w:r w:rsidRPr="00DB3A74">
        <w:rPr>
          <w:rFonts w:eastAsia="Times New Roman"/>
        </w:rPr>
        <w:t>Solutions</w:t>
      </w:r>
      <w:bookmarkEnd w:id="648"/>
    </w:p>
    <w:p w:rsidR="00DB3A74" w:rsidRPr="00DB3A74" w:rsidRDefault="00DB3A74" w:rsidP="00DB3A74">
      <w:pPr>
        <w:rPr>
          <w:rFonts w:eastAsia="Calibri"/>
        </w:rPr>
      </w:pPr>
      <w:r w:rsidRPr="00DB3A74">
        <w:rPr>
          <w:rFonts w:eastAsia="Calibri"/>
        </w:rPr>
        <w:t>Consistent with these forward-looking study efforts, the ISO is also adjusting its view on selecting transmission solutions to ensure that they better prepare the system to operate reliably in consideration of a future power system that is largely supplied by power-electronics-based resources such as wind, solar and batteries. At the February 2021 ISO Planning Advisory Committee (PAC) meeting,</w:t>
      </w:r>
      <w:r w:rsidRPr="00DB3A74">
        <w:rPr>
          <w:rFonts w:eastAsia="Calibri"/>
          <w:vertAlign w:val="superscript"/>
        </w:rPr>
        <w:footnoteReference w:id="114"/>
      </w:r>
      <w:r w:rsidRPr="00DB3A74">
        <w:rPr>
          <w:rFonts w:eastAsia="Calibri"/>
        </w:rPr>
        <w:t xml:space="preserve"> the ISO discussed the advantages of employing synchronous condensers over power-electronics-based static synchronous compensator (STATCOMs) and static volt-ampere reactive compensators (SVCs) when addressing system needs that must be addressed through dynamic reactive devices. </w:t>
      </w:r>
      <w:r w:rsidR="00724C88">
        <w:rPr>
          <w:rFonts w:eastAsia="Calibri"/>
        </w:rPr>
        <w:t>While they consume power while operating, s</w:t>
      </w:r>
      <w:r w:rsidRPr="00DB3A74">
        <w:rPr>
          <w:rFonts w:eastAsia="Calibri"/>
        </w:rPr>
        <w:t xml:space="preserve">ynchronous condensers will help to strengthen the system, contribute inertia, and have no risk of control interactions with power electronics devices. While stakeholder feedback was generally supportive, the ISO will continue to consider power-electronics-based devices along with synchronous condensers. Feedback on this proposal led to the selection of synchronous condensers instead of STATCOMs for the preferred solutions in Southern New Hampshire and Upper Maine.  </w:t>
      </w:r>
    </w:p>
    <w:p w:rsidR="00DB3A74" w:rsidRPr="00DB3A74" w:rsidRDefault="00DB3A74" w:rsidP="00655272">
      <w:pPr>
        <w:pStyle w:val="Heading2"/>
        <w:rPr>
          <w:rFonts w:eastAsia="Times New Roman"/>
        </w:rPr>
      </w:pPr>
      <w:bookmarkStart w:id="649" w:name="_Toc81544568"/>
      <w:r w:rsidRPr="00DB3A74">
        <w:rPr>
          <w:rFonts w:eastAsia="Times New Roman"/>
        </w:rPr>
        <w:t>General Need for Future Transmission</w:t>
      </w:r>
      <w:bookmarkEnd w:id="644"/>
      <w:bookmarkEnd w:id="649"/>
    </w:p>
    <w:p w:rsidR="00DB3A74" w:rsidRPr="00DB3A74" w:rsidRDefault="00DB3A74" w:rsidP="00DB3A74">
      <w:pPr>
        <w:rPr>
          <w:rFonts w:eastAsia="Calibri"/>
        </w:rPr>
      </w:pPr>
      <w:r w:rsidRPr="00DB3A74">
        <w:rPr>
          <w:rFonts w:eastAsia="Calibri"/>
        </w:rPr>
        <w:t xml:space="preserve">Since 2002, 834 project components have been placed in service across the region to fortify the transmission system. In addition, 47 project components have a status of </w:t>
      </w:r>
      <w:r w:rsidR="005F2C9B">
        <w:rPr>
          <w:rFonts w:eastAsia="Calibri"/>
        </w:rPr>
        <w:t xml:space="preserve">being </w:t>
      </w:r>
      <w:r w:rsidRPr="00DB3A74">
        <w:rPr>
          <w:rFonts w:eastAsia="Calibri"/>
        </w:rPr>
        <w:t>planned, proposed, or under construction. Overall, the estimated investment in New England to maintain reliability has been $11.7 billion from 2002 to June 2021, and another $1.1 billion is planned over the planning horizon.</w:t>
      </w:r>
      <w:r w:rsidRPr="00DB3A74">
        <w:rPr>
          <w:rFonts w:eastAsia="Calibri"/>
          <w:vertAlign w:val="superscript"/>
        </w:rPr>
        <w:footnoteReference w:id="115"/>
      </w:r>
      <w:r w:rsidRPr="00DB3A74">
        <w:rPr>
          <w:rFonts w:eastAsia="Calibri"/>
        </w:rPr>
        <w:t xml:space="preserve"> Conversely, generation retirements and studies reviewing system performance, accounting for the integration of inverter-based resources and improved load modeling, may drive the need for additional reliability transmission upgrades.</w:t>
      </w:r>
      <w:r w:rsidRPr="00DB3A74">
        <w:rPr>
          <w:rFonts w:eastAsia="Calibri"/>
          <w:vertAlign w:val="superscript"/>
        </w:rPr>
        <w:footnoteReference w:id="116"/>
      </w:r>
    </w:p>
    <w:p w:rsidR="00DB3A74" w:rsidRPr="00DB3A74" w:rsidRDefault="00DB3A74" w:rsidP="00655272">
      <w:pPr>
        <w:pStyle w:val="Heading2"/>
        <w:rPr>
          <w:rFonts w:eastAsia="Times New Roman"/>
        </w:rPr>
      </w:pPr>
      <w:bookmarkStart w:id="650" w:name="_Ref12536461"/>
      <w:bookmarkStart w:id="651" w:name="_Toc490323054"/>
      <w:bookmarkStart w:id="652" w:name="_Toc81544569"/>
      <w:r w:rsidRPr="00DB3A74">
        <w:rPr>
          <w:rFonts w:eastAsia="Times New Roman"/>
        </w:rPr>
        <w:t>New England Asset Management</w:t>
      </w:r>
      <w:bookmarkEnd w:id="650"/>
      <w:bookmarkEnd w:id="651"/>
      <w:bookmarkEnd w:id="652"/>
    </w:p>
    <w:p w:rsidR="00DB3A74" w:rsidRPr="00DB3A74" w:rsidRDefault="00DB3A74" w:rsidP="00DB3A74">
      <w:pPr>
        <w:rPr>
          <w:rFonts w:eastAsia="Calibri"/>
        </w:rPr>
      </w:pPr>
      <w:r w:rsidRPr="00DB3A74">
        <w:rPr>
          <w:rFonts w:eastAsia="Calibri"/>
        </w:rPr>
        <w:t>Because of the general age of the transmission system in New England, many assets across the system are reaching their end of life and are requiring significant refurbishment. Spending to address these concerns has increased significantly over the past few years. The New England Asset Management Key Study Area is a repository to store all asset-condition-related ISO Planning Advisory Committee (PAC) presentations.</w:t>
      </w:r>
      <w:r w:rsidRPr="00DB3A74">
        <w:rPr>
          <w:rFonts w:ascii="Calibri" w:eastAsia="Times New Roman" w:hAnsi="Calibri"/>
          <w:bCs/>
          <w:vertAlign w:val="superscript"/>
        </w:rPr>
        <w:footnoteReference w:id="117"/>
      </w:r>
    </w:p>
    <w:p w:rsidR="00DB3A74" w:rsidRPr="00DB3A74" w:rsidRDefault="00DB3A74" w:rsidP="00DB3A74">
      <w:pPr>
        <w:rPr>
          <w:rFonts w:eastAsia="Calibri"/>
        </w:rPr>
      </w:pPr>
      <w:r w:rsidRPr="00DB3A74">
        <w:rPr>
          <w:rFonts w:eastAsia="Calibri"/>
        </w:rPr>
        <w:t xml:space="preserve">In 2016, the ISO created a New England Asset-Condition Update List to capture all asset-condition PAC presentations that occurred after May 18, 2015. The ISO updates the New England Asset-Condition Update List three times per year along with the </w:t>
      </w:r>
      <w:hyperlink r:id="rId293" w:history="1">
        <w:r w:rsidRPr="00F51EA3">
          <w:rPr>
            <w:rStyle w:val="Hyperlink"/>
            <w:rFonts w:eastAsia="Calibri"/>
            <w:i/>
          </w:rPr>
          <w:t>RSP Project List</w:t>
        </w:r>
      </w:hyperlink>
      <w:r w:rsidRPr="00DB3A74">
        <w:rPr>
          <w:rFonts w:eastAsia="Calibri"/>
        </w:rPr>
        <w:t>. Since the New England Asset-Condition Update List has been created, 274 projects have been added to the list for a total of $4.6 billion as of the June 2021 update. Of the 274 projects, 156 are in service for a total of $1.9 billion. The rest of the projects are in the proposed, planned</w:t>
      </w:r>
      <w:r w:rsidR="00BF34DC">
        <w:rPr>
          <w:rFonts w:eastAsia="Calibri"/>
        </w:rPr>
        <w:t>,</w:t>
      </w:r>
      <w:r w:rsidRPr="00DB3A74">
        <w:rPr>
          <w:rFonts w:eastAsia="Calibri"/>
        </w:rPr>
        <w:t xml:space="preserve"> or under construction status.</w:t>
      </w:r>
      <w:r w:rsidRPr="001D69A5">
        <w:rPr>
          <w:rFonts w:eastAsia="Calibri"/>
          <w:vertAlign w:val="superscript"/>
        </w:rPr>
        <w:footnoteReference w:id="118"/>
      </w:r>
    </w:p>
    <w:p w:rsidR="00DB3A74" w:rsidRPr="00DB3A74" w:rsidRDefault="00DB3A74" w:rsidP="00655272">
      <w:pPr>
        <w:pStyle w:val="Heading2"/>
        <w:rPr>
          <w:rFonts w:eastAsia="Times New Roman"/>
        </w:rPr>
      </w:pPr>
      <w:bookmarkStart w:id="653" w:name="_Toc490323055"/>
      <w:bookmarkStart w:id="654" w:name="_Toc81544570"/>
      <w:r w:rsidRPr="00DB3A74">
        <w:rPr>
          <w:rFonts w:eastAsia="Times New Roman"/>
        </w:rPr>
        <w:t>Local System Plan</w:t>
      </w:r>
      <w:bookmarkEnd w:id="653"/>
      <w:bookmarkEnd w:id="654"/>
    </w:p>
    <w:p w:rsidR="00DB3A74" w:rsidRPr="00DB3A74" w:rsidRDefault="00DB3A74" w:rsidP="00DB3A74">
      <w:pPr>
        <w:rPr>
          <w:rFonts w:eastAsia="Calibri"/>
        </w:rPr>
      </w:pPr>
      <w:r w:rsidRPr="00DB3A74">
        <w:rPr>
          <w:rFonts w:eastAsia="Calibri"/>
        </w:rPr>
        <w:t xml:space="preserve">The Local System Plan (LSP) process is described in the OATT, Attachment K, Appendix 1. In general, LSP projects are needed to maintain the reliability of the non-Pool Transmission Facility (non-PTF) system. While LSP projects are designed to serve the needs of the non-PTF system, they typically involve PTF components, which are not eligible for cost regionalization. Information regarding LSP projects is provided to stakeholders through the </w:t>
      </w:r>
      <w:hyperlink r:id="rId294" w:history="1">
        <w:r w:rsidRPr="004433A3">
          <w:rPr>
            <w:rStyle w:val="Hyperlink"/>
          </w:rPr>
          <w:t>Transmission Owner Planning Advisory Committee</w:t>
        </w:r>
        <w:r w:rsidRPr="00DB3A74">
          <w:rPr>
            <w:rFonts w:eastAsia="Calibri"/>
            <w:color w:val="0645AD"/>
            <w:u w:val="single"/>
          </w:rPr>
          <w:t xml:space="preserve"> </w:t>
        </w:r>
      </w:hyperlink>
      <w:r w:rsidRPr="00DB3A74">
        <w:rPr>
          <w:rFonts w:eastAsia="Calibri"/>
        </w:rPr>
        <w:t>(TOPAC) meetings.</w:t>
      </w:r>
      <w:r w:rsidRPr="00DB3A74">
        <w:rPr>
          <w:rFonts w:eastAsia="Calibri"/>
          <w:vertAlign w:val="superscript"/>
        </w:rPr>
        <w:footnoteReference w:id="119"/>
      </w:r>
      <w:r w:rsidRPr="00DB3A74">
        <w:rPr>
          <w:rFonts w:eastAsia="Calibri"/>
        </w:rPr>
        <w:t xml:space="preserve"> </w:t>
      </w:r>
    </w:p>
    <w:p w:rsidR="00DB3A74" w:rsidRPr="00DB3A74" w:rsidRDefault="00DB3A74" w:rsidP="00655272">
      <w:pPr>
        <w:pStyle w:val="Heading2"/>
        <w:rPr>
          <w:rFonts w:eastAsia="Times New Roman"/>
        </w:rPr>
      </w:pPr>
      <w:bookmarkStart w:id="655" w:name="_Toc490323056"/>
      <w:bookmarkStart w:id="656" w:name="_Ref485720285"/>
      <w:bookmarkStart w:id="657" w:name="_Toc81544571"/>
      <w:r w:rsidRPr="00DB3A74">
        <w:rPr>
          <w:rFonts w:eastAsia="Times New Roman"/>
        </w:rPr>
        <w:t>RSP Project List and</w:t>
      </w:r>
      <w:r w:rsidR="00655272">
        <w:rPr>
          <w:rFonts w:eastAsia="Times New Roman"/>
        </w:rPr>
        <w:t xml:space="preserve"> Projected Transmission Project </w:t>
      </w:r>
      <w:r w:rsidRPr="00DB3A74">
        <w:rPr>
          <w:rFonts w:eastAsia="Times New Roman"/>
        </w:rPr>
        <w:t>Costs</w:t>
      </w:r>
      <w:bookmarkEnd w:id="603"/>
      <w:bookmarkEnd w:id="604"/>
      <w:bookmarkEnd w:id="655"/>
      <w:bookmarkEnd w:id="656"/>
      <w:bookmarkEnd w:id="657"/>
    </w:p>
    <w:p w:rsidR="00DB3A74" w:rsidRPr="00DB3A74" w:rsidRDefault="00DB3A74" w:rsidP="00DB3A74">
      <w:pPr>
        <w:rPr>
          <w:rFonts w:eastAsia="Calibri"/>
        </w:rPr>
      </w:pPr>
      <w:r w:rsidRPr="00DB3A74">
        <w:rPr>
          <w:rFonts w:eastAsia="Calibri"/>
        </w:rPr>
        <w:t xml:space="preserve">The </w:t>
      </w:r>
      <w:hyperlink r:id="rId295" w:history="1">
        <w:r w:rsidRPr="004433A3">
          <w:rPr>
            <w:rStyle w:val="Hyperlink"/>
            <w:i/>
          </w:rPr>
          <w:t>RSP Project List</w:t>
        </w:r>
      </w:hyperlink>
      <w:r w:rsidRPr="00DB3A74">
        <w:rPr>
          <w:rFonts w:eastAsia="Calibri"/>
          <w:i/>
        </w:rPr>
        <w:t xml:space="preserve"> </w:t>
      </w:r>
      <w:r w:rsidRPr="00DB3A74">
        <w:rPr>
          <w:rFonts w:eastAsia="Calibri"/>
        </w:rPr>
        <w:t xml:space="preserve">is a summary of needed transmission projects for the region and includes information on project type, the primary owner, the Transmission Upgrades and their status, and the estimated cost of the PTF portion of the project. The </w:t>
      </w:r>
      <w:hyperlink r:id="rId296" w:history="1">
        <w:r w:rsidR="00A91661" w:rsidRPr="004433A3">
          <w:rPr>
            <w:rStyle w:val="Hyperlink"/>
            <w:i/>
          </w:rPr>
          <w:t>RSP Project List</w:t>
        </w:r>
      </w:hyperlink>
      <w:r w:rsidRPr="004433A3">
        <w:rPr>
          <w:rStyle w:val="Hyperlink"/>
          <w:i/>
          <w:u w:val="none"/>
        </w:rPr>
        <w:t xml:space="preserve"> </w:t>
      </w:r>
      <w:r w:rsidRPr="00DB3A74">
        <w:rPr>
          <w:rFonts w:eastAsia="Calibri"/>
        </w:rPr>
        <w:t xml:space="preserve">includes the status of reliability transmission upgrades (RTUs), market efficiency transmission upgrades (METUs), elective transmission upgrades (ETUs), Public Policy Transmission Upgrades (PPTU), and generator-interconnection Transmission Upgrades. The ISO updates this list at least three times per year. Additional information on the project classifications included in the </w:t>
      </w:r>
      <w:hyperlink r:id="rId297" w:history="1">
        <w:r w:rsidRPr="004433A3">
          <w:rPr>
            <w:rStyle w:val="Hyperlink"/>
            <w:i/>
          </w:rPr>
          <w:t>RSP Project List</w:t>
        </w:r>
      </w:hyperlink>
      <w:r w:rsidRPr="00DB3A74">
        <w:rPr>
          <w:rFonts w:eastAsia="Calibri"/>
        </w:rPr>
        <w:t xml:space="preserve"> is available in the </w:t>
      </w:r>
      <w:hyperlink r:id="rId298" w:history="1">
        <w:r w:rsidRPr="004433A3">
          <w:rPr>
            <w:rStyle w:val="Hyperlink"/>
            <w:i/>
          </w:rPr>
          <w:t>Transmission Planning Process Guide</w:t>
        </w:r>
      </w:hyperlink>
      <w:r w:rsidRPr="00DB3A74">
        <w:rPr>
          <w:rFonts w:eastAsia="Calibri"/>
        </w:rPr>
        <w:t xml:space="preserve">. </w:t>
      </w:r>
    </w:p>
    <w:p w:rsidR="00DB3A74" w:rsidRPr="00DB3A74" w:rsidRDefault="00DB3A74" w:rsidP="00DB3A74">
      <w:pPr>
        <w:rPr>
          <w:rFonts w:eastAsia="Calibri"/>
        </w:rPr>
      </w:pPr>
      <w:r w:rsidRPr="00DB3A74">
        <w:rPr>
          <w:rFonts w:eastAsia="Calibri"/>
        </w:rPr>
        <w:t>The ISO regularly updates the PAC on RTU</w:t>
      </w:r>
      <w:r w:rsidR="00BF34DC">
        <w:rPr>
          <w:rFonts w:eastAsia="Calibri"/>
        </w:rPr>
        <w:t>s</w:t>
      </w:r>
      <w:r w:rsidRPr="00DB3A74">
        <w:rPr>
          <w:rFonts w:eastAsia="Calibri"/>
        </w:rPr>
        <w:t xml:space="preserve"> and METU</w:t>
      </w:r>
      <w:r w:rsidR="00BF34DC">
        <w:rPr>
          <w:rFonts w:eastAsia="Calibri"/>
        </w:rPr>
        <w:t>s</w:t>
      </w:r>
      <w:r w:rsidRPr="00DB3A74">
        <w:rPr>
          <w:rFonts w:eastAsia="Calibri"/>
        </w:rPr>
        <w:t xml:space="preserve"> and, as appropriate, Public Policy Transmission Upgrade</w:t>
      </w:r>
      <w:r w:rsidR="00BF34DC">
        <w:rPr>
          <w:rFonts w:eastAsia="Calibri"/>
        </w:rPr>
        <w:t>s</w:t>
      </w:r>
      <w:r w:rsidRPr="00DB3A74">
        <w:rPr>
          <w:rFonts w:eastAsia="Calibri"/>
        </w:rPr>
        <w:t xml:space="preserve"> including study schedules, scopes of work, assumptions, draft and final results, and project costs. Projects are considered part of the Regional System Plan consistent with their status and are subject to transmission cost allocation (TCA) for the region. RSP21 incorporates information from the June 2021 </w:t>
      </w:r>
      <w:hyperlink r:id="rId299" w:history="1">
        <w:r w:rsidRPr="004433A3">
          <w:rPr>
            <w:rStyle w:val="Hyperlink"/>
            <w:i/>
          </w:rPr>
          <w:t>RSP Project List</w:t>
        </w:r>
      </w:hyperlink>
      <w:r w:rsidRPr="00DB3A74">
        <w:rPr>
          <w:rFonts w:eastAsia="Calibri"/>
          <w:i/>
        </w:rPr>
        <w:t>.</w:t>
      </w:r>
      <w:r w:rsidRPr="00DB3A74">
        <w:rPr>
          <w:rFonts w:eastAsia="Calibri"/>
        </w:rPr>
        <w:t xml:space="preserve"> </w:t>
      </w:r>
    </w:p>
    <w:p w:rsidR="00DB3A74" w:rsidRPr="00DB3A74" w:rsidRDefault="00DB3A74" w:rsidP="00655272">
      <w:pPr>
        <w:pStyle w:val="Heading3"/>
        <w:rPr>
          <w:rFonts w:eastAsia="Times New Roman"/>
        </w:rPr>
      </w:pPr>
      <w:bookmarkStart w:id="658" w:name="_Reliability_Transmission_Upgrades"/>
      <w:bookmarkStart w:id="659" w:name="_Toc490323057"/>
      <w:bookmarkStart w:id="660" w:name="_Toc429063421"/>
      <w:bookmarkStart w:id="661" w:name="_Toc81544572"/>
      <w:bookmarkEnd w:id="658"/>
      <w:r w:rsidRPr="00DB3A74">
        <w:rPr>
          <w:rFonts w:eastAsia="Times New Roman"/>
        </w:rPr>
        <w:t>Reliability Transmission Upgrades</w:t>
      </w:r>
      <w:bookmarkEnd w:id="659"/>
      <w:bookmarkEnd w:id="660"/>
      <w:bookmarkEnd w:id="661"/>
    </w:p>
    <w:p w:rsidR="00DB3A74" w:rsidRPr="00DB3A74" w:rsidRDefault="00DB3A74" w:rsidP="00DB3A74">
      <w:pPr>
        <w:spacing w:after="0"/>
        <w:rPr>
          <w:rFonts w:ascii="Times New Roman" w:eastAsia="Times New Roman" w:hAnsi="Times New Roman"/>
          <w:sz w:val="24"/>
          <w:szCs w:val="24"/>
        </w:rPr>
      </w:pPr>
      <w:r w:rsidRPr="00DB3A74">
        <w:rPr>
          <w:rFonts w:eastAsia="Calibri"/>
        </w:rPr>
        <w:t>As of June 2021, the total estimated cost of reliability transmission upgrades—proposed, planned, and under construction—was approximately $1.1 billion, as shown in</w:t>
      </w:r>
      <w:r w:rsidR="0022032C">
        <w:rPr>
          <w:rFonts w:eastAsia="Calibri"/>
        </w:rPr>
        <w:t xml:space="preserve"> </w:t>
      </w:r>
      <w:hyperlink w:anchor="Table_5_1" w:history="1">
        <w:r w:rsidR="0022032C" w:rsidRPr="0022032C">
          <w:rPr>
            <w:rStyle w:val="Hyperlink"/>
            <w:rFonts w:eastAsia="Calibri"/>
          </w:rPr>
          <w:t>Table 5-1</w:t>
        </w:r>
      </w:hyperlink>
      <w:r w:rsidRPr="00DB3A74">
        <w:rPr>
          <w:rFonts w:eastAsia="Calibri"/>
        </w:rPr>
        <w:t xml:space="preserve">. Since 2002, 834 project components have been placed in service across the region to fortify the transmission system. </w:t>
      </w:r>
    </w:p>
    <w:p w:rsidR="00DB3A74" w:rsidRPr="00DB3A74" w:rsidRDefault="00DB3A74" w:rsidP="00645FD1">
      <w:pPr>
        <w:spacing w:after="120"/>
        <w:rPr>
          <w:rFonts w:eastAsia="Calibri"/>
        </w:rPr>
      </w:pPr>
    </w:p>
    <w:p w:rsidR="00DB3A74" w:rsidRPr="00DB3A74" w:rsidRDefault="00DB3A74" w:rsidP="00DB3A74">
      <w:pPr>
        <w:keepNext/>
        <w:keepLines/>
        <w:spacing w:after="120" w:line="240" w:lineRule="auto"/>
        <w:ind w:left="547" w:right="547"/>
        <w:jc w:val="center"/>
        <w:rPr>
          <w:rFonts w:ascii="Calibri" w:eastAsia="Times New Roman" w:hAnsi="Calibri"/>
          <w:b/>
          <w:szCs w:val="18"/>
        </w:rPr>
      </w:pPr>
      <w:bookmarkStart w:id="662" w:name="_Ref419567319"/>
      <w:bookmarkStart w:id="663" w:name="Table_5_1"/>
      <w:bookmarkStart w:id="664" w:name="_Toc491244014"/>
      <w:bookmarkStart w:id="665" w:name="_Toc429063569"/>
      <w:bookmarkStart w:id="666" w:name="_Toc81544637"/>
      <w:r w:rsidRPr="00DB3A74">
        <w:rPr>
          <w:rFonts w:ascii="Calibri" w:eastAsia="Calibri" w:hAnsi="Calibri"/>
          <w:b/>
          <w:bCs/>
          <w:szCs w:val="18"/>
        </w:rPr>
        <w:t xml:space="preserve">Table </w:t>
      </w:r>
      <w:r w:rsidR="001D2A17">
        <w:rPr>
          <w:rFonts w:ascii="Calibri" w:eastAsia="Calibri" w:hAnsi="Calibri"/>
          <w:b/>
          <w:bCs/>
          <w:szCs w:val="18"/>
        </w:rPr>
        <w:fldChar w:fldCharType="begin"/>
      </w:r>
      <w:r w:rsidR="001D2A17">
        <w:rPr>
          <w:rFonts w:ascii="Calibri" w:eastAsia="Calibri" w:hAnsi="Calibri"/>
          <w:b/>
          <w:bCs/>
          <w:szCs w:val="18"/>
        </w:rPr>
        <w:instrText xml:space="preserve"> STYLEREF 1 \s </w:instrText>
      </w:r>
      <w:r w:rsidR="001D2A17">
        <w:rPr>
          <w:rFonts w:ascii="Calibri" w:eastAsia="Calibri" w:hAnsi="Calibri"/>
          <w:b/>
          <w:bCs/>
          <w:szCs w:val="18"/>
        </w:rPr>
        <w:fldChar w:fldCharType="separate"/>
      </w:r>
      <w:r w:rsidR="001D2A17">
        <w:rPr>
          <w:rFonts w:ascii="Calibri" w:eastAsia="Calibri" w:hAnsi="Calibri"/>
          <w:b/>
          <w:bCs/>
          <w:noProof/>
          <w:szCs w:val="18"/>
        </w:rPr>
        <w:t>5</w:t>
      </w:r>
      <w:r w:rsidR="001D2A17">
        <w:rPr>
          <w:rFonts w:ascii="Calibri" w:eastAsia="Calibri" w:hAnsi="Calibri"/>
          <w:b/>
          <w:bCs/>
          <w:szCs w:val="18"/>
        </w:rPr>
        <w:fldChar w:fldCharType="end"/>
      </w:r>
      <w:r w:rsidR="001D2A17">
        <w:rPr>
          <w:rFonts w:ascii="Calibri" w:eastAsia="Calibri" w:hAnsi="Calibri"/>
          <w:b/>
          <w:bCs/>
          <w:szCs w:val="18"/>
        </w:rPr>
        <w:noBreakHyphen/>
      </w:r>
      <w:r w:rsidR="001D2A17">
        <w:rPr>
          <w:rFonts w:ascii="Calibri" w:eastAsia="Calibri" w:hAnsi="Calibri"/>
          <w:b/>
          <w:bCs/>
          <w:szCs w:val="18"/>
        </w:rPr>
        <w:fldChar w:fldCharType="begin"/>
      </w:r>
      <w:r w:rsidR="001D2A17">
        <w:rPr>
          <w:rFonts w:ascii="Calibri" w:eastAsia="Calibri" w:hAnsi="Calibri"/>
          <w:b/>
          <w:bCs/>
          <w:szCs w:val="18"/>
        </w:rPr>
        <w:instrText xml:space="preserve"> SEQ Table \* ARABIC \s 1 </w:instrText>
      </w:r>
      <w:r w:rsidR="001D2A17">
        <w:rPr>
          <w:rFonts w:ascii="Calibri" w:eastAsia="Calibri" w:hAnsi="Calibri"/>
          <w:b/>
          <w:bCs/>
          <w:szCs w:val="18"/>
        </w:rPr>
        <w:fldChar w:fldCharType="separate"/>
      </w:r>
      <w:r w:rsidR="001D2A17">
        <w:rPr>
          <w:rFonts w:ascii="Calibri" w:eastAsia="Calibri" w:hAnsi="Calibri"/>
          <w:b/>
          <w:bCs/>
          <w:noProof/>
          <w:szCs w:val="18"/>
        </w:rPr>
        <w:t>1</w:t>
      </w:r>
      <w:r w:rsidR="001D2A17">
        <w:rPr>
          <w:rFonts w:ascii="Calibri" w:eastAsia="Calibri" w:hAnsi="Calibri"/>
          <w:b/>
          <w:bCs/>
          <w:szCs w:val="18"/>
        </w:rPr>
        <w:fldChar w:fldCharType="end"/>
      </w:r>
      <w:bookmarkEnd w:id="662"/>
      <w:bookmarkEnd w:id="663"/>
      <w:r w:rsidRPr="00DB3A74">
        <w:rPr>
          <w:rFonts w:ascii="Calibri" w:eastAsia="Calibri" w:hAnsi="Calibri"/>
          <w:b/>
          <w:bCs/>
          <w:szCs w:val="18"/>
        </w:rPr>
        <w:br/>
      </w:r>
      <w:r w:rsidRPr="00DB3A74">
        <w:rPr>
          <w:rFonts w:ascii="Calibri" w:eastAsia="Times New Roman" w:hAnsi="Calibri"/>
          <w:b/>
          <w:bCs/>
        </w:rPr>
        <w:t>Estimated C</w:t>
      </w:r>
      <w:r w:rsidRPr="00DB3A74">
        <w:rPr>
          <w:rFonts w:ascii="Calibri" w:eastAsia="Times New Roman" w:hAnsi="Calibri"/>
          <w:b/>
          <w:szCs w:val="18"/>
        </w:rPr>
        <w:t>ost of Reliability Projects as of June</w:t>
      </w:r>
      <w:r w:rsidRPr="00DB3A74">
        <w:rPr>
          <w:rFonts w:ascii="Calibri" w:eastAsia="Times New Roman" w:hAnsi="Calibri"/>
          <w:b/>
          <w:bCs/>
        </w:rPr>
        <w:t xml:space="preserve"> 2021</w:t>
      </w:r>
      <w:r w:rsidRPr="00DB3A74">
        <w:rPr>
          <w:rFonts w:ascii="Calibri" w:eastAsia="Times New Roman" w:hAnsi="Calibri"/>
          <w:b/>
          <w:szCs w:val="18"/>
        </w:rPr>
        <w:t xml:space="preserve"> Plan Update (Million $)</w:t>
      </w:r>
      <w:bookmarkEnd w:id="664"/>
      <w:bookmarkEnd w:id="665"/>
      <w:bookmarkEnd w:id="66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DB3A74" w:rsidRPr="00DB3A74" w:rsidTr="00DB3A74">
        <w:trPr>
          <w:trHeight w:val="500"/>
          <w:jc w:val="center"/>
        </w:trPr>
        <w:tc>
          <w:tcPr>
            <w:tcW w:w="6495" w:type="dxa"/>
            <w:vMerge w:val="restart"/>
            <w:tcBorders>
              <w:top w:val="single" w:sz="2" w:space="0" w:color="auto"/>
              <w:left w:val="single" w:sz="2" w:space="0" w:color="auto"/>
              <w:bottom w:val="single" w:sz="2" w:space="0" w:color="auto"/>
              <w:right w:val="single" w:sz="2" w:space="0" w:color="auto"/>
            </w:tcBorders>
            <w:shd w:val="clear" w:color="auto" w:fill="1795D2" w:themeFill="accent1"/>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center"/>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Projects</w:t>
            </w:r>
          </w:p>
        </w:tc>
        <w:tc>
          <w:tcPr>
            <w:tcW w:w="2174" w:type="dxa"/>
            <w:vMerge w:val="restart"/>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center"/>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Project Costs</w:t>
            </w:r>
            <w:r w:rsidRPr="00DB3A74">
              <w:rPr>
                <w:rFonts w:ascii="Calibri" w:eastAsia="Times New Roman" w:hAnsi="Calibri" w:cs="Arial"/>
                <w:b/>
                <w:bCs/>
                <w:color w:val="FFFFFF" w:themeColor="background1"/>
                <w:sz w:val="18"/>
                <w:szCs w:val="18"/>
              </w:rPr>
              <w:br/>
              <w:t xml:space="preserve"> (millions of $)</w:t>
            </w:r>
            <w:r w:rsidRPr="00DB3A74">
              <w:rPr>
                <w:rFonts w:ascii="Calibri" w:eastAsia="Times New Roman" w:hAnsi="Calibri"/>
                <w:b/>
                <w:bCs/>
                <w:color w:val="FFFFFF" w:themeColor="background1"/>
                <w:vertAlign w:val="superscript"/>
              </w:rPr>
              <w:t>(a)</w:t>
            </w:r>
          </w:p>
        </w:tc>
      </w:tr>
      <w:tr w:rsidR="00DB3A74" w:rsidRPr="00DB3A74" w:rsidTr="00DB3A74">
        <w:trPr>
          <w:trHeight w:val="4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spacing w:after="0" w:line="276" w:lineRule="auto"/>
              <w:rPr>
                <w:rFonts w:ascii="Calibri" w:eastAsia="Times New Roman" w:hAnsi="Calibri" w:cs="Arial"/>
                <w:b/>
                <w:bCs/>
                <w:color w:val="FFFFFF" w:themeColor="background1"/>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spacing w:after="0" w:line="276" w:lineRule="auto"/>
              <w:rPr>
                <w:rFonts w:ascii="Calibri" w:eastAsia="Times New Roman" w:hAnsi="Calibri" w:cs="Arial"/>
                <w:b/>
                <w:bCs/>
                <w:color w:val="FFFFFF" w:themeColor="background1"/>
                <w:sz w:val="18"/>
                <w:szCs w:val="18"/>
              </w:rPr>
            </w:pPr>
          </w:p>
        </w:tc>
      </w:tr>
      <w:tr w:rsidR="00DB3A74" w:rsidRPr="00DB3A74" w:rsidTr="00DB3A74">
        <w:trPr>
          <w:trHeight w:val="278"/>
          <w:jc w:val="center"/>
        </w:trPr>
        <w:tc>
          <w:tcPr>
            <w:tcW w:w="8669"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color w:val="000000"/>
                <w:sz w:val="18"/>
                <w:szCs w:val="18"/>
              </w:rPr>
            </w:pPr>
            <w:r w:rsidRPr="00DB3A74">
              <w:rPr>
                <w:rFonts w:ascii="Calibri" w:eastAsia="Times New Roman" w:hAnsi="Calibri" w:cs="Arial"/>
                <w:b/>
                <w:bCs/>
                <w:color w:val="000000"/>
                <w:sz w:val="18"/>
                <w:szCs w:val="18"/>
              </w:rPr>
              <w:t>Major projects</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Southeast Massachusetts/Rhode Island Reliability Project</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359</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Greater Boston—North, South, Central, Western Suburbs</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1,043</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New Hampshire Solution—Southern, Central, Seacoast, Northern</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357</w:t>
            </w:r>
          </w:p>
        </w:tc>
      </w:tr>
      <w:tr w:rsidR="00DB3A74" w:rsidRPr="00DB3A74" w:rsidTr="00DB3A74">
        <w:trPr>
          <w:trHeight w:val="285"/>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Eastern CT</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221</w:t>
            </w:r>
          </w:p>
        </w:tc>
      </w:tr>
      <w:tr w:rsidR="00DB3A74" w:rsidRPr="00DB3A74" w:rsidTr="00DB3A74">
        <w:trPr>
          <w:trHeight w:val="285"/>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Boston Area Optimized Solution</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47</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Subtotal</w:t>
            </w:r>
            <w:r w:rsidRPr="00DB3A74">
              <w:rPr>
                <w:rFonts w:ascii="Calibri" w:eastAsia="Times New Roman" w:hAnsi="Calibri" w:cs="Arial"/>
                <w:b/>
                <w:color w:val="000000"/>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2,026</w:t>
            </w:r>
          </w:p>
        </w:tc>
      </w:tr>
      <w:tr w:rsidR="00DB3A74" w:rsidRPr="00DB3A74" w:rsidTr="00DB3A74">
        <w:trPr>
          <w:trHeight w:val="323"/>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000000"/>
                <w:sz w:val="18"/>
                <w:szCs w:val="18"/>
                <w:vertAlign w:val="superscript"/>
              </w:rPr>
            </w:pPr>
            <w:r w:rsidRPr="00DB3A74">
              <w:rPr>
                <w:rFonts w:ascii="Calibri" w:eastAsia="Times New Roman" w:hAnsi="Calibri" w:cs="Arial"/>
                <w:b/>
                <w:bCs/>
                <w:color w:val="000000"/>
                <w:sz w:val="18"/>
                <w:szCs w:val="18"/>
              </w:rPr>
              <w:t>Other projects</w:t>
            </w:r>
            <w:r w:rsidRPr="00DB3A74">
              <w:rPr>
                <w:rFonts w:ascii="Calibri" w:eastAsia="Times New Roman" w:hAnsi="Calibri" w:cs="Arial"/>
                <w:b/>
                <w:bCs/>
                <w:color w:val="000000"/>
                <w:sz w:val="18"/>
                <w:szCs w:val="18"/>
                <w:vertAlign w:val="superscript"/>
              </w:rPr>
              <w:t>(c)</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10,754</w:t>
            </w:r>
          </w:p>
        </w:tc>
      </w:tr>
      <w:tr w:rsidR="00DB3A74" w:rsidRPr="00DB3A74" w:rsidTr="00DB3A74">
        <w:trPr>
          <w:trHeight w:val="390"/>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000000"/>
                <w:sz w:val="18"/>
                <w:szCs w:val="18"/>
                <w:vertAlign w:val="superscript"/>
              </w:rPr>
            </w:pPr>
            <w:r w:rsidRPr="00DB3A74">
              <w:rPr>
                <w:rFonts w:ascii="Calibri" w:eastAsia="Times New Roman" w:hAnsi="Calibri" w:cs="Arial"/>
                <w:b/>
                <w:bCs/>
                <w:color w:val="000000"/>
                <w:sz w:val="18"/>
                <w:szCs w:val="18"/>
              </w:rPr>
              <w:t>New projects</w:t>
            </w:r>
            <w:r w:rsidRPr="00DB3A74">
              <w:rPr>
                <w:rFonts w:ascii="Calibri" w:eastAsia="Times New Roman" w:hAnsi="Calibri" w:cs="Arial"/>
                <w:b/>
                <w:bCs/>
                <w:color w:val="000000"/>
                <w:sz w:val="18"/>
                <w:szCs w:val="18"/>
                <w:vertAlign w:val="superscript"/>
              </w:rPr>
              <w:t>(d)</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0</w:t>
            </w:r>
          </w:p>
        </w:tc>
      </w:tr>
      <w:tr w:rsidR="00DB3A74" w:rsidRPr="00DB3A74" w:rsidTr="00DB3A74">
        <w:trPr>
          <w:trHeight w:val="349"/>
          <w:jc w:val="center"/>
        </w:trPr>
        <w:tc>
          <w:tcPr>
            <w:tcW w:w="6495" w:type="dxa"/>
            <w:tcBorders>
              <w:top w:val="single" w:sz="2" w:space="0" w:color="auto"/>
              <w:left w:val="single" w:sz="2" w:space="0" w:color="auto"/>
              <w:bottom w:val="single" w:sz="2" w:space="0" w:color="auto"/>
              <w:right w:val="single" w:sz="2" w:space="0" w:color="auto"/>
            </w:tcBorders>
            <w:shd w:val="clear" w:color="auto" w:fill="9AD6F4" w:themeFill="accent1" w:themeFillTint="66"/>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FFFFFF" w:themeColor="background1"/>
                <w:sz w:val="18"/>
                <w:szCs w:val="18"/>
              </w:rPr>
            </w:pPr>
            <w:r w:rsidRPr="00DB3A74">
              <w:rPr>
                <w:rFonts w:ascii="Calibri" w:eastAsia="Times New Roman" w:hAnsi="Calibri" w:cs="Arial"/>
                <w:b/>
                <w:color w:val="FFFFFF" w:themeColor="background1"/>
                <w:sz w:val="18"/>
                <w:szCs w:val="18"/>
              </w:rPr>
              <w:t>Total</w:t>
            </w:r>
            <w:r w:rsidRPr="00DB3A74">
              <w:rPr>
                <w:rFonts w:ascii="Calibri" w:eastAsia="Times New Roman" w:hAnsi="Calibri" w:cs="Arial"/>
                <w:b/>
                <w:color w:val="FFFFFF" w:themeColor="background1"/>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9AD6F4" w:themeFill="accent1" w:themeFillTint="66"/>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12,780</w:t>
            </w:r>
          </w:p>
        </w:tc>
      </w:tr>
      <w:tr w:rsidR="00DB3A74" w:rsidRPr="00DB3A74" w:rsidTr="00DB3A74">
        <w:trPr>
          <w:trHeight w:val="338"/>
          <w:jc w:val="center"/>
        </w:trPr>
        <w:tc>
          <w:tcPr>
            <w:tcW w:w="6495" w:type="dxa"/>
            <w:tcBorders>
              <w:top w:val="single" w:sz="2" w:space="0" w:color="auto"/>
              <w:left w:val="single" w:sz="2" w:space="0" w:color="auto"/>
              <w:bottom w:val="single" w:sz="2" w:space="0" w:color="auto"/>
              <w:right w:val="single" w:sz="2" w:space="0" w:color="auto"/>
            </w:tcBorders>
            <w:shd w:val="clear" w:color="auto" w:fill="C8E3F4" w:themeFill="text2"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Minus “in-service” projects</w:t>
            </w:r>
          </w:p>
        </w:tc>
        <w:tc>
          <w:tcPr>
            <w:tcW w:w="2174" w:type="dxa"/>
            <w:tcBorders>
              <w:top w:val="single" w:sz="2" w:space="0" w:color="auto"/>
              <w:left w:val="single" w:sz="2" w:space="0" w:color="auto"/>
              <w:bottom w:val="single" w:sz="2" w:space="0" w:color="auto"/>
              <w:right w:val="single" w:sz="2" w:space="0" w:color="auto"/>
            </w:tcBorders>
            <w:shd w:val="clear" w:color="auto" w:fill="C8E3F4" w:themeFill="text2"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−11,672</w:t>
            </w:r>
          </w:p>
        </w:tc>
      </w:tr>
      <w:tr w:rsidR="00DB3A74" w:rsidRPr="00DB3A74" w:rsidTr="00DB3A74">
        <w:trPr>
          <w:trHeight w:val="373"/>
          <w:jc w:val="center"/>
        </w:trPr>
        <w:tc>
          <w:tcPr>
            <w:tcW w:w="6495"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Aggregate estimate of active projects in the plan</w:t>
            </w:r>
            <w:r w:rsidRPr="00DB3A74">
              <w:rPr>
                <w:rFonts w:ascii="Calibri" w:eastAsia="Times New Roman" w:hAnsi="Calibri" w:cs="Arial"/>
                <w:b/>
                <w:bCs/>
                <w:color w:val="FFFFFF" w:themeColor="background1"/>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1795D2" w:themeFill="accent1"/>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1,108</w:t>
            </w:r>
          </w:p>
        </w:tc>
      </w:tr>
    </w:tbl>
    <w:p w:rsidR="00DB3A74" w:rsidRPr="00DB3A74" w:rsidRDefault="00DB3A74" w:rsidP="00DB3A74">
      <w:pPr>
        <w:keepNext/>
        <w:keepLines/>
        <w:numPr>
          <w:ilvl w:val="0"/>
          <w:numId w:val="51"/>
        </w:numPr>
        <w:spacing w:before="120" w:after="80" w:line="240" w:lineRule="auto"/>
        <w:rPr>
          <w:rFonts w:ascii="Calibri" w:eastAsia="Times New Roman" w:hAnsi="Calibri" w:cs="Calibri"/>
          <w:sz w:val="16"/>
          <w:szCs w:val="16"/>
        </w:rPr>
      </w:pPr>
      <w:r w:rsidRPr="00DB3A74">
        <w:rPr>
          <w:rFonts w:ascii="Calibri" w:eastAsia="Times New Roman" w:hAnsi="Calibri" w:cs="Calibri"/>
          <w:sz w:val="16"/>
          <w:szCs w:val="16"/>
        </w:rPr>
        <w:t xml:space="preserve">Transmission owners provided all estimated costs, which may not meet the guidelines described in </w:t>
      </w:r>
      <w:hyperlink r:id="rId300" w:history="1">
        <w:r w:rsidRPr="00F66927">
          <w:rPr>
            <w:rStyle w:val="Hyperlink"/>
            <w:rFonts w:ascii="Calibri" w:eastAsia="Times New Roman" w:hAnsi="Calibri" w:cs="Calibri"/>
            <w:sz w:val="16"/>
            <w:szCs w:val="16"/>
          </w:rPr>
          <w:t>Planning Procedure No. 4</w:t>
        </w:r>
      </w:hyperlink>
      <w:r w:rsidRPr="00DB3A74">
        <w:rPr>
          <w:rFonts w:ascii="Calibri" w:eastAsia="Times New Roman" w:hAnsi="Calibri" w:cs="Calibri"/>
          <w:sz w:val="16"/>
          <w:szCs w:val="16"/>
        </w:rPr>
        <w:t xml:space="preserve">, </w:t>
      </w:r>
      <w:r w:rsidRPr="00DB3A74">
        <w:rPr>
          <w:rFonts w:ascii="Calibri" w:eastAsia="Times New Roman" w:hAnsi="Calibri" w:cs="Calibri"/>
          <w:i/>
          <w:sz w:val="16"/>
          <w:szCs w:val="16"/>
        </w:rPr>
        <w:t>Procedure for Pool-Supported PTF Cost Review</w:t>
      </w:r>
      <w:r w:rsidRPr="00DB3A74">
        <w:rPr>
          <w:rFonts w:ascii="Calibri" w:eastAsia="Times New Roman" w:hAnsi="Calibri" w:cs="Calibri"/>
          <w:sz w:val="16"/>
          <w:szCs w:val="16"/>
        </w:rPr>
        <w:t>, Attachment D, “Project Cost Estimating Guidelines” (May 6, 2016).</w:t>
      </w:r>
    </w:p>
    <w:p w:rsidR="00DB3A74" w:rsidRPr="00DB3A74" w:rsidRDefault="00DB3A74" w:rsidP="00DB3A74">
      <w:pPr>
        <w:keepNext/>
        <w:keepLines/>
        <w:numPr>
          <w:ilvl w:val="0"/>
          <w:numId w:val="51"/>
        </w:numPr>
        <w:spacing w:after="80" w:line="240" w:lineRule="auto"/>
        <w:rPr>
          <w:rFonts w:ascii="Calibri" w:eastAsia="Times New Roman" w:hAnsi="Calibri" w:cs="Calibri"/>
          <w:sz w:val="16"/>
          <w:szCs w:val="16"/>
        </w:rPr>
      </w:pPr>
      <w:r w:rsidRPr="00DB3A74">
        <w:rPr>
          <w:rFonts w:ascii="Calibri" w:eastAsia="Times New Roman" w:hAnsi="Calibri" w:cs="Calibri"/>
          <w:sz w:val="16"/>
          <w:szCs w:val="16"/>
        </w:rPr>
        <w:t>Totals may not sum due to rounding.</w:t>
      </w:r>
    </w:p>
    <w:p w:rsidR="00DB3A74" w:rsidRPr="00DB3A74" w:rsidRDefault="00DB3A74" w:rsidP="00DB3A74">
      <w:pPr>
        <w:keepNext/>
        <w:keepLines/>
        <w:numPr>
          <w:ilvl w:val="0"/>
          <w:numId w:val="51"/>
        </w:numPr>
        <w:spacing w:after="80" w:line="240" w:lineRule="auto"/>
        <w:rPr>
          <w:rFonts w:ascii="Calibri" w:eastAsia="Times New Roman" w:hAnsi="Calibri" w:cs="Calibri"/>
          <w:sz w:val="16"/>
          <w:szCs w:val="16"/>
        </w:rPr>
      </w:pPr>
      <w:r w:rsidRPr="00DB3A74">
        <w:rPr>
          <w:rFonts w:ascii="Calibri" w:eastAsia="Times New Roman" w:hAnsi="Calibri" w:cs="Calibri"/>
          <w:sz w:val="16"/>
          <w:szCs w:val="16"/>
        </w:rPr>
        <w:t xml:space="preserve">The "Other Projects" category is the sum of all other project costs in the </w:t>
      </w:r>
      <w:r w:rsidRPr="00DB3A74">
        <w:rPr>
          <w:rFonts w:ascii="Calibri" w:eastAsia="Times New Roman" w:hAnsi="Calibri" w:cs="Calibri"/>
          <w:i/>
          <w:sz w:val="16"/>
          <w:szCs w:val="16"/>
        </w:rPr>
        <w:t>RSP Project List</w:t>
      </w:r>
      <w:r w:rsidRPr="00DB3A74">
        <w:rPr>
          <w:rFonts w:ascii="Calibri" w:eastAsia="Times New Roman" w:hAnsi="Calibri" w:cs="Calibri"/>
          <w:sz w:val="16"/>
          <w:szCs w:val="16"/>
        </w:rPr>
        <w:t xml:space="preserve"> not explicitly listed above. The cost estimates for projects in the “Major Projects” category move to the “Other Projects” category once they are completed.</w:t>
      </w:r>
    </w:p>
    <w:p w:rsidR="00DB3A74" w:rsidRPr="00DB3A74" w:rsidRDefault="00DB3A74" w:rsidP="00DB3A74">
      <w:pPr>
        <w:numPr>
          <w:ilvl w:val="0"/>
          <w:numId w:val="51"/>
        </w:numPr>
        <w:spacing w:after="120" w:line="240" w:lineRule="auto"/>
        <w:rPr>
          <w:rFonts w:ascii="Calibri" w:eastAsia="Times New Roman" w:hAnsi="Calibri" w:cs="Calibri"/>
          <w:sz w:val="16"/>
          <w:szCs w:val="16"/>
        </w:rPr>
      </w:pPr>
      <w:r w:rsidRPr="00DB3A74">
        <w:rPr>
          <w:rFonts w:ascii="Calibri" w:eastAsia="Times New Roman" w:hAnsi="Calibri" w:cs="Calibri"/>
          <w:sz w:val="16"/>
          <w:szCs w:val="16"/>
        </w:rPr>
        <w:t xml:space="preserve">The cost for the “New Projects” category reflects updated costs from the </w:t>
      </w:r>
      <w:r w:rsidRPr="00A52C03">
        <w:rPr>
          <w:rFonts w:ascii="Calibri" w:eastAsia="Times New Roman" w:hAnsi="Calibri" w:cs="Calibri"/>
          <w:i/>
          <w:sz w:val="16"/>
          <w:szCs w:val="16"/>
        </w:rPr>
        <w:t xml:space="preserve">June 2021 </w:t>
      </w:r>
      <w:r w:rsidR="00A52C03" w:rsidRPr="00A52C03">
        <w:rPr>
          <w:rFonts w:ascii="Calibri" w:eastAsia="Times New Roman" w:hAnsi="Calibri" w:cs="Calibri"/>
          <w:i/>
          <w:sz w:val="16"/>
          <w:szCs w:val="16"/>
        </w:rPr>
        <w:t>P</w:t>
      </w:r>
      <w:r w:rsidRPr="00A52C03">
        <w:rPr>
          <w:rFonts w:ascii="Calibri" w:eastAsia="Times New Roman" w:hAnsi="Calibri" w:cs="Calibri"/>
          <w:i/>
          <w:sz w:val="16"/>
          <w:szCs w:val="16"/>
        </w:rPr>
        <w:t xml:space="preserve">roject </w:t>
      </w:r>
      <w:r w:rsidR="00A52C03" w:rsidRPr="00A52C03">
        <w:rPr>
          <w:rFonts w:ascii="Calibri" w:eastAsia="Times New Roman" w:hAnsi="Calibri" w:cs="Calibri"/>
          <w:i/>
          <w:sz w:val="16"/>
          <w:szCs w:val="16"/>
        </w:rPr>
        <w:t>L</w:t>
      </w:r>
      <w:r w:rsidRPr="00A52C03">
        <w:rPr>
          <w:rFonts w:ascii="Calibri" w:eastAsia="Times New Roman" w:hAnsi="Calibri" w:cs="Calibri"/>
          <w:i/>
          <w:sz w:val="16"/>
          <w:szCs w:val="16"/>
        </w:rPr>
        <w:t>ist</w:t>
      </w:r>
      <w:r w:rsidRPr="00DB3A74">
        <w:rPr>
          <w:rFonts w:ascii="Calibri" w:eastAsia="Times New Roman" w:hAnsi="Calibri" w:cs="Calibri"/>
          <w:sz w:val="16"/>
          <w:szCs w:val="16"/>
        </w:rPr>
        <w:t xml:space="preserve"> update compared with the March 2021 update.</w:t>
      </w:r>
    </w:p>
    <w:p w:rsidR="002D6281" w:rsidRDefault="002D6281" w:rsidP="00171487">
      <w:pPr>
        <w:pStyle w:val="Caption"/>
        <w:jc w:val="left"/>
        <w:rPr>
          <w:rFonts w:ascii="Cambria" w:eastAsia="Calibri" w:hAnsi="Cambria"/>
          <w:b w:val="0"/>
          <w:szCs w:val="20"/>
        </w:rPr>
      </w:pPr>
    </w:p>
    <w:p w:rsidR="002D6281" w:rsidRPr="002D6281" w:rsidRDefault="002D6281" w:rsidP="00171487">
      <w:pPr>
        <w:pStyle w:val="Caption"/>
        <w:jc w:val="left"/>
        <w:rPr>
          <w:rFonts w:eastAsia="Calibri"/>
          <w:b w:val="0"/>
        </w:rPr>
      </w:pPr>
      <w:r w:rsidRPr="002D6281">
        <w:rPr>
          <w:rFonts w:eastAsia="Calibri"/>
          <w:b w:val="0"/>
        </w:rPr>
        <w:t>In addition, 47 project components have a status of planned, proposed, or under construction. Overall, the estimated investment in New England to maintain reliability has been $11.7 billion from 2002 to June 2021</w:t>
      </w:r>
      <w:r>
        <w:rPr>
          <w:rFonts w:eastAsia="Calibri"/>
          <w:b w:val="0"/>
        </w:rPr>
        <w:t xml:space="preserve"> as illustrated in</w:t>
      </w:r>
      <w:r w:rsidR="00614B78">
        <w:rPr>
          <w:rFonts w:eastAsia="Calibri"/>
          <w:b w:val="0"/>
        </w:rPr>
        <w:t xml:space="preserve"> </w:t>
      </w:r>
      <w:r w:rsidR="00614B78">
        <w:rPr>
          <w:rFonts w:eastAsia="Calibri"/>
          <w:b w:val="0"/>
        </w:rPr>
        <w:fldChar w:fldCharType="begin"/>
      </w:r>
      <w:r w:rsidR="00614B78">
        <w:rPr>
          <w:rFonts w:eastAsia="Calibri"/>
          <w:b w:val="0"/>
        </w:rPr>
        <w:instrText xml:space="preserve"> REF _Ref79561317 \h </w:instrText>
      </w:r>
      <w:r w:rsidR="00614B78">
        <w:rPr>
          <w:rFonts w:eastAsia="Calibri"/>
          <w:b w:val="0"/>
        </w:rPr>
      </w:r>
      <w:r w:rsidR="00614B78">
        <w:rPr>
          <w:rFonts w:eastAsia="Calibri"/>
          <w:b w:val="0"/>
        </w:rPr>
        <w:fldChar w:fldCharType="separate"/>
      </w:r>
      <w:r w:rsidR="00614B78">
        <w:t xml:space="preserve">Figure </w:t>
      </w:r>
      <w:r w:rsidR="00614B78">
        <w:rPr>
          <w:noProof/>
        </w:rPr>
        <w:t>5</w:t>
      </w:r>
      <w:r w:rsidR="00614B78">
        <w:noBreakHyphen/>
      </w:r>
      <w:r w:rsidR="00614B78">
        <w:rPr>
          <w:noProof/>
        </w:rPr>
        <w:t>2</w:t>
      </w:r>
      <w:r w:rsidR="00614B78">
        <w:rPr>
          <w:rFonts w:eastAsia="Calibri"/>
          <w:b w:val="0"/>
        </w:rPr>
        <w:fldChar w:fldCharType="end"/>
      </w:r>
      <w:r>
        <w:rPr>
          <w:rFonts w:eastAsia="Calibri"/>
          <w:b w:val="0"/>
        </w:rPr>
        <w:t xml:space="preserve"> below</w:t>
      </w:r>
      <w:r w:rsidRPr="002D6281">
        <w:rPr>
          <w:rFonts w:eastAsia="Calibri"/>
          <w:b w:val="0"/>
        </w:rPr>
        <w:t xml:space="preserve">. The ISO maintains a spreadsheet that lists all projects where a </w:t>
      </w:r>
      <w:hyperlink r:id="rId301" w:history="1">
        <w:r w:rsidRPr="002D6281">
          <w:rPr>
            <w:rStyle w:val="Hyperlink"/>
            <w:b w:val="0"/>
          </w:rPr>
          <w:t>TCA application</w:t>
        </w:r>
      </w:hyperlink>
      <w:r w:rsidRPr="002D6281">
        <w:rPr>
          <w:rFonts w:eastAsia="Calibri"/>
          <w:b w:val="0"/>
        </w:rPr>
        <w:t xml:space="preserve"> has been submitted and identifies those costs the ISO deemed as localized in accordance with Schedule 12C of the Open-Access Transmission Tariff.</w:t>
      </w:r>
    </w:p>
    <w:p w:rsidR="002D6281" w:rsidRDefault="002D6281" w:rsidP="002D6281">
      <w:pPr>
        <w:pStyle w:val="Caption"/>
        <w:rPr>
          <w:rFonts w:eastAsia="Calibri"/>
        </w:rPr>
      </w:pPr>
      <w:r w:rsidRPr="002D6281">
        <w:rPr>
          <w:noProof/>
        </w:rPr>
        <w:drawing>
          <wp:inline distT="0" distB="0" distL="0" distR="0" wp14:anchorId="6E930C5A" wp14:editId="1A4DC74B">
            <wp:extent cx="5943600" cy="26187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43600" cy="2618778"/>
                    </a:xfrm>
                    <a:prstGeom prst="rect">
                      <a:avLst/>
                    </a:prstGeom>
                    <a:noFill/>
                    <a:ln>
                      <a:noFill/>
                    </a:ln>
                  </pic:spPr>
                </pic:pic>
              </a:graphicData>
            </a:graphic>
          </wp:inline>
        </w:drawing>
      </w:r>
    </w:p>
    <w:p w:rsidR="002D6281" w:rsidRPr="002D6281" w:rsidRDefault="00F85E49" w:rsidP="00645FD1">
      <w:pPr>
        <w:pStyle w:val="Caption"/>
        <w:jc w:val="left"/>
        <w:rPr>
          <w:rFonts w:eastAsia="Calibri"/>
        </w:rPr>
      </w:pPr>
      <w:bookmarkStart w:id="667" w:name="_Ref79561317"/>
      <w:bookmarkStart w:id="668" w:name="_Toc81544612"/>
      <w:r>
        <w:t xml:space="preserve">Figure </w:t>
      </w:r>
      <w:fldSimple w:instr=" STYLEREF 1 \s ">
        <w:r>
          <w:rPr>
            <w:noProof/>
          </w:rPr>
          <w:t>5</w:t>
        </w:r>
      </w:fldSimple>
      <w:r>
        <w:noBreakHyphen/>
      </w:r>
      <w:fldSimple w:instr=" SEQ Figure \* ARABIC \s 1 ">
        <w:r>
          <w:rPr>
            <w:noProof/>
          </w:rPr>
          <w:t>2</w:t>
        </w:r>
      </w:fldSimple>
      <w:bookmarkEnd w:id="667"/>
      <w:r w:rsidR="002D6281" w:rsidRPr="002D6281">
        <w:rPr>
          <w:rFonts w:eastAsia="Calibri"/>
        </w:rPr>
        <w:t xml:space="preserve">:  Transmission </w:t>
      </w:r>
      <w:r>
        <w:rPr>
          <w:rFonts w:eastAsia="Calibri"/>
        </w:rPr>
        <w:t>i</w:t>
      </w:r>
      <w:r w:rsidR="002D6281" w:rsidRPr="002D6281">
        <w:rPr>
          <w:rFonts w:eastAsia="Calibri"/>
        </w:rPr>
        <w:t xml:space="preserve">nvestment by </w:t>
      </w:r>
      <w:r>
        <w:rPr>
          <w:rFonts w:eastAsia="Calibri"/>
        </w:rPr>
        <w:t>y</w:t>
      </w:r>
      <w:r w:rsidR="002D6281" w:rsidRPr="002D6281">
        <w:rPr>
          <w:rFonts w:eastAsia="Calibri"/>
        </w:rPr>
        <w:t xml:space="preserve">ear that </w:t>
      </w:r>
      <w:r>
        <w:rPr>
          <w:rFonts w:eastAsia="Calibri"/>
        </w:rPr>
        <w:t>p</w:t>
      </w:r>
      <w:r w:rsidR="002D6281" w:rsidRPr="002D6281">
        <w:rPr>
          <w:rFonts w:eastAsia="Calibri"/>
        </w:rPr>
        <w:t xml:space="preserve">rojects are </w:t>
      </w:r>
      <w:r>
        <w:rPr>
          <w:rFonts w:eastAsia="Calibri"/>
        </w:rPr>
        <w:t>i</w:t>
      </w:r>
      <w:r w:rsidR="002D6281" w:rsidRPr="002D6281">
        <w:rPr>
          <w:rFonts w:eastAsia="Calibri"/>
        </w:rPr>
        <w:t>n</w:t>
      </w:r>
      <w:r>
        <w:rPr>
          <w:rFonts w:eastAsia="Calibri"/>
        </w:rPr>
        <w:t>-</w:t>
      </w:r>
      <w:r w:rsidR="002D6281" w:rsidRPr="002D6281">
        <w:rPr>
          <w:rFonts w:eastAsia="Calibri"/>
        </w:rPr>
        <w:t>service (capital costs)</w:t>
      </w:r>
      <w:bookmarkEnd w:id="668"/>
    </w:p>
    <w:p w:rsidR="00627698" w:rsidRDefault="00627698" w:rsidP="002D6281">
      <w:pPr>
        <w:spacing w:after="0"/>
        <w:rPr>
          <w:rFonts w:ascii="Calibri" w:eastAsia="Calibri" w:hAnsi="Calibri"/>
          <w:bCs/>
          <w:szCs w:val="18"/>
        </w:rPr>
      </w:pPr>
      <w:r>
        <w:rPr>
          <w:rFonts w:ascii="Calibri" w:eastAsia="Calibri" w:hAnsi="Calibri"/>
          <w:b/>
          <w:bCs/>
          <w:szCs w:val="18"/>
        </w:rPr>
        <w:t>Source:</w:t>
      </w:r>
      <w:r w:rsidR="002D6281" w:rsidRPr="00627698">
        <w:rPr>
          <w:rFonts w:ascii="Calibri" w:eastAsia="Calibri" w:hAnsi="Calibri"/>
          <w:bCs/>
          <w:szCs w:val="18"/>
        </w:rPr>
        <w:t xml:space="preserve"> ISO New England RSP Transmission Project Listing, June 2021.  </w:t>
      </w:r>
    </w:p>
    <w:p w:rsidR="002D6281" w:rsidRPr="002D6281" w:rsidRDefault="00627698" w:rsidP="002D6281">
      <w:pPr>
        <w:spacing w:after="0"/>
        <w:rPr>
          <w:rFonts w:ascii="Calibri" w:eastAsia="Calibri" w:hAnsi="Calibri"/>
          <w:b/>
          <w:bCs/>
          <w:szCs w:val="18"/>
        </w:rPr>
      </w:pPr>
      <w:r w:rsidRPr="00627698">
        <w:rPr>
          <w:rFonts w:ascii="Calibri" w:eastAsia="Calibri" w:hAnsi="Calibri"/>
          <w:b/>
          <w:bCs/>
          <w:szCs w:val="18"/>
        </w:rPr>
        <w:t>Notes:</w:t>
      </w:r>
      <w:r>
        <w:rPr>
          <w:rFonts w:ascii="Calibri" w:eastAsia="Calibri" w:hAnsi="Calibri"/>
          <w:bCs/>
          <w:szCs w:val="18"/>
        </w:rPr>
        <w:t xml:space="preserve">  </w:t>
      </w:r>
      <w:r w:rsidR="002D6281" w:rsidRPr="00627698">
        <w:rPr>
          <w:rFonts w:ascii="Calibri" w:eastAsia="Calibri" w:hAnsi="Calibri"/>
          <w:bCs/>
          <w:szCs w:val="18"/>
        </w:rPr>
        <w:t>Estimated future investment includes projects under construction, planned and proposed.</w:t>
      </w:r>
    </w:p>
    <w:p w:rsidR="002D6281" w:rsidRPr="002D6281" w:rsidRDefault="002D6281" w:rsidP="002D6281"/>
    <w:p w:rsidR="00171487" w:rsidRDefault="006B6C9D" w:rsidP="00171487">
      <w:pPr>
        <w:pStyle w:val="Caption"/>
        <w:jc w:val="left"/>
        <w:rPr>
          <w:b w:val="0"/>
          <w:bCs w:val="0"/>
        </w:rPr>
      </w:pPr>
      <w:r w:rsidRPr="00F37543">
        <w:rPr>
          <w:rFonts w:ascii="Cambria" w:eastAsia="Calibri" w:hAnsi="Cambria"/>
          <w:b w:val="0"/>
          <w:szCs w:val="20"/>
        </w:rPr>
        <w:t xml:space="preserve">The Participating Transmission Owner (PTO) Administrative Committee provides </w:t>
      </w:r>
      <w:r w:rsidR="006E08FF">
        <w:rPr>
          <w:rFonts w:ascii="Cambria" w:eastAsia="Calibri" w:hAnsi="Cambria"/>
          <w:b w:val="0"/>
          <w:szCs w:val="20"/>
        </w:rPr>
        <w:t xml:space="preserve">an </w:t>
      </w:r>
      <w:hyperlink r:id="rId303" w:history="1">
        <w:r w:rsidRPr="006E08FF">
          <w:rPr>
            <w:rStyle w:val="Hyperlink"/>
            <w:rFonts w:ascii="Cambria" w:eastAsia="Calibri" w:hAnsi="Cambria"/>
            <w:b w:val="0"/>
            <w:szCs w:val="20"/>
          </w:rPr>
          <w:t>annual informational filing</w:t>
        </w:r>
      </w:hyperlink>
      <w:r w:rsidRPr="00F37543">
        <w:rPr>
          <w:rFonts w:ascii="Cambria" w:eastAsia="Calibri" w:hAnsi="Cambria"/>
          <w:b w:val="0"/>
          <w:szCs w:val="20"/>
        </w:rPr>
        <w:t xml:space="preserve"> to FERC on the current and upcoming regional transmission service rates and annual updates to the ISO and New England Power Pool. </w:t>
      </w:r>
      <w:r w:rsidR="00645FD1" w:rsidRPr="00645FD1">
        <w:rPr>
          <w:rFonts w:ascii="Cambria" w:hAnsi="Cambria"/>
          <w:b w:val="0"/>
          <w:szCs w:val="20"/>
        </w:rPr>
        <w:fldChar w:fldCharType="begin"/>
      </w:r>
      <w:r w:rsidR="00645FD1" w:rsidRPr="00645FD1">
        <w:rPr>
          <w:rFonts w:ascii="Cambria" w:hAnsi="Cambria"/>
          <w:b w:val="0"/>
          <w:szCs w:val="20"/>
        </w:rPr>
        <w:instrText xml:space="preserve"> REF _Ref81476418 \h </w:instrText>
      </w:r>
      <w:r w:rsidR="00645FD1" w:rsidRPr="00645FD1">
        <w:rPr>
          <w:rFonts w:ascii="Cambria" w:hAnsi="Cambria"/>
          <w:b w:val="0"/>
          <w:szCs w:val="20"/>
        </w:rPr>
      </w:r>
      <w:r w:rsidR="00645FD1">
        <w:rPr>
          <w:rFonts w:ascii="Cambria" w:hAnsi="Cambria"/>
          <w:b w:val="0"/>
          <w:szCs w:val="20"/>
        </w:rPr>
        <w:instrText xml:space="preserve"> \* MERGEFORMAT </w:instrText>
      </w:r>
      <w:r w:rsidR="00645FD1" w:rsidRPr="00645FD1">
        <w:rPr>
          <w:rFonts w:ascii="Cambria" w:hAnsi="Cambria"/>
          <w:b w:val="0"/>
          <w:szCs w:val="20"/>
        </w:rPr>
        <w:fldChar w:fldCharType="separate"/>
      </w:r>
      <w:r w:rsidR="00645FD1" w:rsidRPr="00645FD1">
        <w:rPr>
          <w:rFonts w:ascii="Cambria" w:hAnsi="Cambria"/>
        </w:rPr>
        <w:t xml:space="preserve">Table </w:t>
      </w:r>
      <w:r w:rsidR="00645FD1" w:rsidRPr="00645FD1">
        <w:rPr>
          <w:rFonts w:ascii="Cambria" w:hAnsi="Cambria"/>
          <w:noProof/>
        </w:rPr>
        <w:t>5</w:t>
      </w:r>
      <w:r w:rsidR="00645FD1" w:rsidRPr="00645FD1">
        <w:rPr>
          <w:rFonts w:ascii="Cambria" w:hAnsi="Cambria"/>
        </w:rPr>
        <w:noBreakHyphen/>
      </w:r>
      <w:r w:rsidR="00645FD1" w:rsidRPr="00645FD1">
        <w:rPr>
          <w:rFonts w:ascii="Cambria" w:hAnsi="Cambria"/>
          <w:noProof/>
        </w:rPr>
        <w:t>2</w:t>
      </w:r>
      <w:r w:rsidR="00645FD1" w:rsidRPr="00645FD1">
        <w:rPr>
          <w:rFonts w:ascii="Cambria" w:hAnsi="Cambria"/>
          <w:b w:val="0"/>
          <w:szCs w:val="20"/>
        </w:rPr>
        <w:fldChar w:fldCharType="end"/>
      </w:r>
      <w:r w:rsidR="00645FD1">
        <w:rPr>
          <w:rFonts w:ascii="Cambria" w:hAnsi="Cambria"/>
          <w:b w:val="0"/>
          <w:szCs w:val="20"/>
        </w:rPr>
        <w:t xml:space="preserve"> </w:t>
      </w:r>
      <w:r w:rsidR="00825C4B" w:rsidRPr="00F37543">
        <w:rPr>
          <w:rFonts w:ascii="Cambria" w:hAnsi="Cambria"/>
          <w:b w:val="0"/>
          <w:szCs w:val="20"/>
        </w:rPr>
        <w:t>s</w:t>
      </w:r>
      <w:r w:rsidRPr="00F37543">
        <w:rPr>
          <w:rFonts w:ascii="Cambria" w:eastAsia="Calibri" w:hAnsi="Cambria"/>
          <w:b w:val="0"/>
          <w:szCs w:val="20"/>
        </w:rPr>
        <w:t>hows a</w:t>
      </w:r>
      <w:r w:rsidRPr="00F37543">
        <w:rPr>
          <w:rFonts w:ascii="Cambria" w:hAnsi="Cambria"/>
          <w:b w:val="0"/>
          <w:szCs w:val="20"/>
        </w:rPr>
        <w:t>ctuals for recent years and upcoming rates for the next year</w:t>
      </w:r>
      <w:r w:rsidRPr="00F37543">
        <w:rPr>
          <w:rFonts w:ascii="Cambria" w:eastAsia="Calibri" w:hAnsi="Cambria"/>
          <w:b w:val="0"/>
          <w:szCs w:val="20"/>
        </w:rPr>
        <w:t>.</w:t>
      </w:r>
      <w:r w:rsidRPr="00F37543">
        <w:rPr>
          <w:rFonts w:ascii="Cambria" w:eastAsia="Calibri" w:hAnsi="Cambria"/>
          <w:b w:val="0"/>
          <w:szCs w:val="20"/>
          <w:vertAlign w:val="superscript"/>
        </w:rPr>
        <w:footnoteReference w:id="120"/>
      </w:r>
      <w:r w:rsidR="00171487">
        <w:rPr>
          <w:rFonts w:ascii="Cambria" w:eastAsia="Calibri" w:hAnsi="Cambria"/>
          <w:b w:val="0"/>
          <w:szCs w:val="20"/>
        </w:rPr>
        <w:t xml:space="preserve"> </w:t>
      </w:r>
      <w:bookmarkStart w:id="669" w:name="_Ref77664518"/>
      <w:r w:rsidR="00171487">
        <w:br w:type="page"/>
      </w:r>
    </w:p>
    <w:p w:rsidR="006B6C9D" w:rsidRPr="00DB3A74" w:rsidRDefault="00F37543" w:rsidP="00F37543">
      <w:pPr>
        <w:pStyle w:val="Caption"/>
        <w:rPr>
          <w:rFonts w:eastAsia="Calibri"/>
          <w:b w:val="0"/>
          <w:vertAlign w:val="superscript"/>
        </w:rPr>
      </w:pPr>
      <w:bookmarkStart w:id="670" w:name="_Ref81476418"/>
      <w:bookmarkStart w:id="671" w:name="_Toc81544638"/>
      <w:r>
        <w:t xml:space="preserve">Table </w:t>
      </w:r>
      <w:fldSimple w:instr=" STYLEREF 1 \s ">
        <w:r w:rsidR="001D2A17">
          <w:rPr>
            <w:noProof/>
          </w:rPr>
          <w:t>5</w:t>
        </w:r>
      </w:fldSimple>
      <w:r w:rsidR="001D2A17">
        <w:noBreakHyphen/>
      </w:r>
      <w:fldSimple w:instr=" SEQ Table \* ARABIC \s 1 ">
        <w:r w:rsidR="001D2A17">
          <w:rPr>
            <w:noProof/>
          </w:rPr>
          <w:t>2</w:t>
        </w:r>
      </w:fldSimple>
      <w:bookmarkEnd w:id="669"/>
      <w:bookmarkEnd w:id="670"/>
      <w:r w:rsidR="006B6C9D" w:rsidRPr="00DB3A74">
        <w:rPr>
          <w:rFonts w:eastAsia="Calibri"/>
        </w:rPr>
        <w:br/>
        <w:t xml:space="preserve">Actual and Forecast Regional Transmission Service Rates, </w:t>
      </w:r>
      <w:r w:rsidR="006B6C9D">
        <w:rPr>
          <w:rFonts w:eastAsia="Calibri"/>
        </w:rPr>
        <w:t>2020</w:t>
      </w:r>
      <w:r w:rsidR="006B6C9D" w:rsidRPr="00DB3A74">
        <w:rPr>
          <w:rFonts w:eastAsia="Calibri"/>
        </w:rPr>
        <w:t xml:space="preserve"> to </w:t>
      </w:r>
      <w:r w:rsidR="006B6C9D">
        <w:rPr>
          <w:rFonts w:eastAsia="Calibri"/>
        </w:rPr>
        <w:t>2022</w:t>
      </w:r>
      <w:r w:rsidR="006B6C9D" w:rsidRPr="00DB3A74">
        <w:rPr>
          <w:rFonts w:eastAsia="Calibri"/>
          <w:vertAlign w:val="superscript"/>
        </w:rPr>
        <w:t>(a)</w:t>
      </w:r>
      <w:bookmarkEnd w:id="671"/>
    </w:p>
    <w:tbl>
      <w:tblPr>
        <w:tblW w:w="6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337"/>
        <w:gridCol w:w="1497"/>
        <w:gridCol w:w="1058"/>
        <w:gridCol w:w="1135"/>
      </w:tblGrid>
      <w:tr w:rsidR="00E135E1" w:rsidRPr="006E073B" w:rsidTr="004433A3">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b/>
                <w:bCs/>
                <w:color w:val="FFFFFF" w:themeColor="background1"/>
                <w:sz w:val="18"/>
                <w:szCs w:val="18"/>
              </w:rPr>
            </w:pPr>
            <w:r w:rsidRPr="006E073B">
              <w:rPr>
                <w:rFonts w:ascii="Calibri" w:eastAsia="Times New Roman" w:hAnsi="Calibri" w:cs="Arial"/>
                <w:b/>
                <w:bCs/>
                <w:color w:val="FFFFFF" w:themeColor="background1"/>
                <w:sz w:val="18"/>
                <w:szCs w:val="18"/>
              </w:rPr>
              <w:t>Rate effective:</w:t>
            </w:r>
          </w:p>
        </w:tc>
        <w:tc>
          <w:tcPr>
            <w:tcW w:w="1497"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6/1/2020</w:t>
            </w:r>
            <w:r w:rsidRPr="00894B85">
              <w:rPr>
                <w:rFonts w:ascii="Calibri" w:eastAsia="Times New Roman" w:hAnsi="Calibri" w:cs="Arial"/>
                <w:b/>
                <w:color w:val="FFFFFF" w:themeColor="background1"/>
                <w:sz w:val="18"/>
                <w:szCs w:val="18"/>
                <w:vertAlign w:val="superscript"/>
              </w:rPr>
              <w:t>(b)</w:t>
            </w:r>
          </w:p>
        </w:tc>
        <w:tc>
          <w:tcPr>
            <w:tcW w:w="1058"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6/1/2021</w:t>
            </w:r>
            <w:r w:rsidRPr="0001148A">
              <w:rPr>
                <w:rFonts w:ascii="Calibri" w:eastAsia="Times New Roman" w:hAnsi="Calibri" w:cs="Arial"/>
                <w:b/>
                <w:bCs/>
                <w:color w:val="FFFFFF" w:themeColor="background1"/>
                <w:sz w:val="18"/>
                <w:szCs w:val="18"/>
                <w:vertAlign w:val="superscript"/>
              </w:rPr>
              <w:t>(</w:t>
            </w:r>
            <w:r>
              <w:rPr>
                <w:rFonts w:ascii="Calibri" w:eastAsia="Times New Roman" w:hAnsi="Calibri" w:cs="Arial"/>
                <w:b/>
                <w:bCs/>
                <w:color w:val="FFFFFF" w:themeColor="background1"/>
                <w:sz w:val="18"/>
                <w:szCs w:val="18"/>
                <w:vertAlign w:val="superscript"/>
              </w:rPr>
              <w:t>c</w:t>
            </w:r>
            <w:r w:rsidRPr="0001148A">
              <w:rPr>
                <w:rFonts w:ascii="Calibri" w:eastAsia="Times New Roman" w:hAnsi="Calibri" w:cs="Arial"/>
                <w:b/>
                <w:bCs/>
                <w:color w:val="FFFFFF" w:themeColor="background1"/>
                <w:sz w:val="18"/>
                <w:szCs w:val="18"/>
                <w:vertAlign w:val="superscript"/>
              </w:rPr>
              <w:t>)</w:t>
            </w:r>
          </w:p>
        </w:tc>
        <w:tc>
          <w:tcPr>
            <w:tcW w:w="113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1/1/2022</w:t>
            </w:r>
            <w:r w:rsidRPr="0001148A">
              <w:rPr>
                <w:rFonts w:ascii="Calibri" w:eastAsia="Times New Roman" w:hAnsi="Calibri" w:cs="Arial"/>
                <w:b/>
                <w:bCs/>
                <w:color w:val="FFFFFF" w:themeColor="background1"/>
                <w:sz w:val="18"/>
                <w:szCs w:val="18"/>
                <w:vertAlign w:val="superscript"/>
              </w:rPr>
              <w:t>(</w:t>
            </w:r>
            <w:r>
              <w:rPr>
                <w:rFonts w:ascii="Calibri" w:eastAsia="Times New Roman" w:hAnsi="Calibri" w:cs="Arial"/>
                <w:b/>
                <w:bCs/>
                <w:color w:val="FFFFFF" w:themeColor="background1"/>
                <w:sz w:val="18"/>
                <w:szCs w:val="18"/>
                <w:vertAlign w:val="superscript"/>
              </w:rPr>
              <w:t>c</w:t>
            </w:r>
            <w:r w:rsidRPr="0001148A">
              <w:rPr>
                <w:rFonts w:ascii="Calibri" w:eastAsia="Times New Roman" w:hAnsi="Calibri" w:cs="Arial"/>
                <w:b/>
                <w:bCs/>
                <w:color w:val="FFFFFF" w:themeColor="background1"/>
                <w:sz w:val="18"/>
                <w:szCs w:val="18"/>
                <w:vertAlign w:val="superscript"/>
              </w:rPr>
              <w:t>)</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xml:space="preserve">Estimated additions in service and CWIP </w:t>
            </w:r>
          </w:p>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millions)</w:t>
            </w:r>
            <w:r w:rsidRPr="006E073B">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d</w:t>
            </w:r>
            <w:r w:rsidRPr="006E073B">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569E0" w:rsidRDefault="00E135E1" w:rsidP="004433A3">
            <w:pPr>
              <w:widowControl w:val="0"/>
              <w:spacing w:before="20" w:after="20" w:line="240" w:lineRule="auto"/>
              <w:jc w:val="center"/>
              <w:rPr>
                <w:rFonts w:ascii="Calibri" w:eastAsia="Times New Roman" w:hAnsi="Calibri" w:cs="Arial"/>
                <w:sz w:val="18"/>
                <w:szCs w:val="18"/>
              </w:rPr>
            </w:pPr>
            <w:r w:rsidRPr="008569E0">
              <w:rPr>
                <w:rFonts w:ascii="Calibri" w:eastAsia="Times New Roman" w:hAnsi="Calibri" w:cs="Arial"/>
                <w:sz w:val="18"/>
                <w:szCs w:val="18"/>
              </w:rPr>
              <w:t>N/A</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1,132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1,039</w:t>
            </w:r>
            <w:r w:rsidRPr="00E946E8">
              <w:rPr>
                <w:rFonts w:ascii="Calibri" w:eastAsia="Times New Roman" w:hAnsi="Calibri" w:cs="Arial"/>
                <w:sz w:val="18"/>
                <w:szCs w:val="18"/>
                <w:vertAlign w:val="superscript"/>
              </w:rPr>
              <w:t>(e)</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155B8E" w:rsidRDefault="00E135E1" w:rsidP="004433A3">
            <w:pPr>
              <w:widowControl w:val="0"/>
              <w:spacing w:before="20" w:after="20" w:line="240" w:lineRule="auto"/>
              <w:rPr>
                <w:rFonts w:ascii="Calibri" w:eastAsia="Times New Roman" w:hAnsi="Calibri" w:cs="Arial"/>
                <w:b/>
                <w:color w:val="FF0000"/>
                <w:sz w:val="18"/>
                <w:szCs w:val="18"/>
              </w:rPr>
            </w:pPr>
            <w:r w:rsidRPr="006E073B">
              <w:rPr>
                <w:rFonts w:ascii="Calibri" w:eastAsia="Times New Roman" w:hAnsi="Calibri" w:cs="Arial"/>
                <w:b/>
                <w:sz w:val="18"/>
                <w:szCs w:val="18"/>
              </w:rPr>
              <w:t>Forecasted PTF incremental revenue requirement</w:t>
            </w:r>
            <w:r>
              <w:rPr>
                <w:rFonts w:ascii="Calibri" w:eastAsia="Times New Roman" w:hAnsi="Calibri" w:cs="Arial"/>
                <w:b/>
                <w:sz w:val="18"/>
                <w:szCs w:val="18"/>
              </w:rPr>
              <w:t xml:space="preserve"> </w:t>
            </w:r>
            <w:r w:rsidRPr="008569E0">
              <w:rPr>
                <w:rFonts w:ascii="Calibri" w:eastAsia="Times New Roman" w:hAnsi="Calibri" w:cs="Arial"/>
                <w:b/>
                <w:sz w:val="18"/>
                <w:szCs w:val="18"/>
              </w:rPr>
              <w:t>associated with estimated additions and CWIP</w:t>
            </w:r>
          </w:p>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millions)</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8569E0" w:rsidRDefault="00E135E1" w:rsidP="004433A3">
            <w:pPr>
              <w:widowControl w:val="0"/>
              <w:spacing w:before="20" w:after="20" w:line="240" w:lineRule="auto"/>
              <w:jc w:val="center"/>
              <w:rPr>
                <w:rFonts w:ascii="Calibri" w:eastAsia="Times New Roman" w:hAnsi="Calibri" w:cs="Arial"/>
                <w:sz w:val="18"/>
                <w:szCs w:val="18"/>
              </w:rPr>
            </w:pPr>
            <w:r w:rsidRPr="008569E0">
              <w:rPr>
                <w:rFonts w:ascii="Calibri" w:eastAsia="Times New Roman" w:hAnsi="Calibri" w:cs="Arial"/>
                <w:sz w:val="18"/>
                <w:szCs w:val="18"/>
              </w:rPr>
              <w:t>N/A</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w:t>
            </w:r>
            <w:r>
              <w:rPr>
                <w:rFonts w:ascii="Calibri" w:eastAsia="Times New Roman" w:hAnsi="Calibri" w:cs="Arial"/>
                <w:sz w:val="18"/>
                <w:szCs w:val="18"/>
              </w:rPr>
              <w:t>60</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56</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Total  annual revenue requirement</w:t>
            </w:r>
            <w:r w:rsidRPr="006E073B">
              <w:rPr>
                <w:rFonts w:ascii="Calibri" w:eastAsia="Times New Roman" w:hAnsi="Calibri" w:cs="Arial"/>
                <w:b/>
                <w:sz w:val="18"/>
                <w:szCs w:val="18"/>
              </w:rPr>
              <w:br/>
              <w:t>($ millions)</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w:t>
            </w:r>
            <w:r>
              <w:rPr>
                <w:rFonts w:ascii="Calibri" w:eastAsia="Times New Roman" w:hAnsi="Calibri"/>
                <w:sz w:val="18"/>
                <w:szCs w:val="18"/>
              </w:rPr>
              <w:t>399</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2,572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2,622</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Year-prior 12 CP (kW)</w:t>
            </w:r>
            <w:r w:rsidRPr="006E073B">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f</w:t>
            </w:r>
            <w:r w:rsidRPr="006E073B">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w:t>
            </w:r>
            <w:r>
              <w:rPr>
                <w:rFonts w:ascii="Calibri" w:eastAsia="Times New Roman" w:hAnsi="Calibri"/>
                <w:sz w:val="18"/>
                <w:szCs w:val="18"/>
              </w:rPr>
              <w:t>556,527</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18,243,688</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18,243,688</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RNS rate increase from prior year ($/kW-year)</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Pr>
                <w:rFonts w:ascii="Calibri" w:eastAsia="Times New Roman" w:hAnsi="Calibri" w:cs="Arial"/>
                <w:sz w:val="18"/>
                <w:szCs w:val="18"/>
              </w:rPr>
              <w:t>17.32</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Pr>
                <w:rFonts w:ascii="Calibri" w:eastAsia="Times New Roman" w:hAnsi="Calibri" w:cs="Arial"/>
                <w:sz w:val="18"/>
                <w:szCs w:val="18"/>
              </w:rPr>
              <w:t>11.72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3.06</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RNS rate ($/kW-year)</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w:t>
            </w:r>
            <w:r>
              <w:rPr>
                <w:rFonts w:ascii="Calibri" w:eastAsia="Times New Roman" w:hAnsi="Calibri" w:cs="Arial"/>
                <w:sz w:val="18"/>
                <w:szCs w:val="18"/>
              </w:rPr>
              <w:t>29.26</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140.</w:t>
            </w:r>
            <w:r>
              <w:rPr>
                <w:rFonts w:ascii="Calibri" w:eastAsia="Times New Roman" w:hAnsi="Calibri" w:cs="Arial"/>
                <w:sz w:val="18"/>
                <w:szCs w:val="18"/>
              </w:rPr>
              <w:t>98</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143.73</w:t>
            </w:r>
            <w:r w:rsidRPr="00412452">
              <w:rPr>
                <w:rFonts w:ascii="Calibri" w:eastAsia="Times New Roman" w:hAnsi="Calibri" w:cs="Arial"/>
                <w:sz w:val="18"/>
                <w:szCs w:val="18"/>
                <w:vertAlign w:val="superscript"/>
              </w:rPr>
              <w:t>(g)</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8569E0">
              <w:rPr>
                <w:rFonts w:ascii="Calibri" w:eastAsia="Times New Roman" w:hAnsi="Calibri" w:cs="Arial"/>
                <w:b/>
                <w:sz w:val="18"/>
                <w:szCs w:val="18"/>
              </w:rPr>
              <w:t xml:space="preserve">Total annual revenue requirement per kWh of load </w:t>
            </w:r>
            <w:r w:rsidRPr="006E073B">
              <w:rPr>
                <w:rFonts w:ascii="Calibri" w:eastAsia="Times New Roman" w:hAnsi="Calibri" w:cs="Arial"/>
                <w:b/>
                <w:sz w:val="18"/>
                <w:szCs w:val="18"/>
              </w:rPr>
              <w:t>($/kWh)</w:t>
            </w:r>
            <w:r w:rsidRPr="002C1C01">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h</w:t>
            </w:r>
            <w:r w:rsidRPr="002C1C01">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0.021</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0.023</w:t>
            </w:r>
          </w:p>
        </w:tc>
      </w:tr>
    </w:tbl>
    <w:p w:rsidR="00E135E1" w:rsidRPr="006E073B" w:rsidRDefault="00E135E1" w:rsidP="004433A3">
      <w:pPr>
        <w:widowControl w:val="0"/>
        <w:numPr>
          <w:ilvl w:val="0"/>
          <w:numId w:val="52"/>
        </w:numPr>
        <w:tabs>
          <w:tab w:val="left" w:pos="720"/>
        </w:tabs>
        <w:spacing w:before="120" w:after="0" w:line="240" w:lineRule="auto"/>
        <w:ind w:right="274"/>
        <w:rPr>
          <w:rFonts w:ascii="Calibri" w:eastAsia="Times New Roman" w:hAnsi="Calibri" w:cs="Calibri"/>
          <w:sz w:val="16"/>
          <w:szCs w:val="16"/>
        </w:rPr>
      </w:pPr>
      <w:r w:rsidRPr="006E073B">
        <w:rPr>
          <w:rFonts w:ascii="Calibri" w:eastAsia="Times New Roman" w:hAnsi="Calibri" w:cs="Calibri"/>
          <w:sz w:val="16"/>
          <w:szCs w:val="16"/>
        </w:rPr>
        <w:t>The figures may not agree because of rounding.</w:t>
      </w:r>
    </w:p>
    <w:p w:rsidR="00E135E1" w:rsidRDefault="00E135E1" w:rsidP="004433A3">
      <w:pPr>
        <w:widowControl w:val="0"/>
        <w:numPr>
          <w:ilvl w:val="0"/>
          <w:numId w:val="52"/>
        </w:numPr>
        <w:tabs>
          <w:tab w:val="left" w:pos="720"/>
        </w:tabs>
        <w:spacing w:after="0" w:line="240" w:lineRule="auto"/>
        <w:ind w:right="274"/>
        <w:rPr>
          <w:rFonts w:ascii="Calibri" w:eastAsia="Times New Roman" w:hAnsi="Calibri" w:cs="Calibri"/>
          <w:sz w:val="16"/>
          <w:szCs w:val="16"/>
        </w:rPr>
      </w:pPr>
      <w:r w:rsidRPr="006E073B">
        <w:rPr>
          <w:rFonts w:ascii="Calibri" w:eastAsia="Times New Roman" w:hAnsi="Calibri" w:cs="Calibri"/>
          <w:sz w:val="16"/>
          <w:szCs w:val="16"/>
        </w:rPr>
        <w:t xml:space="preserve">Source:  </w:t>
      </w:r>
      <w:r w:rsidRPr="006E073B">
        <w:rPr>
          <w:rFonts w:ascii="Calibri" w:eastAsia="Times New Roman" w:hAnsi="Calibri" w:cs="Calibri"/>
          <w:i/>
          <w:sz w:val="16"/>
          <w:szCs w:val="16"/>
        </w:rPr>
        <w:t>RNS Rates:</w:t>
      </w:r>
      <w:r w:rsidRPr="006E073B">
        <w:rPr>
          <w:rFonts w:ascii="Calibri" w:eastAsia="Times New Roman" w:hAnsi="Calibri" w:cs="Calibri"/>
          <w:sz w:val="16"/>
          <w:szCs w:val="16"/>
        </w:rPr>
        <w:t xml:space="preserve"> </w:t>
      </w:r>
      <w:r w:rsidRPr="006E073B">
        <w:rPr>
          <w:rFonts w:ascii="Calibri" w:eastAsia="Times New Roman" w:hAnsi="Calibri" w:cs="Calibri"/>
          <w:i/>
          <w:iCs/>
          <w:sz w:val="16"/>
          <w:szCs w:val="16"/>
        </w:rPr>
        <w:t xml:space="preserve">Effective June 1, </w:t>
      </w:r>
      <w:r>
        <w:rPr>
          <w:rFonts w:ascii="Calibri" w:eastAsia="Times New Roman" w:hAnsi="Calibri" w:cs="Calibri"/>
          <w:i/>
          <w:iCs/>
          <w:sz w:val="16"/>
          <w:szCs w:val="16"/>
        </w:rPr>
        <w:t>2020</w:t>
      </w:r>
      <w:r w:rsidRPr="006E073B">
        <w:rPr>
          <w:rFonts w:ascii="Calibri" w:eastAsia="Times New Roman" w:hAnsi="Calibri" w:cs="Calibri"/>
          <w:i/>
          <w:sz w:val="16"/>
          <w:szCs w:val="16"/>
        </w:rPr>
        <w:t xml:space="preserve">, </w:t>
      </w:r>
      <w:r w:rsidRPr="006E073B">
        <w:rPr>
          <w:rFonts w:ascii="Calibri" w:eastAsia="Times New Roman" w:hAnsi="Calibri" w:cs="Calibri"/>
          <w:sz w:val="16"/>
          <w:szCs w:val="16"/>
        </w:rPr>
        <w:t xml:space="preserve">PTO-AC Rates Working Group presentation at the </w:t>
      </w:r>
      <w:hyperlink r:id="rId304" w:history="1">
        <w:r w:rsidRPr="00CE3262">
          <w:rPr>
            <w:rStyle w:val="Hyperlink"/>
            <w:rFonts w:ascii="Calibri" w:eastAsia="Times New Roman" w:hAnsi="Calibri" w:cs="Calibri"/>
            <w:sz w:val="16"/>
            <w:szCs w:val="16"/>
          </w:rPr>
          <w:t>NEPOOL RC/TC Summer Meeting</w:t>
        </w:r>
      </w:hyperlink>
      <w:r w:rsidRPr="006E073B">
        <w:rPr>
          <w:rFonts w:ascii="Calibri" w:eastAsia="Times New Roman" w:hAnsi="Calibri" w:cs="Calibri"/>
          <w:sz w:val="16"/>
          <w:szCs w:val="16"/>
        </w:rPr>
        <w:t xml:space="preserve"> (</w:t>
      </w:r>
      <w:r>
        <w:rPr>
          <w:rFonts w:ascii="Calibri" w:eastAsia="Times New Roman" w:hAnsi="Calibri" w:cs="Calibri"/>
          <w:sz w:val="16"/>
          <w:szCs w:val="16"/>
        </w:rPr>
        <w:t>August 19, 2020)</w:t>
      </w:r>
      <w:r w:rsidRPr="006E073B">
        <w:rPr>
          <w:rFonts w:ascii="Calibri" w:eastAsia="Times New Roman" w:hAnsi="Calibri" w:cs="Calibri"/>
          <w:sz w:val="16"/>
          <w:szCs w:val="16"/>
        </w:rPr>
        <w:t>.</w:t>
      </w:r>
    </w:p>
    <w:p w:rsidR="00E135E1" w:rsidRDefault="00E135E1" w:rsidP="004433A3">
      <w:pPr>
        <w:widowControl w:val="0"/>
        <w:numPr>
          <w:ilvl w:val="0"/>
          <w:numId w:val="52"/>
        </w:numPr>
        <w:tabs>
          <w:tab w:val="left" w:pos="720"/>
        </w:tabs>
        <w:spacing w:after="0" w:line="240" w:lineRule="auto"/>
        <w:ind w:right="274"/>
        <w:rPr>
          <w:rFonts w:ascii="Calibri" w:eastAsia="Times New Roman" w:hAnsi="Calibri" w:cs="Calibri"/>
          <w:sz w:val="16"/>
          <w:szCs w:val="16"/>
        </w:rPr>
      </w:pPr>
      <w:r w:rsidRPr="006E073B">
        <w:rPr>
          <w:rFonts w:ascii="Calibri" w:eastAsia="Times New Roman" w:hAnsi="Calibri" w:cs="Calibri"/>
          <w:sz w:val="16"/>
          <w:szCs w:val="16"/>
        </w:rPr>
        <w:t xml:space="preserve">Source:  </w:t>
      </w:r>
      <w:r w:rsidRPr="006E073B">
        <w:rPr>
          <w:rFonts w:ascii="Calibri" w:eastAsia="Times New Roman" w:hAnsi="Calibri" w:cs="Calibri"/>
          <w:i/>
          <w:sz w:val="16"/>
          <w:szCs w:val="16"/>
        </w:rPr>
        <w:t>RNS Rates:</w:t>
      </w:r>
      <w:r w:rsidRPr="006E073B">
        <w:rPr>
          <w:rFonts w:ascii="Calibri" w:eastAsia="Times New Roman" w:hAnsi="Calibri" w:cs="Calibri"/>
          <w:sz w:val="16"/>
          <w:szCs w:val="16"/>
        </w:rPr>
        <w:t xml:space="preserve"> </w:t>
      </w:r>
      <w:r w:rsidRPr="006E073B">
        <w:rPr>
          <w:rFonts w:ascii="Calibri" w:eastAsia="Times New Roman" w:hAnsi="Calibri" w:cs="Calibri"/>
          <w:i/>
          <w:iCs/>
          <w:sz w:val="16"/>
          <w:szCs w:val="16"/>
        </w:rPr>
        <w:t>Effective June 1, 2021 and January 1, 2022</w:t>
      </w:r>
      <w:r w:rsidRPr="006E073B">
        <w:rPr>
          <w:rFonts w:ascii="Calibri" w:eastAsia="Times New Roman" w:hAnsi="Calibri" w:cs="Calibri"/>
          <w:i/>
          <w:sz w:val="16"/>
          <w:szCs w:val="16"/>
        </w:rPr>
        <w:t xml:space="preserve">, </w:t>
      </w:r>
      <w:r w:rsidRPr="006E073B">
        <w:rPr>
          <w:rFonts w:ascii="Calibri" w:eastAsia="Times New Roman" w:hAnsi="Calibri" w:cs="Calibri"/>
          <w:sz w:val="16"/>
          <w:szCs w:val="16"/>
        </w:rPr>
        <w:t xml:space="preserve">PTO-AC Rates Working Group presentation at the </w:t>
      </w:r>
      <w:hyperlink r:id="rId305" w:history="1">
        <w:r w:rsidRPr="008569E0">
          <w:rPr>
            <w:rStyle w:val="Hyperlink"/>
            <w:rFonts w:ascii="Calibri" w:eastAsia="Times New Roman" w:hAnsi="Calibri" w:cs="Calibri"/>
            <w:sz w:val="16"/>
            <w:szCs w:val="16"/>
          </w:rPr>
          <w:t>NEPOOL RC/TC Summer Meeting</w:t>
        </w:r>
      </w:hyperlink>
      <w:r w:rsidRPr="006E073B">
        <w:rPr>
          <w:rFonts w:ascii="Calibri" w:eastAsia="Times New Roman" w:hAnsi="Calibri" w:cs="Calibri"/>
          <w:sz w:val="16"/>
          <w:szCs w:val="16"/>
        </w:rPr>
        <w:t xml:space="preserve"> (</w:t>
      </w:r>
      <w:r w:rsidR="006D7B88">
        <w:rPr>
          <w:rFonts w:ascii="Calibri" w:eastAsia="Times New Roman" w:hAnsi="Calibri" w:cs="Calibri"/>
          <w:sz w:val="16"/>
          <w:szCs w:val="16"/>
        </w:rPr>
        <w:t>July 14, 2021</w:t>
      </w:r>
      <w:r>
        <w:rPr>
          <w:rFonts w:ascii="Calibri" w:eastAsia="Times New Roman" w:hAnsi="Calibri" w:cs="Calibri"/>
          <w:sz w:val="16"/>
          <w:szCs w:val="16"/>
        </w:rPr>
        <w:t>)</w:t>
      </w:r>
      <w:r w:rsidRPr="006E073B">
        <w:rPr>
          <w:rFonts w:ascii="Calibri" w:eastAsia="Times New Roman" w:hAnsi="Calibri" w:cs="Calibri"/>
          <w:sz w:val="16"/>
          <w:szCs w:val="16"/>
        </w:rPr>
        <w:t>.</w:t>
      </w:r>
    </w:p>
    <w:p w:rsidR="00E135E1" w:rsidRDefault="00E135E1" w:rsidP="004433A3">
      <w:pPr>
        <w:widowControl w:val="0"/>
        <w:numPr>
          <w:ilvl w:val="0"/>
          <w:numId w:val="52"/>
        </w:numPr>
        <w:tabs>
          <w:tab w:val="left" w:pos="720"/>
        </w:tabs>
        <w:spacing w:after="0" w:line="240" w:lineRule="auto"/>
        <w:ind w:right="274"/>
        <w:rPr>
          <w:rFonts w:ascii="Calibri" w:eastAsia="Times New Roman" w:hAnsi="Calibri" w:cs="Calibri"/>
          <w:sz w:val="16"/>
          <w:szCs w:val="16"/>
        </w:rPr>
      </w:pPr>
      <w:r w:rsidRPr="006E073B">
        <w:rPr>
          <w:rFonts w:ascii="Calibri" w:eastAsia="Times New Roman" w:hAnsi="Calibri" w:cs="Calibri"/>
          <w:sz w:val="16"/>
          <w:szCs w:val="16"/>
        </w:rPr>
        <w:t>“CWIP” refers to construction work in progress.</w:t>
      </w:r>
    </w:p>
    <w:p w:rsidR="00E135E1" w:rsidRPr="006E073B" w:rsidRDefault="00E135E1" w:rsidP="004433A3">
      <w:pPr>
        <w:widowControl w:val="0"/>
        <w:numPr>
          <w:ilvl w:val="0"/>
          <w:numId w:val="52"/>
        </w:numPr>
        <w:tabs>
          <w:tab w:val="left" w:pos="720"/>
        </w:tabs>
        <w:spacing w:after="0" w:line="240" w:lineRule="auto"/>
        <w:ind w:right="274"/>
        <w:rPr>
          <w:rFonts w:ascii="Calibri" w:eastAsia="Calibri" w:hAnsi="Calibri" w:cs="Calibri"/>
          <w:color w:val="000000"/>
          <w:sz w:val="16"/>
          <w:szCs w:val="16"/>
        </w:rPr>
      </w:pPr>
      <w:r w:rsidRPr="006E073B">
        <w:rPr>
          <w:rFonts w:ascii="Calibri" w:eastAsia="Times New Roman" w:hAnsi="Calibri" w:cs="Calibri"/>
          <w:sz w:val="16"/>
          <w:szCs w:val="16"/>
        </w:rPr>
        <w:t>Forecasted PTF incremental revenue requirements based on a Five Quarter average as outlined in the Settled Formula Rate effective January 1, 2022 approved in Docket No. ER20-2054</w:t>
      </w:r>
      <w:r w:rsidR="004433A3">
        <w:rPr>
          <w:rFonts w:ascii="Calibri" w:eastAsia="Times New Roman" w:hAnsi="Calibri" w:cs="Calibri"/>
          <w:sz w:val="16"/>
          <w:szCs w:val="16"/>
        </w:rPr>
        <w:t>.</w:t>
      </w:r>
    </w:p>
    <w:p w:rsidR="00E135E1" w:rsidRDefault="00E135E1" w:rsidP="004433A3">
      <w:pPr>
        <w:widowControl w:val="0"/>
        <w:numPr>
          <w:ilvl w:val="0"/>
          <w:numId w:val="52"/>
        </w:numPr>
        <w:spacing w:after="0" w:line="240" w:lineRule="auto"/>
        <w:ind w:right="274"/>
        <w:rPr>
          <w:rFonts w:ascii="Calibri" w:eastAsia="Times New Roman" w:hAnsi="Calibri" w:cs="Calibri"/>
          <w:sz w:val="16"/>
          <w:szCs w:val="16"/>
        </w:rPr>
      </w:pPr>
      <w:r w:rsidRPr="006E073B">
        <w:rPr>
          <w:rFonts w:ascii="Calibri" w:eastAsia="Times New Roman" w:hAnsi="Calibri" w:cs="Calibri"/>
          <w:sz w:val="16"/>
          <w:szCs w:val="16"/>
        </w:rPr>
        <w:t>“12 CP” refers to the average of all the monthly regional network loads (per the Open-Access Transmission Tariff, Section 21.2) for the 12 months of the calendar year on which the rate is based.</w:t>
      </w:r>
    </w:p>
    <w:p w:rsidR="00E135E1" w:rsidRPr="008569E0" w:rsidRDefault="00E135E1" w:rsidP="004433A3">
      <w:pPr>
        <w:widowControl w:val="0"/>
        <w:numPr>
          <w:ilvl w:val="0"/>
          <w:numId w:val="52"/>
        </w:numPr>
        <w:spacing w:after="0" w:line="240" w:lineRule="auto"/>
        <w:ind w:right="274"/>
        <w:rPr>
          <w:rFonts w:ascii="Calibri" w:eastAsia="Times New Roman" w:hAnsi="Calibri" w:cs="Calibri"/>
          <w:sz w:val="16"/>
          <w:szCs w:val="16"/>
        </w:rPr>
      </w:pPr>
      <w:r w:rsidRPr="008569E0">
        <w:rPr>
          <w:rFonts w:ascii="Calibri" w:eastAsia="Times New Roman" w:hAnsi="Calibri" w:cs="Calibri"/>
          <w:sz w:val="16"/>
          <w:szCs w:val="16"/>
        </w:rPr>
        <w:t>A supplemental RNS rate of $142.78 will be in effect January 1, 2022 if FERC approves the New England Transmission Owners joint supplemental Order 864 Compliance filing submitted February 12, 2021 in Docket No. ER21-1130</w:t>
      </w:r>
      <w:r w:rsidR="004433A3">
        <w:rPr>
          <w:rFonts w:ascii="Calibri" w:eastAsia="Times New Roman" w:hAnsi="Calibri" w:cs="Calibri"/>
          <w:sz w:val="16"/>
          <w:szCs w:val="16"/>
        </w:rPr>
        <w:t>.</w:t>
      </w:r>
    </w:p>
    <w:p w:rsidR="00E135E1" w:rsidRPr="008569E0" w:rsidRDefault="00E135E1" w:rsidP="004433A3">
      <w:pPr>
        <w:widowControl w:val="0"/>
        <w:numPr>
          <w:ilvl w:val="0"/>
          <w:numId w:val="52"/>
        </w:numPr>
        <w:spacing w:after="0" w:line="240" w:lineRule="auto"/>
        <w:ind w:right="274"/>
        <w:rPr>
          <w:rFonts w:ascii="Calibri" w:eastAsia="Times New Roman" w:hAnsi="Calibri" w:cs="Calibri"/>
          <w:sz w:val="16"/>
          <w:szCs w:val="16"/>
        </w:rPr>
      </w:pPr>
      <w:r w:rsidRPr="008569E0">
        <w:rPr>
          <w:rFonts w:ascii="Calibri" w:eastAsia="Times New Roman" w:hAnsi="Calibri" w:cs="Calibri"/>
          <w:sz w:val="16"/>
          <w:szCs w:val="16"/>
        </w:rPr>
        <w:t>Based on 2020 Real-Time Load Obligation</w:t>
      </w:r>
      <w:r w:rsidR="004433A3">
        <w:rPr>
          <w:rFonts w:ascii="Calibri" w:eastAsia="Times New Roman" w:hAnsi="Calibri" w:cs="Calibri"/>
          <w:sz w:val="16"/>
          <w:szCs w:val="16"/>
        </w:rPr>
        <w:t>.</w:t>
      </w:r>
    </w:p>
    <w:p w:rsidR="004433A3" w:rsidRDefault="004433A3" w:rsidP="004433A3">
      <w:pPr>
        <w:widowControl w:val="0"/>
        <w:spacing w:after="120" w:line="240" w:lineRule="auto"/>
        <w:ind w:right="274"/>
        <w:rPr>
          <w:rFonts w:eastAsia="Calibri"/>
        </w:rPr>
      </w:pPr>
    </w:p>
    <w:p w:rsidR="00A91661" w:rsidRDefault="00FB48B1" w:rsidP="004433A3">
      <w:pPr>
        <w:widowControl w:val="0"/>
        <w:spacing w:after="120" w:line="240" w:lineRule="auto"/>
        <w:ind w:right="274"/>
        <w:rPr>
          <w:rFonts w:eastAsia="Calibri"/>
        </w:rPr>
      </w:pPr>
      <w:r w:rsidRPr="00FB48B1">
        <w:rPr>
          <w:rFonts w:eastAsia="Calibri"/>
        </w:rPr>
        <w:t>Wholesale costs and the rates for residential retail power supply can vary dramatically among the states and from year to year, mainly because wholesale electricity markets and retail electricity markets are used to obtain different products. Wholesale markets reflect the short-term spot market for electric energy, whereas retail rates reflect longer-term, fixed-price contracts. The relationship between wholesale costs and retail rates will also vary with each utility’s and state’s procurement practices for retail power.</w:t>
      </w:r>
    </w:p>
    <w:p w:rsidR="001259B4" w:rsidRDefault="00A91661" w:rsidP="004433A3">
      <w:pPr>
        <w:widowControl w:val="0"/>
        <w:spacing w:after="120" w:line="240" w:lineRule="auto"/>
        <w:ind w:right="274"/>
        <w:rPr>
          <w:rFonts w:eastAsia="Calibri"/>
        </w:rPr>
      </w:pPr>
      <w:r w:rsidRPr="00FB48B1">
        <w:rPr>
          <w:rFonts w:eastAsia="Calibri"/>
        </w:rPr>
        <w:t xml:space="preserve">According to the </w:t>
      </w:r>
      <w:hyperlink r:id="rId306" w:history="1">
        <w:r w:rsidRPr="004433A3">
          <w:rPr>
            <w:rStyle w:val="Hyperlink"/>
            <w:i/>
          </w:rPr>
          <w:t>2020 Report of the Consumer Liaison Group</w:t>
        </w:r>
      </w:hyperlink>
      <w:r w:rsidRPr="00FB48B1">
        <w:rPr>
          <w:rFonts w:eastAsia="Calibri"/>
        </w:rPr>
        <w:t>, from 2019 to 2020, wholesale market costs decreased 21% to 22% in all the New England states, largely because of decreases in wholesale energy market costs during 2020, due to lower demand and low natural gas prices during the COVID-19 pandemic, compared with those in 2019. All the states with unbundled retail electricity markets (Connecticut, Maine, Massachusetts, New Hampshire, and Rhode Island) saw a decrease in retail power supply rates in effect on January 1, 2021, compared with retail power supply rates in effect on January 1, 2020. A review of actual transmission rates for residential retail consumers in Connecticut, Maine, Massachusetts, New Hampshire, and Rhode Island in effect on January 1, 2021 shows that transmission represents 11.5% to 23.7% of total residential retail electricity rates.</w:t>
      </w:r>
      <w:r>
        <w:rPr>
          <w:rFonts w:eastAsia="Calibri"/>
        </w:rPr>
        <w:t xml:space="preserve"> </w:t>
      </w:r>
      <w:r w:rsidR="00FB48B1" w:rsidRPr="00FB48B1">
        <w:rPr>
          <w:rFonts w:eastAsia="Calibri"/>
        </w:rPr>
        <w:t xml:space="preserve"> </w:t>
      </w:r>
    </w:p>
    <w:p w:rsidR="00DB3A74" w:rsidRPr="00DB3A74" w:rsidRDefault="00DB3A74" w:rsidP="00655272">
      <w:pPr>
        <w:pStyle w:val="Heading3"/>
        <w:rPr>
          <w:rFonts w:eastAsia="Times New Roman"/>
        </w:rPr>
      </w:pPr>
      <w:bookmarkStart w:id="672" w:name="_Toc490323058"/>
      <w:bookmarkStart w:id="673" w:name="_Toc429063422"/>
      <w:bookmarkStart w:id="674" w:name="_Ref419228512"/>
      <w:bookmarkStart w:id="675" w:name="_Ref419207215"/>
      <w:bookmarkStart w:id="676" w:name="_Toc81544573"/>
      <w:r w:rsidRPr="00DB3A74">
        <w:rPr>
          <w:rFonts w:eastAsia="Times New Roman"/>
        </w:rPr>
        <w:t>Lack of Need for Market-</w:t>
      </w:r>
      <w:r w:rsidR="00655272">
        <w:rPr>
          <w:rFonts w:eastAsia="Times New Roman"/>
        </w:rPr>
        <w:t>Efficiency Related Transmission </w:t>
      </w:r>
      <w:r w:rsidRPr="00DB3A74">
        <w:rPr>
          <w:rFonts w:eastAsia="Times New Roman"/>
        </w:rPr>
        <w:t>Upgrades</w:t>
      </w:r>
      <w:bookmarkEnd w:id="672"/>
      <w:bookmarkEnd w:id="673"/>
      <w:bookmarkEnd w:id="674"/>
      <w:bookmarkEnd w:id="675"/>
      <w:bookmarkEnd w:id="676"/>
    </w:p>
    <w:p w:rsidR="00DB3A74" w:rsidRPr="00DB3A74" w:rsidRDefault="00DB3A74" w:rsidP="00DB3A74">
      <w:pPr>
        <w:rPr>
          <w:rFonts w:eastAsia="Calibri"/>
        </w:rPr>
      </w:pPr>
      <w:r w:rsidRPr="00DB3A74">
        <w:rPr>
          <w:rFonts w:eastAsia="Calibri"/>
        </w:rPr>
        <w:t>To date, the ISO has not identified the need for market-efficiency related transmission upgrades (METUs),</w:t>
      </w:r>
      <w:r w:rsidR="00BF34DC">
        <w:rPr>
          <w:rFonts w:eastAsia="Calibri"/>
        </w:rPr>
        <w:t xml:space="preserve"> which are</w:t>
      </w:r>
      <w:r w:rsidRPr="00DB3A74">
        <w:rPr>
          <w:rFonts w:eastAsia="Calibri"/>
        </w:rPr>
        <w:t xml:space="preserve"> primarily designed to reduce the total net production cost to supply the system load, </w:t>
      </w:r>
      <w:r w:rsidR="00242967">
        <w:rPr>
          <w:rFonts w:eastAsia="Calibri"/>
        </w:rPr>
        <w:t xml:space="preserve">in part </w:t>
      </w:r>
      <w:r w:rsidRPr="00DB3A74">
        <w:rPr>
          <w:rFonts w:eastAsia="Calibri"/>
        </w:rPr>
        <w:t>because of the following:</w:t>
      </w:r>
    </w:p>
    <w:p w:rsidR="00DB3A74" w:rsidRPr="00DB3A74" w:rsidRDefault="00DB3A74" w:rsidP="00DB3A74">
      <w:pPr>
        <w:numPr>
          <w:ilvl w:val="0"/>
          <w:numId w:val="53"/>
        </w:numPr>
        <w:spacing w:after="120"/>
        <w:rPr>
          <w:rFonts w:eastAsia="Times New Roman"/>
        </w:rPr>
      </w:pPr>
      <w:r w:rsidRPr="00DB3A74">
        <w:rPr>
          <w:rFonts w:eastAsia="Times New Roman"/>
        </w:rPr>
        <w:t xml:space="preserve">Reliability transmission upgrades have resulted in significant market-efficiency benefits, particularly </w:t>
      </w:r>
      <w:r w:rsidR="00BF34DC">
        <w:rPr>
          <w:rFonts w:eastAsia="Times New Roman"/>
        </w:rPr>
        <w:t>by reducing</w:t>
      </w:r>
      <w:r w:rsidRPr="00DB3A74">
        <w:rPr>
          <w:rFonts w:eastAsia="Times New Roman"/>
        </w:rPr>
        <w:t xml:space="preserve"> out-of-merit operating costs.</w:t>
      </w:r>
    </w:p>
    <w:p w:rsidR="00DB3A74" w:rsidRPr="00DB3A74" w:rsidRDefault="00DB3A74" w:rsidP="00DB3A74">
      <w:pPr>
        <w:numPr>
          <w:ilvl w:val="0"/>
          <w:numId w:val="53"/>
        </w:numPr>
        <w:rPr>
          <w:rFonts w:eastAsia="Times New Roman"/>
        </w:rPr>
      </w:pPr>
      <w:r w:rsidRPr="00DB3A74">
        <w:rPr>
          <w:rFonts w:eastAsia="Times New Roman"/>
        </w:rPr>
        <w:t>The development of economic resources and fast-start resources in response to the ISO’s wholesale electricity markets has also helped eliminate congestion and net commitment-period compensation (NCPC).</w:t>
      </w:r>
      <w:r w:rsidRPr="00DB3A74">
        <w:rPr>
          <w:rFonts w:eastAsia="Calibri"/>
          <w:vertAlign w:val="superscript"/>
        </w:rPr>
        <w:footnoteReference w:id="121"/>
      </w:r>
      <w:r w:rsidRPr="00DB3A74">
        <w:rPr>
          <w:rFonts w:eastAsia="Times New Roman"/>
        </w:rPr>
        <w:t xml:space="preserve"> </w:t>
      </w:r>
    </w:p>
    <w:p w:rsidR="00DB3A74" w:rsidRPr="00DB3A74" w:rsidRDefault="00DB3A74" w:rsidP="00655272">
      <w:pPr>
        <w:pStyle w:val="Heading3"/>
        <w:rPr>
          <w:rFonts w:eastAsia="Times New Roman"/>
        </w:rPr>
      </w:pPr>
      <w:bookmarkStart w:id="677" w:name="_Toc81544574"/>
      <w:r w:rsidRPr="00DB3A74">
        <w:rPr>
          <w:rFonts w:eastAsia="Times New Roman"/>
        </w:rPr>
        <w:t>Transmission Congestion</w:t>
      </w:r>
      <w:bookmarkEnd w:id="677"/>
    </w:p>
    <w:p w:rsidR="00DB3A74" w:rsidRPr="00DB3A74" w:rsidRDefault="00DB3A74" w:rsidP="00DB3A74">
      <w:pPr>
        <w:rPr>
          <w:rFonts w:eastAsia="Calibri"/>
        </w:rPr>
      </w:pPr>
      <w:r w:rsidRPr="00DB3A74">
        <w:rPr>
          <w:rFonts w:eastAsia="Calibri"/>
        </w:rPr>
        <w:t>As shown in</w:t>
      </w:r>
      <w:r w:rsidR="006B4CDB">
        <w:rPr>
          <w:rFonts w:eastAsia="Calibri"/>
        </w:rPr>
        <w:t xml:space="preserve"> </w:t>
      </w:r>
      <w:hyperlink w:anchor="Table_5_3" w:history="1">
        <w:r w:rsidR="006B4CDB" w:rsidRPr="006B4CDB">
          <w:rPr>
            <w:rStyle w:val="Hyperlink"/>
            <w:rFonts w:eastAsia="Calibri"/>
          </w:rPr>
          <w:t>Table 5-3</w:t>
        </w:r>
      </w:hyperlink>
      <w:r w:rsidRPr="00DB3A74">
        <w:rPr>
          <w:rFonts w:eastAsia="Calibri"/>
        </w:rPr>
        <w:t xml:space="preserve">, recent experience has demonstrated that the regional transmission system has low congestion among the New England load zones relative to the </w:t>
      </w:r>
      <w:r w:rsidRPr="00DB3A74">
        <w:rPr>
          <w:rFonts w:eastAsia="Calibri"/>
          <w:i/>
        </w:rPr>
        <w:t>hub</w:t>
      </w:r>
      <w:r w:rsidRPr="00DB3A74">
        <w:rPr>
          <w:rFonts w:eastAsia="Calibri"/>
        </w:rPr>
        <w:t>.</w:t>
      </w:r>
      <w:r w:rsidRPr="00DB3A74">
        <w:rPr>
          <w:rFonts w:eastAsia="Calibri"/>
          <w:vertAlign w:val="superscript"/>
        </w:rPr>
        <w:footnoteReference w:id="122"/>
      </w:r>
      <w:r w:rsidRPr="00DB3A74">
        <w:rPr>
          <w:rFonts w:eastAsia="Calibri"/>
        </w:rPr>
        <w:t xml:space="preserve"> At approximately negative $29 million in 2020, the total day-ahead and real-time congestion costs remain small, and mitigation by additional transmission upgrades does not appear warranted</w:t>
      </w:r>
      <w:r w:rsidR="00242967">
        <w:rPr>
          <w:rFonts w:eastAsia="Calibri"/>
        </w:rPr>
        <w:t xml:space="preserve"> based on the current system and resource mix</w:t>
      </w:r>
      <w:r w:rsidRPr="00DB3A74">
        <w:rPr>
          <w:rFonts w:eastAsia="Calibri"/>
        </w:rPr>
        <w:t>. Real-time congestion on the system was less than a million dollars. Planned reliability transmission upgrades (RTUs) could reduce congestion costs further, as well as reduce transmission system losses.</w:t>
      </w:r>
    </w:p>
    <w:p w:rsidR="00DB3A74" w:rsidRPr="00DB3A74" w:rsidRDefault="00F37543" w:rsidP="004433A3">
      <w:pPr>
        <w:pStyle w:val="Caption"/>
        <w:keepNext/>
        <w:rPr>
          <w:rFonts w:eastAsia="Calibri"/>
          <w:b w:val="0"/>
          <w:bCs w:val="0"/>
          <w:vertAlign w:val="superscript"/>
        </w:rPr>
      </w:pPr>
      <w:bookmarkStart w:id="678" w:name="_Ref418947088"/>
      <w:bookmarkStart w:id="679" w:name="Table_5_3"/>
      <w:bookmarkStart w:id="680" w:name="_Toc491244016"/>
      <w:bookmarkStart w:id="681" w:name="_Toc429063571"/>
      <w:bookmarkStart w:id="682" w:name="_Toc81544639"/>
      <w:r>
        <w:t xml:space="preserve">Table </w:t>
      </w:r>
      <w:fldSimple w:instr=" STYLEREF 1 \s ">
        <w:r w:rsidR="001D2A17">
          <w:rPr>
            <w:noProof/>
          </w:rPr>
          <w:t>5</w:t>
        </w:r>
      </w:fldSimple>
      <w:r w:rsidR="001D2A17">
        <w:noBreakHyphen/>
      </w:r>
      <w:fldSimple w:instr=" SEQ Table \* ARABIC \s 1 ">
        <w:r w:rsidR="001D2A17">
          <w:rPr>
            <w:noProof/>
          </w:rPr>
          <w:t>3</w:t>
        </w:r>
      </w:fldSimple>
      <w:bookmarkEnd w:id="678"/>
      <w:bookmarkEnd w:id="679"/>
      <w:r w:rsidR="00DB3A74" w:rsidRPr="00DB3A74">
        <w:rPr>
          <w:rFonts w:eastAsia="Calibri"/>
        </w:rPr>
        <w:br/>
        <w:t>ISO New England Transmission System Day-Ahead, Real-Time,</w:t>
      </w:r>
      <w:r w:rsidR="00DB3A74" w:rsidRPr="00DB3A74">
        <w:rPr>
          <w:rFonts w:eastAsia="Calibri"/>
        </w:rPr>
        <w:br/>
        <w:t>and Total Congestion Costs and Credits, 2003 to 2020 ($)</w:t>
      </w:r>
      <w:bookmarkEnd w:id="680"/>
      <w:bookmarkEnd w:id="681"/>
      <w:r w:rsidR="00DB3A74" w:rsidRPr="00DB3A74">
        <w:rPr>
          <w:rFonts w:eastAsia="Calibri"/>
          <w:vertAlign w:val="superscript"/>
        </w:rPr>
        <w:t>(a)</w:t>
      </w:r>
      <w:bookmarkEnd w:id="682"/>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DB3A74" w:rsidRPr="00DB3A74" w:rsidTr="00DB3A74">
        <w:trPr>
          <w:trHeight w:hRule="exact" w:val="20"/>
          <w:jc w:val="center"/>
        </w:trPr>
        <w:tc>
          <w:tcPr>
            <w:tcW w:w="1120" w:type="dxa"/>
            <w:tcBorders>
              <w:top w:val="nil"/>
              <w:left w:val="nil"/>
              <w:bottom w:val="nil"/>
              <w:right w:val="nil"/>
            </w:tcBorders>
            <w:shd w:val="clear" w:color="auto" w:fill="1795D2" w:themeFill="accent1"/>
            <w:vAlign w:val="center"/>
            <w:hideMark/>
          </w:tcPr>
          <w:p w:rsidR="00DB3A74" w:rsidRPr="00DB3A74" w:rsidRDefault="00DB3A74" w:rsidP="004433A3">
            <w:pPr>
              <w:keepNext/>
              <w:rPr>
                <w:rFonts w:ascii="Calibri" w:eastAsia="Calibri" w:hAnsi="Calibri"/>
                <w:b/>
                <w:bCs/>
                <w:szCs w:val="18"/>
                <w:vertAlign w:val="superscript"/>
              </w:rPr>
            </w:pPr>
            <w:bookmarkStart w:id="683" w:name="_2c2fd447_1f85_4ab6_95fc_4993f97c2954"/>
            <w:bookmarkStart w:id="684" w:name="_d4a947f6_4ea2_403c_9b49_a90b6578b209"/>
            <w:bookmarkEnd w:id="683"/>
          </w:p>
        </w:tc>
        <w:tc>
          <w:tcPr>
            <w:tcW w:w="1678"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c>
          <w:tcPr>
            <w:tcW w:w="1678"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c>
          <w:tcPr>
            <w:tcW w:w="1679"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r>
      <w:tr w:rsidR="00DB3A74" w:rsidRPr="00DB3A74" w:rsidTr="00DB3A74">
        <w:trPr>
          <w:trHeight w:val="690"/>
          <w:jc w:val="center"/>
        </w:trPr>
        <w:tc>
          <w:tcPr>
            <w:tcW w:w="1120"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Year</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Day-Ahead Congestion</w:t>
            </w:r>
            <w:r w:rsidRPr="00DB3A74">
              <w:rPr>
                <w:rFonts w:ascii="Calibri" w:eastAsia="Times New Roman" w:hAnsi="Calibri" w:cs="Arial"/>
                <w:b/>
                <w:bCs/>
                <w:color w:val="FFFFFF"/>
                <w:sz w:val="18"/>
                <w:szCs w:val="18"/>
                <w:vertAlign w:val="superscript"/>
              </w:rPr>
              <w:t>(b, c)</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Real-Time Congestion</w:t>
            </w:r>
            <w:r w:rsidRPr="00DB3A74">
              <w:rPr>
                <w:rFonts w:ascii="Calibri" w:eastAsia="Times New Roman" w:hAnsi="Calibri" w:cs="Arial"/>
                <w:b/>
                <w:bCs/>
                <w:color w:val="FFFFFF"/>
                <w:sz w:val="18"/>
                <w:szCs w:val="18"/>
                <w:vertAlign w:val="superscript"/>
              </w:rPr>
              <w:t>(b, d)</w:t>
            </w:r>
          </w:p>
        </w:tc>
        <w:tc>
          <w:tcPr>
            <w:tcW w:w="167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Total</w:t>
            </w:r>
            <w:r w:rsidRPr="00DB3A74">
              <w:rPr>
                <w:rFonts w:ascii="Calibri" w:eastAsia="Times New Roman" w:hAnsi="Calibri" w:cs="Arial"/>
                <w:b/>
                <w:bCs/>
                <w:color w:val="FFFFFF"/>
                <w:sz w:val="18"/>
                <w:szCs w:val="18"/>
              </w:rPr>
              <w:br/>
              <w:t>Congestion</w:t>
            </w:r>
            <w:r w:rsidRPr="00DB3A74">
              <w:rPr>
                <w:rFonts w:ascii="Calibri" w:eastAsia="Times New Roman" w:hAnsi="Calibri" w:cs="Arial"/>
                <w:b/>
                <w:bCs/>
                <w:color w:val="FFFFFF"/>
                <w:sz w:val="18"/>
                <w:szCs w:val="18"/>
                <w:vertAlign w:val="superscript"/>
              </w:rPr>
              <w:t>(b, e)</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2003</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−$85,964,588</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−$1,385,442</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−$87,350,030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−$82,384,177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$2,833,577</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−$79,550,600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−$273,449,871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$6,814,010</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−$266,635,861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−$192,419,271</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$12,683,233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−$179,736,038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2007</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−$130,145,862</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$17,721,136</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−$112,424,726</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−$125,358,187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$4,295,716</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−$121,062,471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2009</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−$26,681,125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$1,593,273</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−$25,087,852</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−$37,321,849</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−$622,287</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−$37,944,136</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−$17,957,036</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−$246,892</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−$18,203,928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2012</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−$29,326,997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−$174,471</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−$29,501,468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2013</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−$46,186,914</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−$175,059</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−$46,361,973</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−$34,218,158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$2,153,173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−$32,064,985</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−$30,168,691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−$1,038,608</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−$31,207,299</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−$34,272,410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−$4,596,349</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−$38,868,759</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2017</w:t>
            </w:r>
          </w:p>
        </w:tc>
        <w:tc>
          <w:tcPr>
            <w:tcW w:w="1678"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−$39,213,542</w:t>
            </w:r>
          </w:p>
        </w:tc>
        <w:tc>
          <w:tcPr>
            <w:tcW w:w="1678"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−$2,171,319</w:t>
            </w:r>
          </w:p>
        </w:tc>
        <w:tc>
          <w:tcPr>
            <w:tcW w:w="1679"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−$41,384,861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−$67,792,715</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$3,260,035</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−$64,532,680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2019</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-$34,376,058</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$1,435,764</w:t>
            </w:r>
          </w:p>
        </w:tc>
        <w:tc>
          <w:tcPr>
            <w:tcW w:w="167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-$32,940,294</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2020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-$29,709,216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$631,623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-$29,077,593</w:t>
            </w:r>
          </w:p>
        </w:tc>
      </w:tr>
      <w:bookmarkEnd w:id="684"/>
    </w:tbl>
    <w:p w:rsidR="00DB3A74" w:rsidRPr="00DB3A74" w:rsidRDefault="00DB3A74" w:rsidP="00DB3A74">
      <w:pPr>
        <w:rPr>
          <w:rFonts w:eastAsia="Calibri"/>
        </w:rPr>
      </w:pPr>
    </w:p>
    <w:p w:rsidR="00DB3A74" w:rsidRPr="00DB3A74" w:rsidRDefault="00DB3A74" w:rsidP="00DB3A74">
      <w:pPr>
        <w:keepNext/>
        <w:keepLines/>
        <w:numPr>
          <w:ilvl w:val="0"/>
          <w:numId w:val="54"/>
        </w:numPr>
        <w:autoSpaceDE w:val="0"/>
        <w:autoSpaceDN w:val="0"/>
        <w:adjustRightInd w:val="0"/>
        <w:spacing w:before="120" w:after="80" w:line="240" w:lineRule="auto"/>
        <w:ind w:right="1350"/>
        <w:rPr>
          <w:rFonts w:ascii="Calibri" w:eastAsia="Times New Roman" w:hAnsi="Calibri" w:cs="Calibri"/>
          <w:sz w:val="16"/>
          <w:szCs w:val="18"/>
        </w:rPr>
      </w:pPr>
      <w:r w:rsidRPr="00DB3A74">
        <w:rPr>
          <w:rFonts w:ascii="Calibri" w:eastAsia="Times New Roman" w:hAnsi="Calibri" w:cs="Calibri"/>
          <w:sz w:val="16"/>
          <w:szCs w:val="18"/>
        </w:rPr>
        <w:t>Values subject to change as a result of resettlement.</w:t>
      </w:r>
    </w:p>
    <w:p w:rsidR="00DB3A74" w:rsidRPr="00DB3A74" w:rsidRDefault="00DB3A74" w:rsidP="00DB3A74">
      <w:pPr>
        <w:keepNext/>
        <w:keepLines/>
        <w:numPr>
          <w:ilvl w:val="0"/>
          <w:numId w:val="54"/>
        </w:numPr>
        <w:autoSpaceDE w:val="0"/>
        <w:autoSpaceDN w:val="0"/>
        <w:adjustRightInd w:val="0"/>
        <w:spacing w:before="120" w:after="80" w:line="240" w:lineRule="auto"/>
        <w:ind w:right="1350"/>
        <w:rPr>
          <w:rFonts w:ascii="Calibri" w:eastAsia="Times New Roman" w:hAnsi="Calibri" w:cs="Calibri"/>
          <w:sz w:val="16"/>
          <w:szCs w:val="18"/>
        </w:rPr>
      </w:pPr>
      <w:r w:rsidRPr="00DB3A74">
        <w:rPr>
          <w:rFonts w:ascii="Calibri" w:eastAsia="Times New Roman" w:hAnsi="Calibri" w:cs="Calibri"/>
          <w:sz w:val="16"/>
          <w:szCs w:val="18"/>
        </w:rPr>
        <w:t>Negative numbers indicate charges to load; positive numbers indicate credits to load.</w:t>
      </w:r>
    </w:p>
    <w:p w:rsidR="00DB3A74" w:rsidRPr="00DB3A74" w:rsidRDefault="00DB3A74" w:rsidP="00DB3A74">
      <w:pPr>
        <w:keepNext/>
        <w:keepLines/>
        <w:numPr>
          <w:ilvl w:val="0"/>
          <w:numId w:val="54"/>
        </w:numPr>
        <w:autoSpaceDE w:val="0"/>
        <w:autoSpaceDN w:val="0"/>
        <w:adjustRightInd w:val="0"/>
        <w:spacing w:after="80" w:line="240" w:lineRule="auto"/>
        <w:ind w:right="1350"/>
        <w:rPr>
          <w:rFonts w:ascii="Calibri" w:eastAsia="Times New Roman" w:hAnsi="Calibri" w:cs="Calibri"/>
          <w:sz w:val="16"/>
          <w:szCs w:val="18"/>
        </w:rPr>
      </w:pPr>
      <w:r w:rsidRPr="00DB3A74">
        <w:rPr>
          <w:rFonts w:ascii="Calibri" w:eastAsia="Times New Roman" w:hAnsi="Calibri" w:cs="Calibri"/>
          <w:sz w:val="16"/>
          <w:szCs w:val="18"/>
        </w:rPr>
        <w:t xml:space="preserve">Day-ahead congestion charges = the amount billed to load minus payments to the generators. </w:t>
      </w:r>
    </w:p>
    <w:p w:rsidR="00DB3A74" w:rsidRPr="00DB3A74" w:rsidRDefault="00DB3A74" w:rsidP="00DB3A74">
      <w:pPr>
        <w:keepNext/>
        <w:keepLines/>
        <w:numPr>
          <w:ilvl w:val="0"/>
          <w:numId w:val="54"/>
        </w:numPr>
        <w:autoSpaceDE w:val="0"/>
        <w:autoSpaceDN w:val="0"/>
        <w:adjustRightInd w:val="0"/>
        <w:spacing w:after="80" w:line="240" w:lineRule="auto"/>
        <w:ind w:right="1354"/>
        <w:rPr>
          <w:rFonts w:ascii="Calibri" w:eastAsia="Times New Roman" w:hAnsi="Calibri" w:cs="Calibri"/>
          <w:sz w:val="16"/>
          <w:szCs w:val="18"/>
        </w:rPr>
      </w:pPr>
      <w:r w:rsidRPr="00DB3A74">
        <w:rPr>
          <w:rFonts w:ascii="Calibri" w:eastAsia="Times New Roman" w:hAnsi="Calibri" w:cs="Calibri"/>
          <w:sz w:val="16"/>
          <w:szCs w:val="18"/>
        </w:rPr>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rsidR="00DB3A74" w:rsidRPr="00DB3A74" w:rsidRDefault="00DB3A74" w:rsidP="00DB3A74">
      <w:pPr>
        <w:numPr>
          <w:ilvl w:val="0"/>
          <w:numId w:val="54"/>
        </w:numPr>
        <w:autoSpaceDE w:val="0"/>
        <w:autoSpaceDN w:val="0"/>
        <w:adjustRightInd w:val="0"/>
        <w:spacing w:line="240" w:lineRule="auto"/>
        <w:ind w:right="1354"/>
        <w:rPr>
          <w:rFonts w:ascii="Calibri" w:eastAsia="Times New Roman" w:hAnsi="Calibri" w:cs="Calibri"/>
          <w:sz w:val="16"/>
          <w:szCs w:val="18"/>
        </w:rPr>
      </w:pPr>
      <w:r w:rsidRPr="00DB3A74">
        <w:rPr>
          <w:rFonts w:ascii="Calibri" w:eastAsia="Times New Roman" w:hAnsi="Calibri" w:cs="Calibri"/>
          <w:sz w:val="16"/>
          <w:szCs w:val="18"/>
        </w:rPr>
        <w:t xml:space="preserve">Total congestion refers to money the ISO uses to pay financial transmission right (FTR) holders. </w:t>
      </w:r>
    </w:p>
    <w:p w:rsidR="00DB3A74" w:rsidRPr="00DB3A74" w:rsidRDefault="00DB3A74" w:rsidP="00DB3A74">
      <w:pPr>
        <w:rPr>
          <w:rFonts w:eastAsia="Calibri"/>
        </w:rPr>
      </w:pPr>
      <w:r w:rsidRPr="00DB3A74">
        <w:rPr>
          <w:rFonts w:eastAsia="Calibri"/>
        </w:rPr>
        <w:t>The highest mean annual positive difference in the congestion component of the locational marginal prices (LMPs) was $0.01/megawatt hour (MWh) at the Boston, Connecticut and Maine RSP subareas relative to the hub.</w:t>
      </w:r>
      <w:r w:rsidRPr="00DB3A74">
        <w:rPr>
          <w:rFonts w:eastAsia="Calibri"/>
          <w:vertAlign w:val="superscript"/>
        </w:rPr>
        <w:footnoteReference w:id="123"/>
      </w:r>
      <w:r w:rsidRPr="00DB3A74">
        <w:rPr>
          <w:rFonts w:eastAsia="Calibri"/>
        </w:rPr>
        <w:t xml:space="preserve"> The Northeastern Maine (BHE) RSP subarea had the highest mean negative congestion difference at $1.30/MWh. Portions of the system remote from load centers, especially northern Maine, have higher negative loss components. </w:t>
      </w:r>
    </w:p>
    <w:p w:rsidR="00DB3A74" w:rsidRPr="00DB3A74" w:rsidRDefault="00DB3A74" w:rsidP="00655272">
      <w:pPr>
        <w:pStyle w:val="Heading3"/>
        <w:rPr>
          <w:rFonts w:eastAsia="Times New Roman"/>
        </w:rPr>
      </w:pPr>
      <w:bookmarkStart w:id="685" w:name="_Toc81544575"/>
      <w:r w:rsidRPr="00DB3A74">
        <w:rPr>
          <w:rFonts w:eastAsia="Times New Roman"/>
        </w:rPr>
        <w:t>Transmission Improvements to Load</w:t>
      </w:r>
      <w:r w:rsidR="00655272">
        <w:rPr>
          <w:rFonts w:eastAsia="Times New Roman"/>
        </w:rPr>
        <w:t xml:space="preserve"> Pockets Addressing Reliability </w:t>
      </w:r>
      <w:r w:rsidRPr="00DB3A74">
        <w:rPr>
          <w:rFonts w:eastAsia="Times New Roman"/>
        </w:rPr>
        <w:t>Issues</w:t>
      </w:r>
      <w:bookmarkEnd w:id="685"/>
    </w:p>
    <w:p w:rsidR="00DB3A74" w:rsidRPr="00DB3A74" w:rsidRDefault="00DB3A74" w:rsidP="00DB3A74">
      <w:pPr>
        <w:rPr>
          <w:rFonts w:eastAsia="Calibri"/>
        </w:rPr>
      </w:pPr>
      <w:r w:rsidRPr="00DB3A74">
        <w:rPr>
          <w:rFonts w:eastAsia="Calibri"/>
        </w:rPr>
        <w:t>The performance of the transmission system depends on embedded generators operating to maintain reliability in several smaller areas of the system. Consistent with ISO operating requirements, the generators may be required to provide second-contingency protection or voltage support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electricity market costs in New England of $5.7 billion in 2020.</w:t>
      </w:r>
    </w:p>
    <w:p w:rsidR="00DB3A74" w:rsidRDefault="00DB3A74" w:rsidP="00DB3A74">
      <w:pPr>
        <w:rPr>
          <w:rFonts w:eastAsia="Calibri"/>
        </w:rPr>
      </w:pPr>
      <w:r w:rsidRPr="00DB3A74">
        <w:rPr>
          <w:rFonts w:eastAsia="Calibri"/>
        </w:rPr>
        <w:t xml:space="preserve">Generating units in load pockets may receive second-contingency or voltage-control payments for must-run situations. </w:t>
      </w:r>
      <w:hyperlink w:anchor="Table_5_4" w:history="1">
        <w:r w:rsidR="006B4CDB" w:rsidRPr="006B4CDB">
          <w:rPr>
            <w:rStyle w:val="Hyperlink"/>
            <w:rFonts w:eastAsia="Calibri"/>
          </w:rPr>
          <w:t>Table 5-4</w:t>
        </w:r>
      </w:hyperlink>
      <w:r w:rsidR="006B4CDB">
        <w:rPr>
          <w:rFonts w:eastAsia="Calibri"/>
        </w:rPr>
        <w:t xml:space="preserve"> </w:t>
      </w:r>
      <w:r w:rsidRPr="00DB3A74">
        <w:rPr>
          <w:rFonts w:eastAsia="Calibri"/>
        </w:rPr>
        <w:t>shows the net commitment-period compensation (NCPC) by type and year. Since 2013, there has been a general decline in payments, with the average of 2019 and 2020 ($6.2 million) being only 11% of that of 2013. In 2020, with a total of only $4.6 million, no area of the system had an NCPC in excess of $2.5 million. RTUs typically improve the economic performance of the system; however, upgrading transmission solely to reduce NCPC has not been justified.</w:t>
      </w:r>
    </w:p>
    <w:p w:rsidR="00825C4B" w:rsidRDefault="00825C4B">
      <w:pPr>
        <w:spacing w:after="200" w:line="276" w:lineRule="auto"/>
        <w:rPr>
          <w:rFonts w:eastAsia="Calibri"/>
        </w:rPr>
      </w:pPr>
      <w:r>
        <w:rPr>
          <w:rFonts w:eastAsia="Calibri"/>
        </w:rPr>
        <w:br w:type="page"/>
      </w:r>
    </w:p>
    <w:p w:rsidR="00825C4B" w:rsidRPr="00DB3A74" w:rsidRDefault="00825C4B" w:rsidP="00DB3A74">
      <w:pPr>
        <w:rPr>
          <w:rFonts w:eastAsia="Calibri"/>
        </w:rPr>
      </w:pPr>
    </w:p>
    <w:p w:rsidR="00DB3A74" w:rsidRPr="00DB3A74" w:rsidRDefault="001D2A17" w:rsidP="001D2A17">
      <w:pPr>
        <w:pStyle w:val="Caption"/>
        <w:rPr>
          <w:rFonts w:eastAsia="Calibri"/>
          <w:b w:val="0"/>
          <w:bCs w:val="0"/>
        </w:rPr>
      </w:pPr>
      <w:bookmarkStart w:id="686" w:name="_Ref418948080"/>
      <w:bookmarkStart w:id="687" w:name="Table_5_4"/>
      <w:bookmarkStart w:id="688" w:name="_Toc491244017"/>
      <w:bookmarkStart w:id="689" w:name="_Toc429063572"/>
      <w:bookmarkStart w:id="690" w:name="_Toc81544640"/>
      <w:r>
        <w:t xml:space="preserve">Table </w:t>
      </w:r>
      <w:fldSimple w:instr=" STYLEREF 1 \s ">
        <w:r>
          <w:rPr>
            <w:noProof/>
          </w:rPr>
          <w:t>5</w:t>
        </w:r>
      </w:fldSimple>
      <w:r>
        <w:noBreakHyphen/>
      </w:r>
      <w:fldSimple w:instr=" SEQ Table \* ARABIC \s 1 ">
        <w:r>
          <w:rPr>
            <w:noProof/>
          </w:rPr>
          <w:t>4</w:t>
        </w:r>
      </w:fldSimple>
      <w:bookmarkEnd w:id="686"/>
      <w:bookmarkEnd w:id="687"/>
      <w:r w:rsidR="00DB3A74" w:rsidRPr="00DB3A74">
        <w:rPr>
          <w:rFonts w:eastAsia="Calibri"/>
          <w:b w:val="0"/>
          <w:bCs w:val="0"/>
        </w:rPr>
        <w:br/>
        <w:t>Net Commitment-Period Compensation by Type and Year (Million $)</w:t>
      </w:r>
      <w:bookmarkEnd w:id="688"/>
      <w:bookmarkEnd w:id="689"/>
      <w:bookmarkEnd w:id="690"/>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DB3A74" w:rsidRPr="00DB3A74" w:rsidTr="00DB3A74">
        <w:trPr>
          <w:trHeight w:hRule="exact" w:val="20"/>
          <w:jc w:val="center"/>
        </w:trPr>
        <w:tc>
          <w:tcPr>
            <w:tcW w:w="987" w:type="dxa"/>
            <w:tcBorders>
              <w:top w:val="nil"/>
              <w:left w:val="nil"/>
              <w:bottom w:val="nil"/>
              <w:right w:val="nil"/>
            </w:tcBorders>
            <w:shd w:val="clear" w:color="auto" w:fill="1795D2" w:themeFill="accent1"/>
            <w:vAlign w:val="center"/>
            <w:hideMark/>
          </w:tcPr>
          <w:p w:rsidR="00DB3A74" w:rsidRPr="00DB3A74" w:rsidRDefault="00DB3A74" w:rsidP="00DB3A74">
            <w:pPr>
              <w:rPr>
                <w:rFonts w:ascii="Calibri" w:eastAsia="Calibri" w:hAnsi="Calibri"/>
                <w:b/>
                <w:bCs/>
                <w:szCs w:val="18"/>
              </w:rPr>
            </w:pPr>
            <w:bookmarkStart w:id="691" w:name="_33c47195_22cc_4d26_a0af_b1e55f22ab98"/>
            <w:bookmarkStart w:id="692" w:name="_fa0e38fb_3f55_4fd2_ae68_0ce932ff7ded"/>
            <w:bookmarkEnd w:id="691"/>
          </w:p>
        </w:tc>
        <w:tc>
          <w:tcPr>
            <w:tcW w:w="18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r>
      <w:tr w:rsidR="00DB3A74" w:rsidRPr="00DB3A74" w:rsidTr="00DB3A74">
        <w:trPr>
          <w:trHeight w:val="400"/>
          <w:jc w:val="center"/>
        </w:trPr>
        <w:tc>
          <w:tcPr>
            <w:tcW w:w="987"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Year</w:t>
            </w:r>
          </w:p>
        </w:tc>
        <w:tc>
          <w:tcPr>
            <w:tcW w:w="18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Second Contingency</w:t>
            </w:r>
            <w:r w:rsidRPr="00DB3A74">
              <w:rPr>
                <w:rFonts w:ascii="Calibri" w:eastAsia="Times New Roman" w:hAnsi="Calibri" w:cs="Arial"/>
                <w:b/>
                <w:bCs/>
                <w:color w:val="FFFFFF"/>
                <w:sz w:val="18"/>
                <w:szCs w:val="18"/>
                <w:vertAlign w:val="superscript"/>
              </w:rPr>
              <w:t>(a)</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Voltage</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Total</w:t>
            </w:r>
            <w:r w:rsidRPr="00DB3A74">
              <w:rPr>
                <w:rFonts w:ascii="Calibri" w:eastAsia="Times New Roman" w:hAnsi="Calibri" w:cs="Arial"/>
                <w:b/>
                <w:bCs/>
                <w:color w:val="FFFFFF"/>
                <w:sz w:val="18"/>
                <w:szCs w:val="18"/>
                <w:vertAlign w:val="superscript"/>
              </w:rPr>
              <w:t>(b)</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2003</w:t>
            </w:r>
            <w:r w:rsidRPr="00DB3A74">
              <w:rPr>
                <w:rFonts w:ascii="Calibri" w:eastAsia="Times New Roman" w:hAnsi="Calibri" w:cs="Arial"/>
                <w:b/>
                <w:bCs/>
                <w:sz w:val="18"/>
                <w:szCs w:val="18"/>
                <w:vertAlign w:val="superscript"/>
              </w:rPr>
              <w:t>(c)</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14.4</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50.4</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68.0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111.9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2005</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133.7</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75.1</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208.8</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179.9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19.0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199.0</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2007</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169.5</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215.5</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182.9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29.4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212.3</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2009</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17.5</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22.5</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9.0</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2011</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5.8</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11.9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2012</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8.8</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14.9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23.6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2013</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38.0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16.6</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54.6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32.4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6.2</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38.6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2015</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42.7</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5.4</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48.1</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31.1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32.6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2017</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12.5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3.4</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2.7</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17.7</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2019</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7.3</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0.5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7.8</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2020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0.6</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4.6</w:t>
            </w:r>
          </w:p>
        </w:tc>
      </w:tr>
    </w:tbl>
    <w:bookmarkEnd w:id="692"/>
    <w:p w:rsidR="00DB3A74" w:rsidRPr="00DB3A74" w:rsidRDefault="00DB3A74" w:rsidP="00DB3A74">
      <w:pPr>
        <w:keepNext/>
        <w:keepLines/>
        <w:numPr>
          <w:ilvl w:val="0"/>
          <w:numId w:val="55"/>
        </w:numPr>
        <w:tabs>
          <w:tab w:val="left" w:pos="2250"/>
        </w:tabs>
        <w:spacing w:before="80" w:after="80" w:line="240" w:lineRule="auto"/>
        <w:ind w:right="1710"/>
        <w:rPr>
          <w:rFonts w:ascii="Calibri" w:eastAsia="Times New Roman" w:hAnsi="Calibri" w:cs="Arial"/>
          <w:sz w:val="16"/>
          <w:szCs w:val="16"/>
        </w:rPr>
      </w:pPr>
      <w:r w:rsidRPr="00DB3A74">
        <w:rPr>
          <w:rFonts w:ascii="Calibri" w:eastAsia="Times New Roman" w:hAnsi="Calibri" w:cs="Arial"/>
          <w:sz w:val="16"/>
          <w:szCs w:val="16"/>
        </w:rPr>
        <w:t>NCPC for first-contingency commitment and distribution support is not included.</w:t>
      </w:r>
    </w:p>
    <w:p w:rsidR="00DB3A74" w:rsidRPr="00DB3A74" w:rsidRDefault="00DB3A74" w:rsidP="00DB3A74">
      <w:pPr>
        <w:keepNext/>
        <w:keepLines/>
        <w:numPr>
          <w:ilvl w:val="0"/>
          <w:numId w:val="55"/>
        </w:numPr>
        <w:spacing w:after="80" w:line="240" w:lineRule="auto"/>
        <w:ind w:right="1710"/>
        <w:rPr>
          <w:rFonts w:ascii="Calibri" w:eastAsia="Times New Roman" w:hAnsi="Calibri" w:cs="Arial"/>
          <w:sz w:val="16"/>
          <w:szCs w:val="16"/>
        </w:rPr>
      </w:pPr>
      <w:r w:rsidRPr="00DB3A74">
        <w:rPr>
          <w:rFonts w:ascii="Calibri" w:eastAsia="Times New Roman" w:hAnsi="Calibri" w:cs="Arial"/>
          <w:sz w:val="16"/>
          <w:szCs w:val="16"/>
        </w:rPr>
        <w:t>Numbers may not add precisely due to rounding.</w:t>
      </w:r>
    </w:p>
    <w:p w:rsidR="00DB3A74" w:rsidRPr="00DB3A74" w:rsidRDefault="00DB3A74" w:rsidP="00DB3A74">
      <w:pPr>
        <w:keepNext/>
        <w:keepLines/>
        <w:numPr>
          <w:ilvl w:val="0"/>
          <w:numId w:val="55"/>
        </w:numPr>
        <w:spacing w:after="120" w:line="240" w:lineRule="auto"/>
        <w:ind w:right="1714"/>
        <w:rPr>
          <w:rFonts w:ascii="Calibri" w:eastAsia="Times New Roman" w:hAnsi="Calibri" w:cs="Arial"/>
          <w:sz w:val="16"/>
          <w:szCs w:val="16"/>
        </w:rPr>
      </w:pPr>
      <w:r w:rsidRPr="00DB3A74">
        <w:rPr>
          <w:rFonts w:ascii="Calibri" w:eastAsia="Times New Roman" w:hAnsi="Calibri" w:cs="Arial"/>
          <w:sz w:val="16"/>
          <w:szCs w:val="16"/>
        </w:rPr>
        <w:t>NCPC under Standard Market Design began in March 2003.</w:t>
      </w:r>
    </w:p>
    <w:p w:rsidR="00DB3A74" w:rsidRPr="00DB3A74" w:rsidRDefault="00DB3A74" w:rsidP="00DB3A74">
      <w:pPr>
        <w:rPr>
          <w:rFonts w:eastAsia="Calibri"/>
        </w:rPr>
      </w:pPr>
      <w:r w:rsidRPr="00DB3A74">
        <w:rPr>
          <w:rFonts w:eastAsia="Calibri"/>
        </w:rPr>
        <w:t>Transmission solutions continue to be put in place where proposed generating or demand resources have not relieved transmission system performance concerns. The ISO is studying these areas, and while transmission projects are still being planned for some areas, other areas already have projects under construction and in service to mitigate dependence on generating units. RTUs were used to address these system performance concerns, which contributed to a substantial reduction in out-of-merit operating costs.</w:t>
      </w:r>
    </w:p>
    <w:p w:rsidR="00DB3A74" w:rsidRPr="00DB3A74" w:rsidRDefault="00DB3A74" w:rsidP="00655272">
      <w:pPr>
        <w:pStyle w:val="Heading3"/>
        <w:rPr>
          <w:rFonts w:eastAsia="Times New Roman"/>
        </w:rPr>
      </w:pPr>
      <w:bookmarkStart w:id="693" w:name="_Toc490323059"/>
      <w:bookmarkStart w:id="694" w:name="_Toc429063423"/>
      <w:bookmarkStart w:id="695" w:name="_Toc81544576"/>
      <w:r w:rsidRPr="00DB3A74">
        <w:rPr>
          <w:rFonts w:eastAsia="Times New Roman"/>
        </w:rPr>
        <w:t>Required Ge</w:t>
      </w:r>
      <w:r w:rsidR="00655272">
        <w:rPr>
          <w:rFonts w:eastAsia="Times New Roman"/>
        </w:rPr>
        <w:t>nerator-Interconnection-Related </w:t>
      </w:r>
      <w:r w:rsidRPr="00DB3A74">
        <w:rPr>
          <w:rFonts w:eastAsia="Times New Roman"/>
        </w:rPr>
        <w:t>Upgrades</w:t>
      </w:r>
      <w:bookmarkEnd w:id="693"/>
      <w:bookmarkEnd w:id="694"/>
      <w:bookmarkEnd w:id="695"/>
    </w:p>
    <w:p w:rsidR="00DB3A74" w:rsidRPr="00DB3A74" w:rsidRDefault="00DB3A74" w:rsidP="00DB3A74">
      <w:pPr>
        <w:rPr>
          <w:rFonts w:eastAsia="Calibri"/>
        </w:rPr>
      </w:pPr>
      <w:r w:rsidRPr="00DB3A74">
        <w:rPr>
          <w:rFonts w:eastAsia="Calibri"/>
        </w:rPr>
        <w:t xml:space="preserve">No significant transmission system upgrades resulted from the interconnection of generators. Most of the generator-interconnection-related upgrades are fairly local to the point of interconnection of the generator. The </w:t>
      </w:r>
      <w:hyperlink r:id="rId307" w:history="1">
        <w:r w:rsidR="00A91661" w:rsidRPr="004433A3">
          <w:rPr>
            <w:rStyle w:val="Hyperlink"/>
            <w:i/>
          </w:rPr>
          <w:t>RSP Project List</w:t>
        </w:r>
      </w:hyperlink>
      <w:r w:rsidRPr="00DB3A74">
        <w:rPr>
          <w:rFonts w:eastAsia="Calibri"/>
          <w:i/>
        </w:rPr>
        <w:t xml:space="preserve"> </w:t>
      </w:r>
      <w:r w:rsidRPr="00DB3A74">
        <w:rPr>
          <w:rFonts w:eastAsia="Calibri"/>
        </w:rPr>
        <w:t xml:space="preserve">identifies the PTF upgrades to be built to accommodate new generation, and ETUs that have satisfied the requirements of the tariff. </w:t>
      </w:r>
    </w:p>
    <w:p w:rsidR="00DB3A74" w:rsidRPr="00DB3A74" w:rsidRDefault="00DB3A74" w:rsidP="00DB3A74">
      <w:pPr>
        <w:rPr>
          <w:rFonts w:eastAsia="Calibri"/>
        </w:rPr>
      </w:pPr>
      <w:r w:rsidRPr="00DB3A74">
        <w:rPr>
          <w:rFonts w:eastAsia="Calibri"/>
        </w:rPr>
        <w:t xml:space="preserve">As discussed in </w:t>
      </w:r>
      <w:hyperlink w:anchor="_Resource_Adequacy—Resources,_Capaci" w:history="1">
        <w:r w:rsidRPr="00E76ADC">
          <w:rPr>
            <w:rStyle w:val="Hyperlink"/>
            <w:rFonts w:eastAsia="Calibri"/>
          </w:rPr>
          <w:t>Chapter 4</w:t>
        </w:r>
      </w:hyperlink>
      <w:r w:rsidRPr="00DB3A74">
        <w:rPr>
          <w:rFonts w:eastAsia="Calibri"/>
        </w:rPr>
        <w:t xml:space="preserve">, several </w:t>
      </w:r>
      <w:r w:rsidR="0053760E" w:rsidRPr="00DB3A74">
        <w:rPr>
          <w:rFonts w:eastAsia="Calibri"/>
        </w:rPr>
        <w:t>wind-generating</w:t>
      </w:r>
      <w:r w:rsidRPr="00DB3A74">
        <w:rPr>
          <w:rFonts w:eastAsia="Calibri"/>
        </w:rPr>
        <w:t xml:space="preserve"> plants have participated in clustering studies that expedite the consideration of two or more interconnection requests and allocate interconnection upgrade costs among the Interconnection Customers (ICs). To date, the ISO has conducted the </w:t>
      </w:r>
      <w:hyperlink r:id="rId308" w:history="1">
        <w:r w:rsidRPr="004433A3">
          <w:rPr>
            <w:rStyle w:val="Hyperlink"/>
            <w:i/>
          </w:rPr>
          <w:t>2016/2017 Maine Resource Integration Study</w:t>
        </w:r>
      </w:hyperlink>
      <w:r w:rsidRPr="004433A3">
        <w:rPr>
          <w:rStyle w:val="Hyperlink"/>
          <w:i/>
        </w:rPr>
        <w:t xml:space="preserve"> </w:t>
      </w:r>
      <w:r w:rsidRPr="00DB3A74">
        <w:rPr>
          <w:rFonts w:eastAsia="Calibri"/>
        </w:rPr>
        <w:t xml:space="preserve">(MRIS) to identify the Transmission Upgrades necessary to enable the interconnection of proposed new resources in northern and western Maine. A second study was completed in October 2020, </w:t>
      </w:r>
      <w:hyperlink r:id="rId309" w:history="1">
        <w:r w:rsidRPr="004433A3">
          <w:rPr>
            <w:rStyle w:val="Hyperlink"/>
            <w:i/>
          </w:rPr>
          <w:t>Second Maine Resource Integration Study</w:t>
        </w:r>
      </w:hyperlink>
      <w:r w:rsidRPr="00DB3A74">
        <w:rPr>
          <w:rFonts w:eastAsia="Calibri"/>
          <w:i/>
        </w:rPr>
        <w:t xml:space="preserve">, </w:t>
      </w:r>
      <w:r w:rsidRPr="00DB3A74">
        <w:rPr>
          <w:rFonts w:eastAsia="Calibri"/>
        </w:rPr>
        <w:t xml:space="preserve">and identified the Transmission Upgrades necessary to enable the interconnection of additional wind resources in northern and western Maine. </w:t>
      </w:r>
    </w:p>
    <w:p w:rsidR="00DB3A74" w:rsidRPr="00DB3A74" w:rsidRDefault="00DB3A74" w:rsidP="00DB3A74">
      <w:pPr>
        <w:tabs>
          <w:tab w:val="left" w:pos="810"/>
        </w:tabs>
        <w:rPr>
          <w:rFonts w:eastAsia="Calibri"/>
        </w:rPr>
      </w:pPr>
      <w:r w:rsidRPr="00DB3A74">
        <w:rPr>
          <w:rFonts w:eastAsia="Calibri"/>
        </w:rPr>
        <w:t xml:space="preserve">Numerous new offshore wind resources are being proposed in Southern New England and are part of the most recent cluster study being performed by the ISO. The first </w:t>
      </w:r>
      <w:hyperlink r:id="rId310" w:history="1">
        <w:r w:rsidRPr="004433A3">
          <w:rPr>
            <w:rStyle w:val="Hyperlink"/>
            <w:i/>
          </w:rPr>
          <w:t>Cape Cod Resource Integration Study</w:t>
        </w:r>
      </w:hyperlink>
      <w:r w:rsidRPr="00DB3A74">
        <w:rPr>
          <w:rFonts w:eastAsia="Calibri"/>
        </w:rPr>
        <w:t xml:space="preserve"> has identified that an additional 1,200 MW of offshore wind can be interconnected on Cape Cod. Later in 2021, a second Cape Cod Resource Integration Study will be initiated to identify enabling upgrades for additional offshore wind interconnections in the Cape Cod area.</w:t>
      </w:r>
    </w:p>
    <w:p w:rsidR="00DB3A74" w:rsidRPr="00DB3A74" w:rsidRDefault="00DB3A74" w:rsidP="00DD20D8">
      <w:pPr>
        <w:pStyle w:val="Heading3"/>
        <w:rPr>
          <w:rFonts w:eastAsia="Times New Roman"/>
        </w:rPr>
      </w:pPr>
      <w:bookmarkStart w:id="696" w:name="_Ref10718898"/>
      <w:bookmarkStart w:id="697" w:name="_Toc490323060"/>
      <w:bookmarkStart w:id="698" w:name="_Toc429063424"/>
      <w:bookmarkStart w:id="699" w:name="_Ref425842205"/>
      <w:bookmarkStart w:id="700" w:name="_Toc81544577"/>
      <w:r w:rsidRPr="00DB3A74">
        <w:rPr>
          <w:rFonts w:eastAsia="Times New Roman"/>
        </w:rPr>
        <w:t>Elective Transmission Upgrades</w:t>
      </w:r>
      <w:bookmarkEnd w:id="696"/>
      <w:bookmarkEnd w:id="697"/>
      <w:bookmarkEnd w:id="698"/>
      <w:bookmarkEnd w:id="699"/>
      <w:bookmarkEnd w:id="700"/>
    </w:p>
    <w:p w:rsidR="00DB3A74" w:rsidRPr="00DB3A74" w:rsidRDefault="00DB3A74" w:rsidP="00DB3A74">
      <w:pPr>
        <w:rPr>
          <w:rFonts w:eastAsia="Calibri"/>
        </w:rPr>
      </w:pPr>
      <w:r w:rsidRPr="00DB3A74">
        <w:rPr>
          <w:rFonts w:eastAsia="Calibri"/>
        </w:rPr>
        <w:t xml:space="preserve">A number of new Elective Transmission Upgrades have been added to the </w:t>
      </w:r>
      <w:hyperlink r:id="rId311" w:history="1">
        <w:r w:rsidRPr="00B00E9C">
          <w:rPr>
            <w:rStyle w:val="Hyperlink"/>
            <w:rFonts w:eastAsia="Calibri"/>
            <w:i/>
          </w:rPr>
          <w:t>ISO Interconnection Request Queue</w:t>
        </w:r>
      </w:hyperlink>
      <w:r w:rsidRPr="00DB3A74">
        <w:rPr>
          <w:rFonts w:eastAsia="Calibri"/>
        </w:rPr>
        <w:t xml:space="preserve">. Many of these are focused on delivering zero- or low-carbon resources to or within New England. The queue currently includes proposals to import energy from other regions and from offshore wind and to increase internal transfer capabilities. As of June 1, 2021, four projects are under study as ETUs, and two have received approval of their proposed plan applications. </w:t>
      </w:r>
    </w:p>
    <w:p w:rsidR="00DB3A74" w:rsidRPr="00DB3A74" w:rsidRDefault="00DB3A74" w:rsidP="006828F4">
      <w:pPr>
        <w:pStyle w:val="Heading2"/>
        <w:rPr>
          <w:rFonts w:eastAsia="Times New Roman"/>
        </w:rPr>
      </w:pPr>
      <w:bookmarkStart w:id="701" w:name="_Toc490323061"/>
      <w:bookmarkStart w:id="702" w:name="_Toc429063425"/>
      <w:bookmarkStart w:id="703" w:name="_Toc81544578"/>
      <w:r w:rsidRPr="00DB3A74">
        <w:rPr>
          <w:rFonts w:eastAsia="Times New Roman"/>
        </w:rPr>
        <w:t>Summary</w:t>
      </w:r>
      <w:bookmarkEnd w:id="701"/>
      <w:bookmarkEnd w:id="702"/>
      <w:bookmarkEnd w:id="703"/>
    </w:p>
    <w:bookmarkEnd w:id="605"/>
    <w:bookmarkEnd w:id="606"/>
    <w:bookmarkEnd w:id="607"/>
    <w:bookmarkEnd w:id="608"/>
    <w:p w:rsidR="00DB3A74" w:rsidRPr="00DB3A74" w:rsidRDefault="00DB3A74" w:rsidP="00DB3A74">
      <w:pPr>
        <w:rPr>
          <w:rFonts w:eastAsia="Calibri"/>
        </w:rPr>
      </w:pPr>
      <w:r w:rsidRPr="00DB3A74">
        <w:rPr>
          <w:rFonts w:eastAsia="Calibri"/>
        </w:rPr>
        <w:t xml:space="preserve">Numerous transmission projects have been placed in service across New England since 2002. These projects help maintain system reliability, enhance the region’s ability to support a robust, competitive wholesale power market by reliably moving power from various internal and external sources to the region’s load centers, and ensure the system can meet its current level of demand and prepare for future load growth. </w:t>
      </w:r>
    </w:p>
    <w:p w:rsidR="00DB3A74" w:rsidRPr="00DB3A74" w:rsidRDefault="00DB3A74" w:rsidP="00DB3A74">
      <w:pPr>
        <w:rPr>
          <w:rFonts w:eastAsia="Calibri"/>
        </w:rPr>
      </w:pPr>
      <w:r w:rsidRPr="00DB3A74">
        <w:rPr>
          <w:rFonts w:eastAsia="Calibri"/>
        </w:rPr>
        <w:t xml:space="preserve">Since the publication of the </w:t>
      </w:r>
      <w:hyperlink r:id="rId312" w:history="1">
        <w:r w:rsidRPr="004433A3">
          <w:rPr>
            <w:rStyle w:val="Hyperlink"/>
            <w:i/>
          </w:rPr>
          <w:t>2019 Regional System Plan</w:t>
        </w:r>
      </w:hyperlink>
      <w:r w:rsidRPr="00DB3A74">
        <w:rPr>
          <w:rFonts w:eastAsia="Calibri"/>
        </w:rPr>
        <w:t xml:space="preserve">, the New Hampshire/Vermont 2020 Upgrades, Greater Hartford/Central Connecticut 2022 Upgrades, Southwest Connecticut 2022 Upgrades, the Pittsfield and Greenfield 2022 Upgrades, and the Greater Boston Upgrades were either placed in service or </w:t>
      </w:r>
      <w:r w:rsidR="0053760E">
        <w:rPr>
          <w:rFonts w:eastAsia="Calibri"/>
        </w:rPr>
        <w:t>are</w:t>
      </w:r>
      <w:r w:rsidR="0053760E" w:rsidRPr="00DB3A74">
        <w:rPr>
          <w:rFonts w:eastAsia="Calibri"/>
        </w:rPr>
        <w:t xml:space="preserve"> nearing</w:t>
      </w:r>
      <w:r w:rsidRPr="00DB3A74">
        <w:rPr>
          <w:rFonts w:eastAsia="Calibri"/>
        </w:rPr>
        <w:t xml:space="preserve"> completion. Study work remains to be done in the WCMA and SEMA/RI areas. </w:t>
      </w:r>
    </w:p>
    <w:p w:rsidR="00DB3A74" w:rsidRPr="00DB3A74" w:rsidRDefault="00DB3A74" w:rsidP="00DB3A74">
      <w:pPr>
        <w:rPr>
          <w:rFonts w:eastAsia="Calibri"/>
        </w:rPr>
      </w:pPr>
      <w:r w:rsidRPr="00DB3A74">
        <w:rPr>
          <w:rFonts w:eastAsia="Calibri"/>
        </w:rPr>
        <w:t>The ISO issued its first request for proposal</w:t>
      </w:r>
      <w:r w:rsidR="00BF34DC">
        <w:rPr>
          <w:rFonts w:eastAsia="Calibri"/>
        </w:rPr>
        <w:t>s</w:t>
      </w:r>
      <w:r w:rsidRPr="00DB3A74">
        <w:rPr>
          <w:rFonts w:eastAsia="Calibri"/>
        </w:rPr>
        <w:t xml:space="preserve"> to solicit competitive proposals from Qualified Transmission Project Sponsors to solve needs observed in the Boston area due to the upcoming retirement of the Mystic generating units. From the </w:t>
      </w:r>
      <w:r w:rsidRPr="00DB3A74">
        <w:rPr>
          <w:rFonts w:eastAsia="Calibri"/>
          <w:i/>
        </w:rPr>
        <w:t>Boston 2028 RFP</w:t>
      </w:r>
      <w:r w:rsidRPr="00DB3A74">
        <w:rPr>
          <w:rFonts w:eastAsia="Calibri"/>
        </w:rPr>
        <w:t xml:space="preserve"> and subsequent </w:t>
      </w:r>
      <w:r w:rsidRPr="00DB3A74">
        <w:rPr>
          <w:rFonts w:eastAsia="Calibri"/>
          <w:i/>
        </w:rPr>
        <w:t>Boston 2028 Solutions Study – Mystic retirement</w:t>
      </w:r>
      <w:r w:rsidRPr="00DB3A74">
        <w:rPr>
          <w:rFonts w:eastAsia="Calibri"/>
        </w:rPr>
        <w:t xml:space="preserve">, the preferred solution, named the </w:t>
      </w:r>
      <w:r w:rsidRPr="00DB3A74">
        <w:rPr>
          <w:rFonts w:eastAsia="Calibri"/>
          <w:i/>
        </w:rPr>
        <w:t>Boston Area Optimized Solution</w:t>
      </w:r>
      <w:r w:rsidRPr="00DB3A74">
        <w:rPr>
          <w:rFonts w:eastAsia="Calibri"/>
        </w:rPr>
        <w:t xml:space="preserve">, was selected. </w:t>
      </w:r>
      <w:r w:rsidR="00BF34DC">
        <w:rPr>
          <w:rFonts w:eastAsia="Calibri"/>
        </w:rPr>
        <w:t xml:space="preserve">This was </w:t>
      </w:r>
      <w:r w:rsidR="00EB0677">
        <w:rPr>
          <w:rFonts w:eastAsia="Calibri"/>
        </w:rPr>
        <w:t xml:space="preserve">the lowest cost proposal and is </w:t>
      </w:r>
      <w:r w:rsidR="00BF34DC">
        <w:rPr>
          <w:rFonts w:eastAsia="Calibri"/>
        </w:rPr>
        <w:t>also projected to be in-</w:t>
      </w:r>
      <w:r w:rsidR="00EB0677">
        <w:rPr>
          <w:rFonts w:eastAsia="Calibri"/>
        </w:rPr>
        <w:t>service</w:t>
      </w:r>
      <w:r w:rsidR="00BF34DC">
        <w:rPr>
          <w:rFonts w:eastAsia="Calibri"/>
        </w:rPr>
        <w:t xml:space="preserve"> by the anticipated need date.</w:t>
      </w:r>
    </w:p>
    <w:p w:rsidR="00DB3A74" w:rsidRPr="00DB3A74" w:rsidRDefault="00E04FBB" w:rsidP="00DB3A74">
      <w:pPr>
        <w:rPr>
          <w:rFonts w:eastAsia="Calibri"/>
        </w:rPr>
      </w:pPr>
      <w:r>
        <w:t>The continued development of renewable resources,</w:t>
      </w:r>
      <w:r w:rsidR="00127AE3">
        <w:t xml:space="preserve"> and DERs</w:t>
      </w:r>
      <w:r>
        <w:t>,</w:t>
      </w:r>
      <w:r w:rsidR="00127AE3">
        <w:t xml:space="preserve"> </w:t>
      </w:r>
      <w:r>
        <w:t>will ultimately require some transmission buil</w:t>
      </w:r>
      <w:r w:rsidR="000048B9">
        <w:t>d</w:t>
      </w:r>
      <w:r>
        <w:t xml:space="preserve">out to successfully interconnect these resources in a reliable manner. </w:t>
      </w:r>
      <w:r w:rsidRPr="009D6A5B">
        <w:t xml:space="preserve">The ISO </w:t>
      </w:r>
      <w:r>
        <w:t>is aggressively leading several efforts to examine both study assumptions (e.g.</w:t>
      </w:r>
      <w:r w:rsidR="00036069">
        <w:t>,</w:t>
      </w:r>
      <w:r>
        <w:t xml:space="preserve"> </w:t>
      </w:r>
      <w:r w:rsidRPr="00DB3A74">
        <w:rPr>
          <w:rFonts w:eastAsia="Calibri"/>
        </w:rPr>
        <w:t>Transmission Planning for the Clean Energy Transition study</w:t>
      </w:r>
      <w:r>
        <w:t>) and perform transmission assessments (e.g.</w:t>
      </w:r>
      <w:r w:rsidR="00036069">
        <w:t>,</w:t>
      </w:r>
      <w:r>
        <w:t xml:space="preserve"> </w:t>
      </w:r>
      <w:r w:rsidRPr="00DB3A74">
        <w:rPr>
          <w:rFonts w:eastAsia="Calibri"/>
        </w:rPr>
        <w:t>New England states’ 2050 study</w:t>
      </w:r>
      <w:r>
        <w:t>) to prepare for the significant influx of renewable</w:t>
      </w:r>
      <w:r w:rsidR="00036069">
        <w:t>s</w:t>
      </w:r>
      <w:r>
        <w:t xml:space="preserve"> that are in the generator interconnection queue.  </w:t>
      </w:r>
      <w:r w:rsidR="00A91661" w:rsidRPr="00DB3A74">
        <w:rPr>
          <w:rFonts w:eastAsia="Calibri"/>
        </w:rPr>
        <w:t xml:space="preserve">These efforts will help to inform stakeholder discussions around updated study assumptions, and to lay out a high-level direction </w:t>
      </w:r>
      <w:r w:rsidR="00A91661">
        <w:rPr>
          <w:rFonts w:eastAsia="Calibri"/>
        </w:rPr>
        <w:t xml:space="preserve">and costs </w:t>
      </w:r>
      <w:r w:rsidR="00A91661" w:rsidRPr="00DB3A74">
        <w:rPr>
          <w:rFonts w:eastAsia="Calibri"/>
        </w:rPr>
        <w:t xml:space="preserve">for the transmission system </w:t>
      </w:r>
      <w:r w:rsidR="00A91661">
        <w:rPr>
          <w:rFonts w:eastAsia="Calibri"/>
        </w:rPr>
        <w:t>to integrate and deliver clean energy resources to load centers and</w:t>
      </w:r>
      <w:r w:rsidR="00A91661" w:rsidRPr="00DB3A74">
        <w:rPr>
          <w:rFonts w:eastAsia="Calibri"/>
        </w:rPr>
        <w:t xml:space="preserve"> may help to inform the selection of solutions for nearer-term needs.</w:t>
      </w:r>
      <w:r w:rsidR="00A91661">
        <w:rPr>
          <w:rFonts w:eastAsia="Calibri"/>
        </w:rPr>
        <w:t xml:space="preserve"> </w:t>
      </w:r>
      <w:r>
        <w:t xml:space="preserve">These efforts will </w:t>
      </w:r>
      <w:r w:rsidR="00A91661">
        <w:t xml:space="preserve">also </w:t>
      </w:r>
      <w:r>
        <w:t xml:space="preserve">help </w:t>
      </w:r>
      <w:r w:rsidR="0053760E">
        <w:t>inform stakeholders</w:t>
      </w:r>
      <w:r>
        <w:t xml:space="preserve"> and policy</w:t>
      </w:r>
      <w:r w:rsidR="005C5D9A">
        <w:t>-</w:t>
      </w:r>
      <w:r>
        <w:t xml:space="preserve">makers how the New England power grid is expected to change over the </w:t>
      </w:r>
      <w:r w:rsidR="00036069">
        <w:t>10</w:t>
      </w:r>
      <w:r>
        <w:t xml:space="preserve">-year planning horizon. </w:t>
      </w:r>
    </w:p>
    <w:p w:rsidR="00B565F8" w:rsidRPr="00DB3A74" w:rsidRDefault="00DB3A74" w:rsidP="00DB3A74">
      <w:pPr>
        <w:rPr>
          <w:rFonts w:eastAsia="Calibri"/>
        </w:rPr>
      </w:pPr>
      <w:r w:rsidRPr="00DB3A74">
        <w:rPr>
          <w:rFonts w:eastAsia="Calibri"/>
        </w:rPr>
        <w:t>Many new ETUs have been proposed that focus on delivering zero or low-carbon resources to New England. As of June 1, 2021, four projects are under study as ETUs, and two have received approval of their proposed plan applications.</w:t>
      </w:r>
    </w:p>
    <w:p w:rsidR="00DB3A74" w:rsidRPr="00DB3A74" w:rsidRDefault="00DB3A74" w:rsidP="00DB3A74">
      <w:pPr>
        <w:rPr>
          <w:rFonts w:eastAsia="Calibri"/>
        </w:rPr>
      </w:pPr>
      <w:r w:rsidRPr="00DB3A74">
        <w:rPr>
          <w:rFonts w:eastAsia="Calibri"/>
        </w:rPr>
        <w:t xml:space="preserve">All transmission projects are developed to meet the reliability requirements of the entire region and are fully coordinated regionally and </w:t>
      </w:r>
      <w:r w:rsidR="001931D3" w:rsidRPr="00DB3A74">
        <w:rPr>
          <w:rFonts w:eastAsia="Calibri"/>
        </w:rPr>
        <w:t>interregionally</w:t>
      </w:r>
      <w:r w:rsidRPr="00DB3A74">
        <w:rPr>
          <w:rFonts w:eastAsia="Calibri"/>
        </w:rPr>
        <w:t xml:space="preserve">. Most projects on the </w:t>
      </w:r>
      <w:hyperlink r:id="rId313" w:history="1">
        <w:r w:rsidRPr="004B6FB7">
          <w:rPr>
            <w:rStyle w:val="Hyperlink"/>
            <w:i/>
          </w:rPr>
          <w:t>RSP Project List</w:t>
        </w:r>
      </w:hyperlink>
      <w:r w:rsidRPr="00DB3A74">
        <w:rPr>
          <w:rFonts w:eastAsia="Calibri"/>
        </w:rPr>
        <w:t xml:space="preserve"> are subject to regional cost allocation. Transmission projects identified through the regional transmission planning process help the ISO meet all required transmission planning requirements, and little congestion is currently evident on the system.</w:t>
      </w:r>
    </w:p>
    <w:p w:rsidR="00DB3A74" w:rsidRPr="00DB3A74" w:rsidRDefault="00DB3A74" w:rsidP="00DB3A74">
      <w:pPr>
        <w:rPr>
          <w:rFonts w:eastAsia="Calibri"/>
        </w:rPr>
      </w:pPr>
      <w:r w:rsidRPr="00DB3A74">
        <w:rPr>
          <w:rFonts w:eastAsia="Calibri"/>
        </w:rPr>
        <w:t>A total of 834 project components have been placed in service across the region since 2002. Another 47 project components have a status of planned, proposed, or under construction. Overall, the estimated investment in New England to maintain reliability has been $11.7 billion from 2002 to June 2020, and another $1.1 billion is planned over the planning horizon. With these system upgrades in place, combined with the changes in assumptions to needs assessments, the need for additional reliability transmission upgrades may decline over the planning horizon; however, additional needs may be driven by generation retirement and the impact of increased energy efficiency and photovoltaic programs.</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704" w:name="_Environmental_Regulations_and"/>
      <w:bookmarkStart w:id="705" w:name="_Toc490323082"/>
      <w:bookmarkStart w:id="706" w:name="_Toc429063451"/>
      <w:bookmarkStart w:id="707" w:name="_Ref418883784"/>
      <w:bookmarkStart w:id="708" w:name="_Toc81544579"/>
      <w:bookmarkEnd w:id="704"/>
      <w:r w:rsidRPr="00DB3A74">
        <w:rPr>
          <w:rFonts w:eastAsia="Times New Roman"/>
        </w:rPr>
        <w:t>Environmental Regulations and Goals</w:t>
      </w:r>
      <w:r w:rsidRPr="00DB3A74">
        <w:rPr>
          <w:rFonts w:eastAsia="Times New Roman"/>
        </w:rPr>
        <w:br/>
        <w:t>Affecting the Power</w:t>
      </w:r>
      <w:r w:rsidR="007A4A55">
        <w:rPr>
          <w:rFonts w:eastAsia="Times New Roman"/>
        </w:rPr>
        <w:t> </w:t>
      </w:r>
      <w:r w:rsidRPr="00DB3A74">
        <w:rPr>
          <w:rFonts w:eastAsia="Times New Roman"/>
        </w:rPr>
        <w:t>System</w:t>
      </w:r>
      <w:bookmarkEnd w:id="705"/>
      <w:bookmarkEnd w:id="706"/>
      <w:bookmarkEnd w:id="707"/>
      <w:bookmarkEnd w:id="708"/>
    </w:p>
    <w:p w:rsidR="00DB3A74" w:rsidRPr="00DB3A74" w:rsidRDefault="00DB3A74" w:rsidP="00DB3A74">
      <w:pPr>
        <w:rPr>
          <w:rFonts w:eastAsia="Calibri"/>
        </w:rPr>
      </w:pPr>
      <w:r w:rsidRPr="00DB3A74">
        <w:rPr>
          <w:rFonts w:eastAsia="Calibri"/>
          <w:noProof/>
        </w:rPr>
        <w:drawing>
          <wp:anchor distT="0" distB="182880" distL="182880" distR="182880" simplePos="0" relativeHeight="251683840" behindDoc="0" locked="0" layoutInCell="1" allowOverlap="1" wp14:anchorId="34E33F9E" wp14:editId="0D0C7328">
            <wp:simplePos x="0" y="0"/>
            <wp:positionH relativeFrom="margin">
              <wp:align>right</wp:align>
            </wp:positionH>
            <wp:positionV relativeFrom="paragraph">
              <wp:posOffset>8890</wp:posOffset>
            </wp:positionV>
            <wp:extent cx="1600200" cy="1600200"/>
            <wp:effectExtent l="0" t="0" r="0" b="0"/>
            <wp:wrapSquare wrapText="bothSides"/>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Various elements of the power system are subject to federal and state environmental laws and regulations </w:t>
      </w:r>
      <w:r w:rsidR="00EC2BA9">
        <w:rPr>
          <w:rFonts w:eastAsia="Calibri"/>
        </w:rPr>
        <w:t>as well as</w:t>
      </w:r>
      <w:r w:rsidR="00EC2BA9" w:rsidRPr="00DB3A74">
        <w:rPr>
          <w:rFonts w:eastAsia="Calibri"/>
        </w:rPr>
        <w:t xml:space="preserve"> </w:t>
      </w:r>
      <w:r w:rsidRPr="00DB3A74">
        <w:rPr>
          <w:rFonts w:eastAsia="Calibri"/>
        </w:rPr>
        <w:t>multistate initiatives for controlling pollution, emissions, or discharges</w:t>
      </w:r>
      <w:r w:rsidR="00EC2BA9">
        <w:rPr>
          <w:rFonts w:eastAsia="Calibri"/>
        </w:rPr>
        <w:t>.  These limits are intended to protect</w:t>
      </w:r>
      <w:r w:rsidRPr="00DB3A74">
        <w:rPr>
          <w:rFonts w:eastAsia="Calibri"/>
        </w:rPr>
        <w:t xml:space="preserve"> human health and the environment. </w:t>
      </w:r>
      <w:r w:rsidR="00EC2BA9">
        <w:rPr>
          <w:rFonts w:eastAsia="Calibri"/>
        </w:rPr>
        <w:t>Additionally, t</w:t>
      </w:r>
      <w:r w:rsidRPr="00DB3A74">
        <w:rPr>
          <w:rFonts w:eastAsia="Calibri"/>
        </w:rPr>
        <w:t>he New England states also have targets for the development of low- or zero-emitting resources</w:t>
      </w:r>
      <w:r w:rsidR="00EC2BA9">
        <w:rPr>
          <w:rFonts w:eastAsia="Calibri"/>
        </w:rPr>
        <w:t xml:space="preserve"> to address climate change</w:t>
      </w:r>
      <w:r w:rsidRPr="00DB3A74">
        <w:rPr>
          <w:rFonts w:eastAsia="Calibri"/>
        </w:rPr>
        <w:t xml:space="preserve">. </w:t>
      </w:r>
    </w:p>
    <w:p w:rsidR="000F1149" w:rsidRDefault="000F1149" w:rsidP="00DB3A74">
      <w:r w:rsidRPr="000D1F1E">
        <w:t xml:space="preserve">Siting and environmental permitting requirements for new and existing generation </w:t>
      </w:r>
      <w:r>
        <w:t>can be</w:t>
      </w:r>
      <w:r w:rsidRPr="000D1F1E">
        <w:t xml:space="preserve"> complex and may involve multiple federal and state regulatory entities</w:t>
      </w:r>
      <w:r w:rsidR="00EC2BA9">
        <w:t>,</w:t>
      </w:r>
      <w:r>
        <w:t xml:space="preserve"> depending on the generation technology, site location and transmission needs</w:t>
      </w:r>
      <w:r w:rsidRPr="000D1F1E">
        <w:t xml:space="preserve">. Generation and transmission projects may be required to modify </w:t>
      </w:r>
      <w:r>
        <w:t xml:space="preserve">design </w:t>
      </w:r>
      <w:r w:rsidRPr="000D1F1E">
        <w:t>specifications</w:t>
      </w:r>
      <w:r>
        <w:t>,</w:t>
      </w:r>
      <w:r w:rsidR="00036069">
        <w:t xml:space="preserve"> or</w:t>
      </w:r>
      <w:r w:rsidRPr="000D1F1E">
        <w:t xml:space="preserve"> adjust construction</w:t>
      </w:r>
      <w:r w:rsidR="00EC2BA9">
        <w:t xml:space="preserve"> timeline</w:t>
      </w:r>
      <w:r>
        <w:t>,</w:t>
      </w:r>
      <w:r w:rsidRPr="000D1F1E">
        <w:t xml:space="preserve"> or operatin</w:t>
      </w:r>
      <w:r>
        <w:t>g</w:t>
      </w:r>
      <w:r w:rsidRPr="000D1F1E">
        <w:t xml:space="preserve"> schedules. </w:t>
      </w:r>
      <w:r>
        <w:t>In the upcoming planning horizon, new g</w:t>
      </w:r>
      <w:r w:rsidRPr="000D1F1E">
        <w:t xml:space="preserve">eneration </w:t>
      </w:r>
      <w:r>
        <w:t>technologies</w:t>
      </w:r>
      <w:r w:rsidRPr="000D1F1E">
        <w:t xml:space="preserve"> </w:t>
      </w:r>
      <w:r>
        <w:t xml:space="preserve">are shifting </w:t>
      </w:r>
      <w:r w:rsidRPr="000D1F1E">
        <w:t>from predominantly natural</w:t>
      </w:r>
      <w:r w:rsidR="000F7977">
        <w:t xml:space="preserve"> </w:t>
      </w:r>
      <w:r w:rsidRPr="000D1F1E">
        <w:t>gas-fired generation to</w:t>
      </w:r>
      <w:r>
        <w:t xml:space="preserve"> </w:t>
      </w:r>
      <w:r w:rsidRPr="000D1F1E">
        <w:t xml:space="preserve">wind and solar generation </w:t>
      </w:r>
      <w:r>
        <w:t>technologies</w:t>
      </w:r>
      <w:r w:rsidRPr="000D1F1E">
        <w:t xml:space="preserve">. Both fossil and renewable generating technologies </w:t>
      </w:r>
      <w:r w:rsidR="00EC2BA9">
        <w:t xml:space="preserve">have </w:t>
      </w:r>
      <w:r>
        <w:t xml:space="preserve">environmental consequences from siting, construction, operation and decommissioning, all of which may trigger </w:t>
      </w:r>
      <w:r w:rsidRPr="000D1F1E">
        <w:t>requirements</w:t>
      </w:r>
      <w:r>
        <w:t xml:space="preserve"> to mitigate their environmental impacts.</w:t>
      </w:r>
      <w:r w:rsidRPr="000D1F1E">
        <w:t xml:space="preserve"> </w:t>
      </w:r>
      <w:r>
        <w:t xml:space="preserve">Mitigation </w:t>
      </w:r>
      <w:r w:rsidRPr="000D1F1E">
        <w:t>may involve major capital investments for new projects, remediation measures, or operation</w:t>
      </w:r>
      <w:r>
        <w:t>al</w:t>
      </w:r>
      <w:r w:rsidRPr="000D1F1E">
        <w:t xml:space="preserve"> changes at existing</w:t>
      </w:r>
      <w:r>
        <w:t xml:space="preserve"> or modified</w:t>
      </w:r>
      <w:r w:rsidRPr="000D1F1E">
        <w:t xml:space="preserve"> facilities.</w:t>
      </w:r>
    </w:p>
    <w:p w:rsidR="00DB3A74" w:rsidRPr="00DB3A74" w:rsidRDefault="00DB3A74" w:rsidP="00DB3A74">
      <w:pPr>
        <w:rPr>
          <w:rFonts w:eastAsia="Calibri"/>
        </w:rPr>
      </w:pPr>
      <w:r w:rsidRPr="00DB3A74">
        <w:rPr>
          <w:rFonts w:eastAsia="Calibri"/>
        </w:rPr>
        <w:t xml:space="preserve">System reliability could suffer if the aggregate effect and timing of all such compliance efforts limit generator energy production, reduce capacity output, or contribute to unit retirements. However, </w:t>
      </w:r>
      <w:r w:rsidR="00EC2BA9" w:rsidRPr="00DB3A74">
        <w:rPr>
          <w:rFonts w:eastAsia="Calibri"/>
        </w:rPr>
        <w:t xml:space="preserve">in several recent rulemakings and permitting decisions, </w:t>
      </w:r>
      <w:r w:rsidR="000F1149">
        <w:rPr>
          <w:rFonts w:eastAsia="Calibri"/>
        </w:rPr>
        <w:t>federal</w:t>
      </w:r>
      <w:r w:rsidRPr="00DB3A74">
        <w:rPr>
          <w:rFonts w:eastAsia="Calibri"/>
        </w:rPr>
        <w:t xml:space="preserve"> and state regulators have provided compliance options </w:t>
      </w:r>
      <w:r w:rsidR="00EC2BA9">
        <w:rPr>
          <w:rFonts w:eastAsia="Calibri"/>
        </w:rPr>
        <w:t>that recognize</w:t>
      </w:r>
      <w:r w:rsidRPr="00DB3A74">
        <w:rPr>
          <w:rFonts w:eastAsia="Calibri"/>
        </w:rPr>
        <w:t xml:space="preserve"> the reliability value that low-capacity fossil steam generators </w:t>
      </w:r>
      <w:r w:rsidRPr="00DB3A74">
        <w:rPr>
          <w:rFonts w:eastAsia="Calibri" w:cs="Arial"/>
        </w:rPr>
        <w:t xml:space="preserve">(primarily oil-fired units) </w:t>
      </w:r>
      <w:r w:rsidRPr="00DB3A74">
        <w:rPr>
          <w:rFonts w:eastAsia="Calibri"/>
        </w:rPr>
        <w:t>provide in maintaining energy adequacy. (</w:t>
      </w:r>
      <w:hyperlink w:anchor="_Resource_Adequacy—Resources,_Capaci" w:history="1">
        <w:r w:rsidRPr="000F1149">
          <w:rPr>
            <w:rStyle w:val="Hyperlink"/>
            <w:rFonts w:eastAsia="Calibri"/>
          </w:rPr>
          <w:t>Chapter 4</w:t>
        </w:r>
      </w:hyperlink>
      <w:r w:rsidRPr="00DB3A74">
        <w:rPr>
          <w:rFonts w:eastAsia="Calibri"/>
        </w:rPr>
        <w:t xml:space="preserve">) </w:t>
      </w:r>
    </w:p>
    <w:p w:rsidR="00DB3A74" w:rsidRPr="00DB3A74" w:rsidRDefault="00DB3A74" w:rsidP="00DB3A74">
      <w:pPr>
        <w:rPr>
          <w:rFonts w:eastAsia="Calibri"/>
        </w:rPr>
      </w:pPr>
      <w:r w:rsidRPr="00DB3A74">
        <w:rPr>
          <w:rFonts w:eastAsia="Calibri"/>
        </w:rPr>
        <w:t>This section summarizes the following:</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Environmental regulations affecting various types of generators</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 xml:space="preserve">Federal and state efforts to promote the development of renewable resources </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Relicensing timelines for hydroelectric generators and nuclear units</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Regional air emissions and water-usage trends resulting from recent environmental requirements</w:t>
      </w:r>
      <w:bookmarkStart w:id="709" w:name="_Toc490323083"/>
      <w:bookmarkStart w:id="710" w:name="_Toc429063452"/>
      <w:bookmarkStart w:id="711" w:name="_Ref419108817"/>
    </w:p>
    <w:p w:rsidR="00DB3A74" w:rsidRPr="00DB3A74" w:rsidRDefault="00DB3A74" w:rsidP="00DB3A74">
      <w:pPr>
        <w:rPr>
          <w:rFonts w:eastAsia="Calibri"/>
        </w:rPr>
      </w:pPr>
      <w:r w:rsidRPr="00DB3A74">
        <w:rPr>
          <w:rFonts w:eastAsia="Calibri"/>
        </w:rPr>
        <w:t xml:space="preserve">For additional detail beyond the scope of this section, the ISO publishes a </w:t>
      </w:r>
      <w:hyperlink r:id="rId315" w:history="1">
        <w:r w:rsidRPr="004B6FB7">
          <w:rPr>
            <w:rStyle w:val="Hyperlink"/>
          </w:rPr>
          <w:t>quarterly environmental report</w:t>
        </w:r>
      </w:hyperlink>
      <w:r w:rsidRPr="00DB3A74">
        <w:rPr>
          <w:rFonts w:eastAsia="Calibri"/>
        </w:rPr>
        <w:t xml:space="preserve"> that summarizes environmental performance of the regional electric generating system and regulatory and policy developments that may affect current or future operations.  </w:t>
      </w:r>
    </w:p>
    <w:p w:rsidR="00DB3A74" w:rsidRPr="00DB3A74" w:rsidRDefault="00DB3A74" w:rsidP="006828F4">
      <w:pPr>
        <w:pStyle w:val="Heading2"/>
        <w:rPr>
          <w:rFonts w:eastAsia="Times New Roman"/>
        </w:rPr>
      </w:pPr>
      <w:bookmarkStart w:id="712" w:name="_Ref12111111"/>
      <w:bookmarkStart w:id="713" w:name="_Toc81544580"/>
      <w:r w:rsidRPr="00DB3A74">
        <w:rPr>
          <w:rFonts w:eastAsia="Times New Roman"/>
        </w:rPr>
        <w:t>Federal Envi</w:t>
      </w:r>
      <w:r w:rsidR="00C41FDD">
        <w:rPr>
          <w:rFonts w:eastAsia="Times New Roman"/>
        </w:rPr>
        <w:t xml:space="preserve">ronmental Regulations </w:t>
      </w:r>
      <w:r w:rsidR="0042409F">
        <w:rPr>
          <w:rFonts w:eastAsia="Times New Roman"/>
        </w:rPr>
        <w:t>Affecting </w:t>
      </w:r>
      <w:r w:rsidRPr="00DB3A74">
        <w:rPr>
          <w:rFonts w:eastAsia="Times New Roman"/>
        </w:rPr>
        <w:t>Generators</w:t>
      </w:r>
      <w:bookmarkEnd w:id="709"/>
      <w:bookmarkEnd w:id="710"/>
      <w:bookmarkEnd w:id="711"/>
      <w:bookmarkEnd w:id="712"/>
      <w:bookmarkEnd w:id="713"/>
    </w:p>
    <w:p w:rsidR="00C41FDD" w:rsidRPr="000D1F1E" w:rsidRDefault="00C41FDD" w:rsidP="00C41FDD">
      <w:pPr>
        <w:tabs>
          <w:tab w:val="left" w:pos="612"/>
        </w:tabs>
      </w:pPr>
      <w:r w:rsidRPr="000D1F1E">
        <w:t>Compliance obligations for generators from existing and pending federal environmental requirements differ by resource age, economics, location, fuel type, and available pollution control technologies. In the region, existing and new electric generating resources (coal, natural gas, oil, refuse, and wood) generally operate advanced pollution control technologies that reduce air emissions and wastewater discharges. Hydro, wind and solar generators are subject to land-use and wildlife protection</w:t>
      </w:r>
      <w:r>
        <w:t xml:space="preserve"> requirements</w:t>
      </w:r>
      <w:r w:rsidRPr="000D1F1E">
        <w:t>, with additional</w:t>
      </w:r>
      <w:r>
        <w:t xml:space="preserve"> evolving</w:t>
      </w:r>
      <w:r w:rsidRPr="000D1F1E">
        <w:t xml:space="preserve"> requirements for offshore wind energy projects. </w:t>
      </w:r>
      <w:r>
        <w:t>Within the next planning period, c</w:t>
      </w:r>
      <w:r w:rsidRPr="000D1F1E">
        <w:t>hanges in applicable air, water, wildlife protection, and greenhouse gas (GHG) emission standards, including those for carbon dioxide (CO</w:t>
      </w:r>
      <w:r w:rsidRPr="000D1F1E">
        <w:rPr>
          <w:vertAlign w:val="subscript"/>
        </w:rPr>
        <w:t>2</w:t>
      </w:r>
      <w:r w:rsidRPr="000D1F1E">
        <w:t xml:space="preserve">), could affect the economic performance of existing generators by imposing seasonal or year-round operational constraints or resulting in additional capital costs for installing environmental remediation measures. Wind, solar, and hydro generators may also experience operational constraints due to </w:t>
      </w:r>
      <w:r>
        <w:t>evolving</w:t>
      </w:r>
      <w:r w:rsidRPr="000D1F1E">
        <w:t xml:space="preserve"> wildlife</w:t>
      </w:r>
      <w:r>
        <w:t>, wildlife habitat</w:t>
      </w:r>
      <w:r w:rsidR="00EC2BA9">
        <w:t>,</w:t>
      </w:r>
      <w:r w:rsidRPr="000D1F1E">
        <w:t xml:space="preserve"> and water quality protection requirements.</w:t>
      </w:r>
    </w:p>
    <w:p w:rsidR="00DB3A74" w:rsidRPr="00DB3A74" w:rsidRDefault="00DB3A74" w:rsidP="00DB3A74">
      <w:pPr>
        <w:rPr>
          <w:rFonts w:eastAsia="Calibri"/>
        </w:rPr>
      </w:pPr>
      <w:r w:rsidRPr="00DB3A74">
        <w:rPr>
          <w:rFonts w:eastAsia="Calibri"/>
        </w:rPr>
        <w:t>Certain federal environmental requirements and compliance options are uncertain as the Biden administration reconsiders recent federal environmental actions and places greater emphasis on GHG reductions and environmental equity. Significant programmatic and budgetary changes at various federal departments and agencies with environmental oversight responsibilities affecting the power sector are under consideration or implementation at present.</w:t>
      </w:r>
      <w:r w:rsidRPr="00DB3A74">
        <w:rPr>
          <w:rFonts w:eastAsia="Calibri"/>
          <w:vertAlign w:val="superscript"/>
        </w:rPr>
        <w:footnoteReference w:id="124"/>
      </w:r>
      <w:r w:rsidRPr="00DB3A74">
        <w:rPr>
          <w:rFonts w:eastAsia="Calibri"/>
        </w:rPr>
        <w:t xml:space="preserve"> Several changes impose stronger environmental compliance requirements, while others allow for fewer restrictions or greater flexibility in meeting requirements. Pursuant to various executive orders and legislation, the </w:t>
      </w:r>
      <w:hyperlink r:id="rId316" w:history="1">
        <w:r w:rsidRPr="004B6FB7">
          <w:rPr>
            <w:rStyle w:val="Hyperlink"/>
          </w:rPr>
          <w:t>Environmental Protection Agency</w:t>
        </w:r>
      </w:hyperlink>
      <w:r w:rsidRPr="00DB3A74">
        <w:rPr>
          <w:rFonts w:eastAsia="Calibri"/>
        </w:rPr>
        <w:t xml:space="preserve"> (EPA) is reconsidering several major air and water quality rules in the following areas that affect various classes of existing and new generators:</w:t>
      </w:r>
    </w:p>
    <w:p w:rsidR="00DB3A74" w:rsidRPr="00DB3A74" w:rsidRDefault="00DB3A74" w:rsidP="00DB3A74">
      <w:pPr>
        <w:numPr>
          <w:ilvl w:val="0"/>
          <w:numId w:val="57"/>
        </w:numPr>
        <w:spacing w:after="120"/>
        <w:rPr>
          <w:rFonts w:eastAsia="Times New Roman"/>
        </w:rPr>
      </w:pPr>
      <w:r w:rsidRPr="00DB3A74">
        <w:rPr>
          <w:rFonts w:eastAsia="Times New Roman"/>
        </w:rPr>
        <w:t>Surface water withdrawals (for cooling water use and consumption)</w:t>
      </w:r>
    </w:p>
    <w:p w:rsidR="00DB3A74" w:rsidRPr="00DB3A74" w:rsidRDefault="00DB3A74" w:rsidP="00DB3A74">
      <w:pPr>
        <w:numPr>
          <w:ilvl w:val="0"/>
          <w:numId w:val="57"/>
        </w:numPr>
        <w:spacing w:after="120"/>
        <w:rPr>
          <w:rFonts w:eastAsia="Times New Roman"/>
        </w:rPr>
      </w:pPr>
      <w:r w:rsidRPr="00DB3A74">
        <w:rPr>
          <w:rFonts w:eastAsia="Times New Roman"/>
        </w:rPr>
        <w:t>Wastewater discharges into surface water</w:t>
      </w:r>
    </w:p>
    <w:p w:rsidR="00DB3A74" w:rsidRPr="00DB3A74" w:rsidRDefault="00DB3A74" w:rsidP="00DB3A74">
      <w:pPr>
        <w:numPr>
          <w:ilvl w:val="0"/>
          <w:numId w:val="57"/>
        </w:numPr>
        <w:spacing w:after="120"/>
        <w:rPr>
          <w:rFonts w:eastAsia="Times New Roman"/>
        </w:rPr>
      </w:pPr>
      <w:r w:rsidRPr="00DB3A74">
        <w:rPr>
          <w:rFonts w:eastAsia="Times New Roman"/>
        </w:rPr>
        <w:t>Mercury, acid gas, and other toxic air emissions</w:t>
      </w:r>
    </w:p>
    <w:p w:rsidR="00DB3A74" w:rsidRPr="00DB3A74" w:rsidRDefault="00DB3A74" w:rsidP="00DB3A74">
      <w:pPr>
        <w:numPr>
          <w:ilvl w:val="0"/>
          <w:numId w:val="57"/>
        </w:numPr>
        <w:spacing w:after="120"/>
        <w:rPr>
          <w:rFonts w:eastAsia="Times New Roman"/>
        </w:rPr>
      </w:pPr>
      <w:r w:rsidRPr="00DB3A74">
        <w:rPr>
          <w:rFonts w:eastAsia="Times New Roman"/>
        </w:rPr>
        <w:t>Ozone (O</w:t>
      </w:r>
      <w:r w:rsidRPr="00DB3A74">
        <w:rPr>
          <w:rFonts w:eastAsia="Times New Roman"/>
          <w:vertAlign w:val="subscript"/>
        </w:rPr>
        <w:t>3</w:t>
      </w:r>
      <w:r w:rsidRPr="00DB3A74">
        <w:rPr>
          <w:rFonts w:eastAsia="Times New Roman"/>
        </w:rPr>
        <w:t>) transport</w:t>
      </w:r>
      <w:r w:rsidR="000F7977">
        <w:rPr>
          <w:rFonts w:eastAsia="Times New Roman"/>
        </w:rPr>
        <w:t>,</w:t>
      </w:r>
      <w:r w:rsidRPr="00DB3A74">
        <w:rPr>
          <w:rFonts w:eastAsia="Times New Roman"/>
        </w:rPr>
        <w:t xml:space="preserve"> fine particulate matter (PM</w:t>
      </w:r>
      <w:r w:rsidRPr="00DB3A74">
        <w:rPr>
          <w:rFonts w:eastAsia="Times New Roman"/>
          <w:vertAlign w:val="subscript"/>
        </w:rPr>
        <w:t>2.5</w:t>
      </w:r>
      <w:r w:rsidRPr="00DB3A74">
        <w:rPr>
          <w:rFonts w:eastAsia="Times New Roman"/>
        </w:rPr>
        <w:t>)</w:t>
      </w:r>
      <w:r w:rsidR="000F7977">
        <w:rPr>
          <w:rFonts w:eastAsia="Times New Roman"/>
        </w:rPr>
        <w:t>,</w:t>
      </w:r>
      <w:r w:rsidRPr="00DB3A74">
        <w:rPr>
          <w:rFonts w:eastAsia="Times New Roman"/>
        </w:rPr>
        <w:t xml:space="preserve"> and sulfur dioxide (SO</w:t>
      </w:r>
      <w:r w:rsidRPr="00DB3A74">
        <w:rPr>
          <w:rFonts w:eastAsia="Times New Roman"/>
          <w:vertAlign w:val="subscript"/>
        </w:rPr>
        <w:t>2</w:t>
      </w:r>
      <w:r w:rsidRPr="00DB3A74">
        <w:rPr>
          <w:rFonts w:eastAsia="Times New Roman"/>
        </w:rPr>
        <w:t xml:space="preserve">) emissions </w:t>
      </w:r>
    </w:p>
    <w:p w:rsidR="00DB3A74" w:rsidRPr="00DB3A74" w:rsidRDefault="00DB3A74" w:rsidP="00DB3A74">
      <w:pPr>
        <w:numPr>
          <w:ilvl w:val="0"/>
          <w:numId w:val="57"/>
        </w:numPr>
        <w:rPr>
          <w:rFonts w:eastAsia="Times New Roman"/>
        </w:rPr>
      </w:pPr>
      <w:r w:rsidRPr="00DB3A74">
        <w:rPr>
          <w:rFonts w:eastAsia="Times New Roman"/>
        </w:rPr>
        <w:t>GHGs, especially CO</w:t>
      </w:r>
      <w:r w:rsidRPr="00DB3A74">
        <w:rPr>
          <w:rFonts w:eastAsia="Times New Roman"/>
          <w:vertAlign w:val="subscript"/>
        </w:rPr>
        <w:t>2</w:t>
      </w:r>
      <w:r w:rsidRPr="00DB3A74">
        <w:rPr>
          <w:rFonts w:eastAsia="Times New Roman"/>
        </w:rPr>
        <w:t xml:space="preserve"> emissions</w:t>
      </w:r>
    </w:p>
    <w:p w:rsidR="00DB3A74" w:rsidRPr="00DB3A74" w:rsidRDefault="00DB3A74" w:rsidP="00DB3A74">
      <w:pPr>
        <w:rPr>
          <w:rFonts w:ascii="Calibri" w:eastAsia="Calibri" w:hAnsi="Calibri"/>
        </w:rPr>
      </w:pPr>
      <w:r w:rsidRPr="00DB3A74">
        <w:rPr>
          <w:rFonts w:eastAsia="Times New Roman"/>
        </w:rPr>
        <w:t>S</w:t>
      </w:r>
      <w:r w:rsidRPr="00DB3A74">
        <w:rPr>
          <w:rFonts w:eastAsia="Calibri"/>
        </w:rPr>
        <w:t>everal of these federal environmental regulations and policies affecting power generators have stalled or experienced setbacks due to litigation or procedural challenges. Until these matters are resolved, uncertainty and risks of delay for permitting and operations may impact new and existing generators and transmission facilities.</w:t>
      </w:r>
    </w:p>
    <w:p w:rsidR="00DB3A74" w:rsidRPr="00DB3A74" w:rsidRDefault="00DB3A74" w:rsidP="0042409F">
      <w:pPr>
        <w:pStyle w:val="Heading3"/>
        <w:rPr>
          <w:rFonts w:eastAsia="Times New Roman"/>
        </w:rPr>
      </w:pPr>
      <w:bookmarkStart w:id="714" w:name="_Ref12026781"/>
      <w:bookmarkStart w:id="715" w:name="_Toc490323084"/>
      <w:bookmarkStart w:id="716" w:name="_Toc429063453"/>
      <w:bookmarkStart w:id="717" w:name="_Toc396807663"/>
      <w:bookmarkStart w:id="718" w:name="_Toc81544581"/>
      <w:r w:rsidRPr="00DB3A74">
        <w:rPr>
          <w:rFonts w:eastAsia="Times New Roman"/>
        </w:rPr>
        <w:t xml:space="preserve">Impact of US Clean Water </w:t>
      </w:r>
      <w:r w:rsidR="0042409F">
        <w:rPr>
          <w:rFonts w:eastAsia="Times New Roman"/>
        </w:rPr>
        <w:t>Act Regulations on the Region’s </w:t>
      </w:r>
      <w:r w:rsidRPr="00DB3A74">
        <w:rPr>
          <w:rFonts w:eastAsia="Times New Roman"/>
        </w:rPr>
        <w:t>Generators</w:t>
      </w:r>
      <w:bookmarkEnd w:id="714"/>
      <w:bookmarkEnd w:id="715"/>
      <w:bookmarkEnd w:id="716"/>
      <w:bookmarkEnd w:id="717"/>
      <w:bookmarkEnd w:id="718"/>
    </w:p>
    <w:p w:rsidR="00DB3A74" w:rsidRPr="00DB3A74" w:rsidRDefault="00DB3A74" w:rsidP="00DB3A74">
      <w:pPr>
        <w:widowControl w:val="0"/>
        <w:autoSpaceDE w:val="0"/>
        <w:autoSpaceDN w:val="0"/>
        <w:adjustRightInd w:val="0"/>
        <w:spacing w:after="200" w:line="276" w:lineRule="auto"/>
        <w:rPr>
          <w:rFonts w:eastAsia="Calibri" w:cs="Arial"/>
          <w:color w:val="000000"/>
          <w:spacing w:val="-1"/>
        </w:rPr>
      </w:pPr>
      <w:r w:rsidRPr="00DB3A74">
        <w:rPr>
          <w:rFonts w:eastAsia="Calibri" w:cs="Arial"/>
          <w:color w:val="000000"/>
          <w:spacing w:val="-1"/>
        </w:rPr>
        <w:t>The</w:t>
      </w:r>
      <w:r w:rsidRPr="00DB3A74">
        <w:rPr>
          <w:rFonts w:eastAsia="Calibri" w:cs="Arial"/>
          <w:i/>
          <w:color w:val="000000"/>
          <w:spacing w:val="-1"/>
        </w:rPr>
        <w:t xml:space="preserve"> </w:t>
      </w:r>
      <w:hyperlink r:id="rId317" w:history="1">
        <w:r w:rsidRPr="004B6FB7">
          <w:rPr>
            <w:rStyle w:val="Hyperlink"/>
            <w:i/>
          </w:rPr>
          <w:t>Clean Water Act</w:t>
        </w:r>
      </w:hyperlink>
      <w:r w:rsidRPr="004B6FB7">
        <w:rPr>
          <w:rStyle w:val="Hyperlink"/>
          <w:i/>
        </w:rPr>
        <w:t xml:space="preserve"> </w:t>
      </w:r>
      <w:r w:rsidRPr="00DB3A74">
        <w:rPr>
          <w:rFonts w:eastAsia="Calibri" w:cs="Arial"/>
          <w:color w:val="000000"/>
          <w:spacing w:val="-1"/>
        </w:rPr>
        <w:t>(CWA) of 1972 establishes standards regarding the use and quality of the waters of the United States and requires the Environmental Protection Agency (EPA) to set wastewater standards for industry, including the power sector, and to set water quality standards for all contaminants in surface waters. EPA, or a delegated state environmental regulator with delegated CWA authority, issues individual permits for most thermal electric power generators in New England. The ISO tracks the status and details of all individual facility permits, including during permit reviews, which may add additional compliance requirements or impose operational constraints to protect water quality or sensitive wildlife and their habitats.</w:t>
      </w:r>
    </w:p>
    <w:p w:rsidR="00DB3A74" w:rsidRPr="00DB3A74" w:rsidRDefault="00DB3A74" w:rsidP="00DB3A74">
      <w:pPr>
        <w:rPr>
          <w:rFonts w:eastAsia="Calibri"/>
        </w:rPr>
      </w:pPr>
      <w:r w:rsidRPr="00DB3A74">
        <w:rPr>
          <w:rFonts w:eastAsia="Calibri" w:cs="Arial"/>
          <w:color w:val="000000"/>
          <w:spacing w:val="-1"/>
        </w:rPr>
        <w:t xml:space="preserve">Some of the 5.85 gigawatts (GW) of existing fossil thermal electric capacity in New England rely on once-through cooling systems, which withdraw fresh or saline water through large cooling water intake structures (those with </w:t>
      </w:r>
      <w:r w:rsidRPr="00DB3A74">
        <w:rPr>
          <w:rFonts w:eastAsia="Calibri" w:cs="Arial"/>
        </w:rPr>
        <w:t>a design intake flow of 2 million gallons/day (MGD) or more)</w:t>
      </w:r>
      <w:r w:rsidRPr="00DB3A74">
        <w:rPr>
          <w:rFonts w:eastAsia="Calibri" w:cs="Arial"/>
          <w:color w:val="000000"/>
          <w:spacing w:val="-1"/>
        </w:rPr>
        <w:t>.</w:t>
      </w:r>
      <w:r w:rsidRPr="00DB3A74">
        <w:rPr>
          <w:rFonts w:eastAsia="Calibri"/>
          <w:color w:val="000000"/>
          <w:spacing w:val="-1"/>
          <w:vertAlign w:val="superscript"/>
        </w:rPr>
        <w:footnoteReference w:id="125"/>
      </w:r>
      <w:r w:rsidRPr="00DB3A74">
        <w:rPr>
          <w:rFonts w:eastAsia="Calibri" w:cs="Arial"/>
          <w:color w:val="000000"/>
          <w:spacing w:val="-1"/>
        </w:rPr>
        <w:t xml:space="preserve"> Another 4.13 GW of existing capacity have partially compliant cooling systems, and 2.12 GW of existing capacity (combined-cycle and combustion turbine) rely on dry or recirculating cooling systems that withdraw and consume considerably less water.</w:t>
      </w:r>
      <w:r w:rsidRPr="00DB3A74">
        <w:rPr>
          <w:rFonts w:eastAsia="Calibri"/>
          <w:color w:val="000000"/>
          <w:spacing w:val="-1"/>
          <w:vertAlign w:val="superscript"/>
        </w:rPr>
        <w:footnoteReference w:id="126"/>
      </w:r>
      <w:r w:rsidRPr="00DB3A74">
        <w:rPr>
          <w:rFonts w:eastAsia="Calibri" w:cs="Arial"/>
          <w:color w:val="000000"/>
          <w:spacing w:val="-1"/>
        </w:rPr>
        <w:t xml:space="preserve"> As EPA and state regulators review remaining large once-through cooling systems during permit reviews, updated EPA cooling water and wastewater discharge regulations may require thermal electric energy capacity to modify or retrofit cooling water intake structures, control or eliminate certain wastewater discharges or curtail operations to minimize adverse impacts </w:t>
      </w:r>
      <w:r w:rsidR="000F7977">
        <w:rPr>
          <w:rFonts w:eastAsia="Calibri" w:cs="Arial"/>
          <w:color w:val="000000"/>
          <w:spacing w:val="-1"/>
        </w:rPr>
        <w:t xml:space="preserve">to </w:t>
      </w:r>
      <w:r w:rsidRPr="00DB3A74">
        <w:rPr>
          <w:rFonts w:eastAsia="Calibri" w:cs="Arial"/>
          <w:color w:val="000000"/>
          <w:spacing w:val="-1"/>
        </w:rPr>
        <w:t>water quality, including thermal pollution.</w:t>
      </w:r>
    </w:p>
    <w:p w:rsidR="00DB3A74" w:rsidRPr="00DB3A74" w:rsidRDefault="00DB3A74" w:rsidP="00DB3A74">
      <w:pPr>
        <w:widowControl w:val="0"/>
        <w:autoSpaceDE w:val="0"/>
        <w:autoSpaceDN w:val="0"/>
        <w:adjustRightInd w:val="0"/>
        <w:spacing w:after="200" w:line="276" w:lineRule="auto"/>
        <w:rPr>
          <w:rFonts w:eastAsia="Calibri" w:cs="Arial"/>
          <w:color w:val="000000"/>
          <w:spacing w:val="-1"/>
        </w:rPr>
      </w:pPr>
      <w:r w:rsidRPr="00DB3A74">
        <w:rPr>
          <w:rFonts w:eastAsia="Calibri" w:cs="Arial"/>
          <w:color w:val="000000"/>
          <w:spacing w:val="-1"/>
        </w:rPr>
        <w:t>Annual water use and intensity for power generation has declined in New England between 2019 (970 billion gallons) and 2020 (580 billion gallons), as fossil and nuclear thermal electric capacity has retired and been displaced by less-water-intensive sources of power generation (e.g., solar and wind).</w:t>
      </w:r>
      <w:r w:rsidRPr="00DB3A74">
        <w:rPr>
          <w:rFonts w:eastAsia="Calibri"/>
          <w:color w:val="000000"/>
          <w:spacing w:val="-1"/>
          <w:vertAlign w:val="superscript"/>
        </w:rPr>
        <w:footnoteReference w:id="127"/>
      </w:r>
      <w:r w:rsidRPr="00DB3A74">
        <w:rPr>
          <w:rFonts w:eastAsia="Calibri" w:cs="Arial"/>
          <w:color w:val="000000"/>
          <w:spacing w:val="-1"/>
        </w:rPr>
        <w:t xml:space="preserve"> See </w:t>
      </w:r>
      <w:hyperlink w:anchor="Figure_6_1_top" w:history="1">
        <w:r w:rsidRPr="009542C6">
          <w:rPr>
            <w:rStyle w:val="Hyperlink"/>
            <w:rFonts w:eastAsia="Calibri" w:cs="Arial"/>
            <w:spacing w:val="-1"/>
          </w:rPr>
          <w:t>Figure 6-1</w:t>
        </w:r>
      </w:hyperlink>
      <w:r w:rsidRPr="00DB3A74">
        <w:rPr>
          <w:rFonts w:eastAsia="Calibri" w:cs="Arial"/>
          <w:color w:val="000000"/>
          <w:spacing w:val="-1"/>
        </w:rPr>
        <w:t>.</w:t>
      </w:r>
    </w:p>
    <w:p w:rsidR="00DB3A74" w:rsidRPr="00DB3A74" w:rsidRDefault="00DB3A74" w:rsidP="00DB3A74">
      <w:pPr>
        <w:widowControl w:val="0"/>
        <w:autoSpaceDE w:val="0"/>
        <w:autoSpaceDN w:val="0"/>
        <w:adjustRightInd w:val="0"/>
        <w:spacing w:after="0" w:line="240" w:lineRule="auto"/>
        <w:jc w:val="center"/>
        <w:rPr>
          <w:rFonts w:eastAsia="Calibri" w:cs="Arial"/>
          <w:color w:val="000000"/>
          <w:spacing w:val="-1"/>
        </w:rPr>
      </w:pPr>
      <w:bookmarkStart w:id="719" w:name="Figure_6_1_top"/>
      <w:r w:rsidRPr="00DB3A74">
        <w:rPr>
          <w:rFonts w:ascii="Calibri" w:eastAsia="Calibri" w:hAnsi="Calibri" w:cs="Calibri"/>
          <w:noProof/>
        </w:rPr>
        <w:drawing>
          <wp:inline distT="0" distB="0" distL="0" distR="0" wp14:anchorId="31AA8872" wp14:editId="764138C1">
            <wp:extent cx="5206365" cy="305117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206365" cy="3051175"/>
                    </a:xfrm>
                    <a:prstGeom prst="rect">
                      <a:avLst/>
                    </a:prstGeom>
                    <a:noFill/>
                    <a:ln>
                      <a:noFill/>
                    </a:ln>
                  </pic:spPr>
                </pic:pic>
              </a:graphicData>
            </a:graphic>
          </wp:inline>
        </w:drawing>
      </w:r>
      <w:bookmarkEnd w:id="719"/>
    </w:p>
    <w:p w:rsidR="00DB3A74" w:rsidRPr="00DB3A74" w:rsidRDefault="00E87B72" w:rsidP="001D69A5">
      <w:pPr>
        <w:pStyle w:val="Caption"/>
        <w:jc w:val="left"/>
        <w:rPr>
          <w:rFonts w:eastAsia="Calibri"/>
        </w:rPr>
      </w:pPr>
      <w:bookmarkStart w:id="720" w:name="Figure_6_1"/>
      <w:bookmarkStart w:id="721" w:name="_Toc70337163"/>
      <w:bookmarkStart w:id="722" w:name="_Toc81544613"/>
      <w:r>
        <w:t xml:space="preserve">Figure </w:t>
      </w:r>
      <w:fldSimple w:instr=" STYLEREF 1 \s ">
        <w:r w:rsidR="00F85E49">
          <w:rPr>
            <w:noProof/>
          </w:rPr>
          <w:t>6</w:t>
        </w:r>
      </w:fldSimple>
      <w:r w:rsidR="00F85E49">
        <w:noBreakHyphen/>
      </w:r>
      <w:fldSimple w:instr=" SEQ Figure \* ARABIC \s 1 ">
        <w:r w:rsidR="00F85E49">
          <w:rPr>
            <w:noProof/>
          </w:rPr>
          <w:t>1</w:t>
        </w:r>
      </w:fldSimple>
      <w:bookmarkEnd w:id="720"/>
      <w:r w:rsidR="00DB3A74" w:rsidRPr="00295FB9">
        <w:rPr>
          <w:rFonts w:eastAsia="Calibri"/>
          <w:bCs w:val="0"/>
        </w:rPr>
        <w:t xml:space="preserve">: Estimated </w:t>
      </w:r>
      <w:r w:rsidR="00D2356F">
        <w:rPr>
          <w:rFonts w:eastAsia="Calibri"/>
          <w:bCs w:val="0"/>
        </w:rPr>
        <w:t>w</w:t>
      </w:r>
      <w:r w:rsidR="00DB3A74" w:rsidRPr="00295FB9">
        <w:rPr>
          <w:rFonts w:eastAsia="Calibri"/>
          <w:bCs w:val="0"/>
        </w:rPr>
        <w:t xml:space="preserve">ater </w:t>
      </w:r>
      <w:r w:rsidR="00D2356F">
        <w:rPr>
          <w:rFonts w:eastAsia="Calibri"/>
          <w:bCs w:val="0"/>
        </w:rPr>
        <w:t>u</w:t>
      </w:r>
      <w:r w:rsidR="00DB3A74" w:rsidRPr="00295FB9">
        <w:rPr>
          <w:rFonts w:eastAsia="Calibri"/>
          <w:bCs w:val="0"/>
        </w:rPr>
        <w:t xml:space="preserve">se for </w:t>
      </w:r>
      <w:r w:rsidR="00D2356F">
        <w:rPr>
          <w:rFonts w:eastAsia="Calibri"/>
          <w:bCs w:val="0"/>
        </w:rPr>
        <w:t>n</w:t>
      </w:r>
      <w:r w:rsidR="00DB3A74" w:rsidRPr="00295FB9">
        <w:rPr>
          <w:rFonts w:eastAsia="Calibri"/>
          <w:bCs w:val="0"/>
        </w:rPr>
        <w:t xml:space="preserve">ative </w:t>
      </w:r>
      <w:r w:rsidR="00D2356F">
        <w:rPr>
          <w:rFonts w:eastAsia="Calibri"/>
          <w:bCs w:val="0"/>
        </w:rPr>
        <w:t>p</w:t>
      </w:r>
      <w:r w:rsidR="00DB3A74" w:rsidRPr="00295FB9">
        <w:rPr>
          <w:rFonts w:eastAsia="Calibri"/>
          <w:bCs w:val="0"/>
        </w:rPr>
        <w:t xml:space="preserve">ower </w:t>
      </w:r>
      <w:r w:rsidR="00D2356F">
        <w:rPr>
          <w:rFonts w:eastAsia="Calibri"/>
          <w:bCs w:val="0"/>
        </w:rPr>
        <w:t>g</w:t>
      </w:r>
      <w:r w:rsidR="00DB3A74" w:rsidRPr="00295FB9">
        <w:rPr>
          <w:rFonts w:eastAsia="Calibri"/>
          <w:bCs w:val="0"/>
        </w:rPr>
        <w:t>eneration in New England, 2019-2020 (billion gallons)</w:t>
      </w:r>
      <w:bookmarkEnd w:id="721"/>
      <w:bookmarkEnd w:id="722"/>
    </w:p>
    <w:p w:rsidR="00DB3A74" w:rsidRPr="004B6FB7" w:rsidRDefault="00DB3A74" w:rsidP="00E87B72">
      <w:pPr>
        <w:spacing w:after="0" w:line="240" w:lineRule="auto"/>
        <w:rPr>
          <w:rFonts w:asciiTheme="minorHAnsi" w:eastAsia="Calibri" w:hAnsiTheme="minorHAnsi" w:cstheme="minorHAnsi"/>
          <w:sz w:val="18"/>
          <w:szCs w:val="18"/>
        </w:rPr>
      </w:pPr>
      <w:r w:rsidRPr="004B6FB7">
        <w:rPr>
          <w:rFonts w:asciiTheme="minorHAnsi" w:eastAsia="Calibri" w:hAnsiTheme="minorHAnsi" w:cstheme="minorHAnsi"/>
          <w:b/>
          <w:sz w:val="18"/>
          <w:szCs w:val="18"/>
        </w:rPr>
        <w:t>Note</w:t>
      </w:r>
      <w:r w:rsidRPr="004B6FB7">
        <w:rPr>
          <w:rFonts w:asciiTheme="minorHAnsi" w:eastAsia="Calibri" w:hAnsiTheme="minorHAnsi" w:cstheme="minorHAnsi"/>
          <w:sz w:val="18"/>
          <w:szCs w:val="18"/>
        </w:rPr>
        <w:t>:</w:t>
      </w:r>
      <w:r w:rsidRPr="004B6FB7">
        <w:rPr>
          <w:rFonts w:asciiTheme="minorHAnsi" w:eastAsia="Calibri" w:hAnsiTheme="minorHAnsi" w:cstheme="minorHAnsi"/>
          <w:b/>
          <w:sz w:val="18"/>
          <w:szCs w:val="18"/>
        </w:rPr>
        <w:t xml:space="preserve"> </w:t>
      </w:r>
      <w:hyperlink r:id="rId319" w:history="1">
        <w:r w:rsidRPr="004B6FB7">
          <w:rPr>
            <w:rStyle w:val="Hyperlink"/>
            <w:rFonts w:asciiTheme="minorHAnsi" w:hAnsiTheme="minorHAnsi" w:cstheme="minorHAnsi"/>
            <w:sz w:val="18"/>
            <w:szCs w:val="18"/>
          </w:rPr>
          <w:t>Energy Information Administration</w:t>
        </w:r>
      </w:hyperlink>
      <w:r w:rsidRPr="004B6FB7">
        <w:rPr>
          <w:rFonts w:asciiTheme="minorHAnsi" w:eastAsia="Calibri" w:hAnsiTheme="minorHAnsi" w:cstheme="minorHAnsi"/>
          <w:sz w:val="18"/>
          <w:szCs w:val="18"/>
        </w:rPr>
        <w:t xml:space="preserve"> (EIA) collects cooling water data for plants with a combustible-fueled thermoelectric generating capacity of 100 megawatts (MW) or more. Thermoelectric power plants include units fueled by natural gas, coal, nuclear, and oil, as well as renewable sources, such as biomass and solar thermal plants, which also require cooling.</w:t>
      </w:r>
    </w:p>
    <w:p w:rsidR="00DB3A74" w:rsidRPr="004B6FB7" w:rsidRDefault="00DB3A74" w:rsidP="00E87B72">
      <w:pPr>
        <w:spacing w:after="120" w:line="240" w:lineRule="auto"/>
        <w:rPr>
          <w:rFonts w:asciiTheme="minorHAnsi" w:eastAsia="Calibri" w:hAnsiTheme="minorHAnsi" w:cstheme="minorHAnsi"/>
          <w:sz w:val="18"/>
          <w:szCs w:val="18"/>
        </w:rPr>
      </w:pPr>
      <w:r w:rsidRPr="004B6FB7">
        <w:rPr>
          <w:rFonts w:asciiTheme="minorHAnsi" w:eastAsia="Calibri" w:hAnsiTheme="minorHAnsi" w:cstheme="minorHAnsi"/>
          <w:b/>
          <w:sz w:val="18"/>
          <w:szCs w:val="18"/>
        </w:rPr>
        <w:t>Source</w:t>
      </w:r>
      <w:r w:rsidRPr="004B6FB7">
        <w:rPr>
          <w:rFonts w:asciiTheme="minorHAnsi" w:eastAsia="Calibri" w:hAnsiTheme="minorHAnsi" w:cstheme="minorHAnsi"/>
          <w:sz w:val="18"/>
          <w:szCs w:val="18"/>
        </w:rPr>
        <w:t xml:space="preserve">: EIA, </w:t>
      </w:r>
      <w:hyperlink r:id="rId320" w:history="1">
        <w:r w:rsidRPr="004B6FB7">
          <w:rPr>
            <w:rStyle w:val="Hyperlink"/>
            <w:rFonts w:asciiTheme="minorHAnsi" w:hAnsiTheme="minorHAnsi" w:cstheme="minorHAnsi"/>
            <w:sz w:val="18"/>
            <w:szCs w:val="18"/>
          </w:rPr>
          <w:t>Electricity Data Browser</w:t>
        </w:r>
      </w:hyperlink>
      <w:r w:rsidRPr="004B6FB7">
        <w:rPr>
          <w:rFonts w:asciiTheme="minorHAnsi" w:eastAsia="Calibri" w:hAnsiTheme="minorHAnsi" w:cstheme="minorHAnsi"/>
          <w:sz w:val="18"/>
          <w:szCs w:val="18"/>
        </w:rPr>
        <w:t>. Monthly water use, withdrawal intensity (gallons/MWh), consumption intensity (gallons/MWh), water source, location and maximum intake temperature available for 40 electric generating facilities in New England.</w:t>
      </w:r>
    </w:p>
    <w:p w:rsidR="00DB3A74" w:rsidRPr="00DB3A74" w:rsidRDefault="00DB3A74" w:rsidP="00DB3A74">
      <w:pPr>
        <w:widowControl w:val="0"/>
        <w:autoSpaceDE w:val="0"/>
        <w:autoSpaceDN w:val="0"/>
        <w:adjustRightInd w:val="0"/>
        <w:spacing w:after="0" w:line="240" w:lineRule="auto"/>
        <w:jc w:val="center"/>
        <w:rPr>
          <w:rFonts w:eastAsia="Calibri" w:cs="Arial"/>
          <w:color w:val="000000"/>
          <w:spacing w:val="-1"/>
        </w:rPr>
      </w:pPr>
    </w:p>
    <w:p w:rsidR="00DB3A74" w:rsidRPr="00DB3A74" w:rsidRDefault="00DB3A74" w:rsidP="0042409F">
      <w:pPr>
        <w:pStyle w:val="Heading3"/>
        <w:rPr>
          <w:rFonts w:eastAsia="Times New Roman"/>
        </w:rPr>
      </w:pPr>
      <w:bookmarkStart w:id="723" w:name="_Ref6993672"/>
      <w:bookmarkStart w:id="724" w:name="_Toc490323085"/>
      <w:bookmarkStart w:id="725" w:name="_Ref485734800"/>
      <w:bookmarkStart w:id="726" w:name="_Toc429063454"/>
      <w:bookmarkStart w:id="727" w:name="_Ref418950758"/>
      <w:bookmarkStart w:id="728" w:name="_Toc396807664"/>
      <w:bookmarkStart w:id="729" w:name="_Toc81544582"/>
      <w:r w:rsidRPr="00DB3A74">
        <w:rPr>
          <w:rFonts w:eastAsia="Times New Roman"/>
        </w:rPr>
        <w:t xml:space="preserve">US </w:t>
      </w:r>
      <w:r w:rsidRPr="00DB3A74">
        <w:rPr>
          <w:rFonts w:eastAsia="Times New Roman"/>
          <w:i/>
        </w:rPr>
        <w:t>Clean Air Act</w:t>
      </w:r>
      <w:r w:rsidRPr="00DB3A74">
        <w:rPr>
          <w:rFonts w:eastAsia="Times New Roman"/>
        </w:rPr>
        <w:t xml:space="preserve"> Requirements and Federal Greenhouse Gas</w:t>
      </w:r>
      <w:r w:rsidR="007A4A55">
        <w:rPr>
          <w:rFonts w:eastAsia="Times New Roman"/>
        </w:rPr>
        <w:t> </w:t>
      </w:r>
      <w:r w:rsidRPr="00DB3A74">
        <w:rPr>
          <w:rFonts w:eastAsia="Times New Roman"/>
        </w:rPr>
        <w:t>Regulations</w:t>
      </w:r>
      <w:bookmarkEnd w:id="723"/>
      <w:bookmarkEnd w:id="724"/>
      <w:bookmarkEnd w:id="725"/>
      <w:bookmarkEnd w:id="726"/>
      <w:bookmarkEnd w:id="727"/>
      <w:bookmarkEnd w:id="728"/>
      <w:bookmarkEnd w:id="729"/>
    </w:p>
    <w:p w:rsidR="00DB3A74" w:rsidRPr="00DB3A74" w:rsidRDefault="00DB3A74" w:rsidP="00DB3A74">
      <w:pPr>
        <w:rPr>
          <w:rFonts w:eastAsia="Calibri"/>
        </w:rPr>
      </w:pPr>
      <w:r w:rsidRPr="00DB3A74">
        <w:rPr>
          <w:rFonts w:eastAsia="Calibri" w:cs="Arial"/>
          <w:color w:val="000000"/>
          <w:spacing w:val="-1"/>
        </w:rPr>
        <w:t>The</w:t>
      </w:r>
      <w:hyperlink r:id="rId321" w:history="1">
        <w:r w:rsidRPr="00C41FDD">
          <w:rPr>
            <w:rStyle w:val="Hyperlink"/>
            <w:rFonts w:eastAsia="Calibri" w:cs="Arial"/>
            <w:i/>
            <w:spacing w:val="-1"/>
          </w:rPr>
          <w:t xml:space="preserve"> Clean Air Act</w:t>
        </w:r>
      </w:hyperlink>
      <w:r w:rsidRPr="00DB3A74">
        <w:rPr>
          <w:rFonts w:eastAsia="Calibri" w:cs="Arial"/>
          <w:color w:val="000000"/>
          <w:spacing w:val="-1"/>
        </w:rPr>
        <w:t xml:space="preserve"> (CAA) of 1970 and later amendments establish air quality standards across the United States and require the Environmental Protection Agency (EPA) to set limits for industry, including the power sector, and enforce them jointly with state regulators. </w:t>
      </w:r>
      <w:r w:rsidRPr="00DB3A74">
        <w:rPr>
          <w:rFonts w:eastAsia="Calibri"/>
        </w:rPr>
        <w:t>Air pollution regulations assist New England states in meeting air quality standards for ozone or trioxygen (O</w:t>
      </w:r>
      <w:r w:rsidRPr="00DB3A74">
        <w:rPr>
          <w:rFonts w:eastAsia="Calibri"/>
          <w:vertAlign w:val="subscript"/>
        </w:rPr>
        <w:t>3)</w:t>
      </w:r>
      <w:r w:rsidRPr="00DB3A74">
        <w:rPr>
          <w:rFonts w:eastAsia="Calibri"/>
        </w:rPr>
        <w:t>, particulate matter (PM</w:t>
      </w:r>
      <w:r w:rsidRPr="00DB3A74">
        <w:rPr>
          <w:rFonts w:eastAsia="Calibri"/>
          <w:vertAlign w:val="subscript"/>
        </w:rPr>
        <w:t>2.5</w:t>
      </w:r>
      <w:r w:rsidRPr="001D69A5">
        <w:rPr>
          <w:rFonts w:eastAsia="Calibri"/>
        </w:rPr>
        <w:t>)</w:t>
      </w:r>
      <w:r w:rsidRPr="00DB3A74">
        <w:rPr>
          <w:rFonts w:eastAsia="Calibri"/>
        </w:rPr>
        <w:t>, carbon monoxide (CO), nitrogen dioxide (NO</w:t>
      </w:r>
      <w:r w:rsidRPr="00DB3A74">
        <w:rPr>
          <w:rFonts w:eastAsia="Calibri"/>
          <w:vertAlign w:val="subscript"/>
        </w:rPr>
        <w:t>2</w:t>
      </w:r>
      <w:r w:rsidRPr="00DB3A74">
        <w:rPr>
          <w:rFonts w:eastAsia="Calibri"/>
        </w:rPr>
        <w:t>), sulfur dioxide (SO</w:t>
      </w:r>
      <w:r w:rsidRPr="00DB3A74">
        <w:rPr>
          <w:rFonts w:eastAsia="Calibri"/>
          <w:vertAlign w:val="subscript"/>
        </w:rPr>
        <w:t>2</w:t>
      </w:r>
      <w:r w:rsidRPr="00DB3A74">
        <w:rPr>
          <w:rFonts w:eastAsia="Calibri"/>
        </w:rPr>
        <w:t>) and visibility.</w:t>
      </w:r>
      <w:r w:rsidRPr="00DB3A74">
        <w:rPr>
          <w:rFonts w:eastAsia="Calibri"/>
          <w:vertAlign w:val="superscript"/>
        </w:rPr>
        <w:footnoteReference w:id="128"/>
      </w:r>
      <w:r w:rsidRPr="00DB3A74">
        <w:rPr>
          <w:rFonts w:eastAsia="Calibri"/>
        </w:rPr>
        <w:t xml:space="preserve"> Due to more stringent air quality regulations and the shift in the regional generation mix, the quantity of air pollutants emitted by electric generators combusting solid, gaseous or liquid fuels across New England has declined markedly over the last 20 years (see </w:t>
      </w:r>
      <w:r w:rsidRPr="004B6FB7">
        <w:rPr>
          <w:rStyle w:val="Hyperlink"/>
        </w:rPr>
        <w:t>Figure 6-2</w:t>
      </w:r>
      <w:r w:rsidRPr="00DB3A74">
        <w:rPr>
          <w:rFonts w:eastAsia="Calibri"/>
        </w:rPr>
        <w:t xml:space="preserve"> for recent trends). Although power sector emissions in 2021 are less than other sectors of the regional economy (e.g., surface transportation) they still contribute to degraded air quality in parts of the region, possibly requiring EPA and New England state regulators to impose additional limits or operational constraints on individual combustion electric generators. Additionally, other pollution sources nearby (transportation or industrial) or further upwind pollution sources could limit the operational flexibility, fuel switching, or retrofits (uprates) at regional generators. Any deterioration in local air quality (such as O</w:t>
      </w:r>
      <w:r w:rsidRPr="00DB3A74">
        <w:rPr>
          <w:rFonts w:eastAsia="Calibri"/>
          <w:vertAlign w:val="subscript"/>
        </w:rPr>
        <w:t>3</w:t>
      </w:r>
      <w:r w:rsidRPr="00DB3A74">
        <w:rPr>
          <w:rFonts w:eastAsia="Calibri"/>
        </w:rPr>
        <w:t xml:space="preserve"> trends in southern New England) could necessitate installing or retrofitting more stringent air pollution controls on new and existing combustion generators.</w:t>
      </w:r>
    </w:p>
    <w:p w:rsidR="00DB3A74" w:rsidRPr="00DB3A74" w:rsidRDefault="00DB3A74" w:rsidP="0042409F">
      <w:pPr>
        <w:pStyle w:val="Heading4"/>
      </w:pPr>
      <w:r w:rsidRPr="00DB3A74">
        <w:t>Federal Greenhouse Gas Regulation</w:t>
      </w:r>
    </w:p>
    <w:p w:rsidR="00DB3A74" w:rsidRPr="00DB3A74" w:rsidRDefault="00C41FDD" w:rsidP="00DB3A74">
      <w:pPr>
        <w:rPr>
          <w:rFonts w:eastAsia="Calibri"/>
        </w:rPr>
      </w:pPr>
      <w:r w:rsidRPr="000D1F1E">
        <w:t xml:space="preserve">The regional impact of federal GHG policy and regulation in 2021 and beyond </w:t>
      </w:r>
      <w:r w:rsidR="00EC2BA9">
        <w:t>is</w:t>
      </w:r>
      <w:r w:rsidR="00EC2BA9" w:rsidRPr="000D1F1E">
        <w:t xml:space="preserve"> </w:t>
      </w:r>
      <w:r w:rsidRPr="000D1F1E">
        <w:t xml:space="preserve">uncertain at this point, </w:t>
      </w:r>
      <w:r w:rsidR="00EC2BA9">
        <w:t>with the</w:t>
      </w:r>
      <w:r w:rsidR="00927183">
        <w:t xml:space="preserve"> </w:t>
      </w:r>
      <w:r>
        <w:t>Biden administration reconsider</w:t>
      </w:r>
      <w:r w:rsidR="00EC2BA9">
        <w:t>ing</w:t>
      </w:r>
      <w:r>
        <w:t xml:space="preserve"> </w:t>
      </w:r>
      <w:r w:rsidRPr="000D1F1E">
        <w:t xml:space="preserve">the scope and stringency of emissions </w:t>
      </w:r>
      <w:r>
        <w:t xml:space="preserve">rollbacks </w:t>
      </w:r>
      <w:r w:rsidRPr="000D1F1E">
        <w:t xml:space="preserve">affecting the power sector </w:t>
      </w:r>
      <w:r>
        <w:t>enacted by the Trump administration</w:t>
      </w:r>
      <w:r w:rsidRPr="000D1F1E">
        <w:t xml:space="preserve">. </w:t>
      </w:r>
      <w:r w:rsidR="00DB3A74" w:rsidRPr="00DB3A74">
        <w:rPr>
          <w:rFonts w:eastAsia="Calibri"/>
        </w:rPr>
        <w:t>However, the United States did rejoin the Paris Agreement and submitt</w:t>
      </w:r>
      <w:r w:rsidR="0053760E">
        <w:rPr>
          <w:rFonts w:eastAsia="Calibri"/>
        </w:rPr>
        <w:t>ed</w:t>
      </w:r>
      <w:r w:rsidR="00DB3A74" w:rsidRPr="00DB3A74">
        <w:rPr>
          <w:rFonts w:eastAsia="Calibri"/>
        </w:rPr>
        <w:t xml:space="preserve"> an updated nationally-defined commitment in April 2021 to reduce net GHG emissions by 50% from 2005 levels by 2030.</w:t>
      </w:r>
      <w:r w:rsidR="00DB3A74" w:rsidRPr="00DB3A74">
        <w:rPr>
          <w:rFonts w:eastAsia="Calibri"/>
          <w:vertAlign w:val="superscript"/>
        </w:rPr>
        <w:footnoteReference w:id="129"/>
      </w:r>
      <w:r w:rsidR="00DB3A74" w:rsidRPr="00DB3A74">
        <w:rPr>
          <w:rFonts w:eastAsia="Calibri"/>
        </w:rPr>
        <w:t xml:space="preserve"> The New England power sector emitted 20.8 million metric tons (MMT) of GHG emissions in 2019 and 21.4 MMT of GHG emissions in 2020. Absent a significant shift in the regional generation mix, additional net imports, retirements of emitting generators, or additions of significant renewable capacity, regional GHG power sector emissions may remain near 2020-2021 levels for some time. The ISO continues to track both state and federal GHG reduction initiatives to better understand the impact on planning and system reliability. </w:t>
      </w:r>
    </w:p>
    <w:p w:rsidR="00DB3A74" w:rsidRPr="00DB3A74" w:rsidRDefault="00DB3A74" w:rsidP="0042409F">
      <w:pPr>
        <w:pStyle w:val="Heading2"/>
        <w:rPr>
          <w:rFonts w:eastAsia="Times New Roman"/>
        </w:rPr>
      </w:pPr>
      <w:bookmarkStart w:id="730" w:name="_Ref485720823"/>
      <w:bookmarkStart w:id="731" w:name="_Ref388774308"/>
      <w:bookmarkStart w:id="732" w:name="_Ref12111141"/>
      <w:bookmarkStart w:id="733" w:name="_Ref12099577"/>
      <w:bookmarkStart w:id="734" w:name="_Toc81544583"/>
      <w:r w:rsidRPr="00DB3A74">
        <w:rPr>
          <w:rFonts w:eastAsia="Times New Roman"/>
        </w:rPr>
        <w:t>Regional and State Greenhouse Gas Regulations</w:t>
      </w:r>
      <w:bookmarkEnd w:id="730"/>
      <w:bookmarkEnd w:id="731"/>
      <w:r w:rsidR="0042409F">
        <w:rPr>
          <w:rFonts w:eastAsia="Times New Roman"/>
        </w:rPr>
        <w:t xml:space="preserve"> and </w:t>
      </w:r>
      <w:r w:rsidRPr="00DB3A74">
        <w:rPr>
          <w:rFonts w:eastAsia="Times New Roman"/>
        </w:rPr>
        <w:t>Goals</w:t>
      </w:r>
      <w:bookmarkEnd w:id="732"/>
      <w:bookmarkEnd w:id="733"/>
      <w:bookmarkEnd w:id="734"/>
    </w:p>
    <w:p w:rsidR="00DB3A74" w:rsidRDefault="00DB3A74" w:rsidP="00DB3A74">
      <w:pPr>
        <w:rPr>
          <w:rFonts w:eastAsia="Calibri"/>
        </w:rPr>
      </w:pPr>
      <w:r w:rsidRPr="00825C4B">
        <w:rPr>
          <w:rFonts w:eastAsia="Calibri"/>
        </w:rPr>
        <w:t>While federal greenhouse gas (GHG) reduction initiatives are being reconsidered, limiting—and eventually removing—carbon dioxide (CO2) and other GHGs from the regional power sector has been a goal of state policy</w:t>
      </w:r>
      <w:r w:rsidR="005C5D9A">
        <w:rPr>
          <w:rFonts w:eastAsia="Calibri"/>
        </w:rPr>
        <w:t>-</w:t>
      </w:r>
      <w:r w:rsidRPr="00825C4B">
        <w:rPr>
          <w:rFonts w:eastAsia="Calibri"/>
        </w:rPr>
        <w:t xml:space="preserve">makers for more than a decade, as renewable portfolio standards (RPSs), clean energy standards and GHG emissions limits have steadily increased. </w:t>
      </w:r>
    </w:p>
    <w:p w:rsidR="00825C4B" w:rsidRPr="00825C4B" w:rsidRDefault="00825C4B" w:rsidP="00DB3A74">
      <w:pPr>
        <w:rPr>
          <w:rFonts w:eastAsia="Calibri"/>
        </w:rPr>
      </w:pPr>
    </w:p>
    <w:tbl>
      <w:tblPr>
        <w:tblStyle w:val="TableGrid1"/>
        <w:tblW w:w="0" w:type="auto"/>
        <w:tblLook w:val="0420" w:firstRow="1" w:lastRow="0" w:firstColumn="0" w:lastColumn="0" w:noHBand="0" w:noVBand="1"/>
      </w:tblPr>
      <w:tblGrid>
        <w:gridCol w:w="3541"/>
        <w:gridCol w:w="1293"/>
        <w:gridCol w:w="1421"/>
        <w:gridCol w:w="1445"/>
        <w:gridCol w:w="1650"/>
      </w:tblGrid>
      <w:tr w:rsidR="00C41FDD" w:rsidRPr="000D1F1E" w:rsidTr="005F2101">
        <w:trPr>
          <w:trHeight w:val="576"/>
        </w:trPr>
        <w:tc>
          <w:tcPr>
            <w:tcW w:w="0" w:type="auto"/>
            <w:vMerge w:val="restart"/>
          </w:tcPr>
          <w:p w:rsidR="00C41FDD" w:rsidRPr="000D1F1E" w:rsidRDefault="00C41FDD" w:rsidP="005F2101">
            <w:pPr>
              <w:keepNext/>
              <w:keepLines/>
              <w:spacing w:before="40" w:after="80"/>
              <w:rPr>
                <w:rFonts w:ascii="Calibri" w:hAnsi="Calibri" w:cs="Calibri"/>
                <w:color w:val="000000"/>
                <w:kern w:val="24"/>
                <w:szCs w:val="18"/>
              </w:rPr>
            </w:pPr>
            <w:r w:rsidRPr="000D1F1E">
              <w:rPr>
                <w:rFonts w:ascii="Calibri" w:hAnsi="Calibri" w:cs="Calibri"/>
                <w:noProof/>
                <w:color w:val="000000"/>
                <w:kern w:val="24"/>
                <w:szCs w:val="18"/>
              </w:rPr>
              <w:drawing>
                <wp:inline distT="0" distB="0" distL="0" distR="0" wp14:anchorId="3F2B3EEC" wp14:editId="7919B27B">
                  <wp:extent cx="1975485" cy="2743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75485" cy="2743200"/>
                          </a:xfrm>
                          <a:prstGeom prst="rect">
                            <a:avLst/>
                          </a:prstGeom>
                          <a:noFill/>
                        </pic:spPr>
                      </pic:pic>
                    </a:graphicData>
                  </a:graphic>
                </wp:inline>
              </w:drawing>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State</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2020 Interim Target/Goal</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2030 Interim Target/Goal</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Long-Term Target/Goal</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Connecticut</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10%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2001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2001 levels</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Arial" w:hAnsi="Arial" w:cs="Arial"/>
                <w:szCs w:val="18"/>
              </w:rPr>
            </w:pPr>
          </w:p>
        </w:tc>
        <w:tc>
          <w:tcPr>
            <w:tcW w:w="0" w:type="auto"/>
          </w:tcPr>
          <w:p w:rsidR="00C41FDD" w:rsidRPr="00E90DAD" w:rsidRDefault="00C41FDD" w:rsidP="005F2101">
            <w:pPr>
              <w:keepNext/>
              <w:keepLines/>
              <w:spacing w:before="40" w:after="80"/>
              <w:rPr>
                <w:rFonts w:asciiTheme="minorHAnsi" w:hAnsiTheme="minorHAnsi" w:cstheme="minorHAnsi"/>
                <w:b/>
                <w:color w:val="auto"/>
                <w:sz w:val="16"/>
                <w:szCs w:val="16"/>
              </w:rPr>
            </w:pPr>
            <w:r w:rsidRPr="00E90DAD">
              <w:rPr>
                <w:rFonts w:asciiTheme="minorHAnsi" w:hAnsiTheme="minorHAnsi" w:cstheme="minorHAnsi"/>
                <w:b/>
                <w:sz w:val="16"/>
                <w:szCs w:val="16"/>
              </w:rPr>
              <w:t>Maine</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2045: Carbon neutral</w:t>
            </w:r>
            <w:r w:rsidRPr="00E90DAD">
              <w:rPr>
                <w:rFonts w:asciiTheme="minorHAnsi" w:hAnsiTheme="minorHAnsi" w:cstheme="minorHAnsi"/>
                <w:sz w:val="16"/>
                <w:szCs w:val="16"/>
                <w:vertAlign w:val="superscript"/>
              </w:rPr>
              <w:footnoteReference w:id="130"/>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Arial" w:hAnsi="Arial" w:cs="Arial"/>
                <w:szCs w:val="18"/>
              </w:rPr>
            </w:pPr>
          </w:p>
        </w:tc>
        <w:tc>
          <w:tcPr>
            <w:tcW w:w="0" w:type="auto"/>
          </w:tcPr>
          <w:p w:rsidR="00C41FDD" w:rsidRPr="00E90DAD" w:rsidRDefault="00C41FDD" w:rsidP="005F2101">
            <w:pPr>
              <w:keepNext/>
              <w:keepLines/>
              <w:spacing w:before="40" w:after="80"/>
              <w:rPr>
                <w:rFonts w:asciiTheme="minorHAnsi" w:hAnsiTheme="minorHAnsi" w:cstheme="minorHAnsi"/>
                <w:b/>
                <w:color w:val="auto"/>
                <w:sz w:val="16"/>
                <w:szCs w:val="16"/>
              </w:rPr>
            </w:pPr>
            <w:r w:rsidRPr="00E90DAD">
              <w:rPr>
                <w:rFonts w:asciiTheme="minorHAnsi" w:hAnsiTheme="minorHAnsi" w:cstheme="minorHAnsi"/>
                <w:b/>
                <w:sz w:val="16"/>
                <w:szCs w:val="16"/>
              </w:rPr>
              <w:t>Massachusetts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 xml:space="preserve">25% below 1990 levels </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At least 50%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2050: 85% below 1990 levels and net zero</w:t>
            </w:r>
            <w:r w:rsidRPr="00E90DAD">
              <w:rPr>
                <w:rFonts w:asciiTheme="minorHAnsi" w:hAnsiTheme="minorHAnsi" w:cstheme="minorHAnsi"/>
                <w:sz w:val="16"/>
                <w:szCs w:val="16"/>
                <w:vertAlign w:val="superscript"/>
              </w:rPr>
              <w:footnoteReference w:id="131"/>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New Hampshire</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Rhode Island</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10%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1990 levels</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Vermont</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2025: 26% below 2005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1990 levels</w:t>
            </w:r>
          </w:p>
        </w:tc>
      </w:tr>
      <w:tr w:rsidR="00C41FDD" w:rsidRPr="000D1F1E" w:rsidTr="005F2101">
        <w:trPr>
          <w:trHeight w:val="640"/>
        </w:trPr>
        <w:tc>
          <w:tcPr>
            <w:tcW w:w="0" w:type="auto"/>
            <w:gridSpan w:val="5"/>
          </w:tcPr>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Carbon zero, carbon neutral or net zero refers to achieving net zero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emissions by balancing GHG emissions with removal (through carbon offsetting) or simply eliminating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emissions altogether. Carbon zero status can be achieved in two ways: </w:t>
            </w:r>
          </w:p>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(1) balancing CO</w:t>
            </w:r>
            <w:r w:rsidRPr="000D1F1E">
              <w:rPr>
                <w:rFonts w:asciiTheme="minorHAnsi" w:hAnsiTheme="minorHAnsi" w:cstheme="minorHAnsi"/>
                <w:kern w:val="24"/>
                <w:sz w:val="16"/>
                <w:szCs w:val="16"/>
                <w:vertAlign w:val="subscript"/>
              </w:rPr>
              <w:t xml:space="preserve">2 </w:t>
            </w:r>
            <w:r w:rsidRPr="000D1F1E">
              <w:rPr>
                <w:rFonts w:asciiTheme="minorHAnsi" w:hAnsiTheme="minorHAnsi" w:cstheme="minorHAnsi"/>
                <w:kern w:val="24"/>
                <w:sz w:val="16"/>
                <w:szCs w:val="16"/>
              </w:rPr>
              <w:t>emissions with carbon offsets, often through carbon offsetting - the process of reducing or avoiding GHG emissions or sequestering (removing)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from the atmosphere to make up for emissions elsewhere </w:t>
            </w:r>
          </w:p>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(2) reducing carbon emissions to zero through changing energy sources and industry processes; also includes other GHGs, measured in terms of their CO</w:t>
            </w:r>
            <w:r w:rsidRPr="000D1F1E">
              <w:rPr>
                <w:rFonts w:asciiTheme="minorHAnsi" w:hAnsiTheme="minorHAnsi" w:cstheme="minorHAnsi"/>
                <w:kern w:val="24"/>
                <w:sz w:val="16"/>
                <w:szCs w:val="16"/>
                <w:vertAlign w:val="subscript"/>
              </w:rPr>
              <w:t xml:space="preserve">2 </w:t>
            </w:r>
            <w:r w:rsidRPr="000D1F1E">
              <w:rPr>
                <w:rFonts w:asciiTheme="minorHAnsi" w:hAnsiTheme="minorHAnsi" w:cstheme="minorHAnsi"/>
                <w:kern w:val="24"/>
                <w:sz w:val="16"/>
                <w:szCs w:val="16"/>
              </w:rPr>
              <w:t>equivalence</w:t>
            </w:r>
          </w:p>
        </w:tc>
      </w:tr>
    </w:tbl>
    <w:p w:rsidR="00DB3A74" w:rsidRPr="00DB3A74" w:rsidRDefault="00DB3A74" w:rsidP="00DB3A74">
      <w:pPr>
        <w:keepNext/>
        <w:keepLines/>
        <w:spacing w:after="0" w:line="240" w:lineRule="auto"/>
        <w:jc w:val="center"/>
        <w:rPr>
          <w:rFonts w:eastAsia="Calibri"/>
        </w:rPr>
      </w:pPr>
    </w:p>
    <w:p w:rsidR="00DB3A74" w:rsidRPr="00D2356F" w:rsidRDefault="00E87B72" w:rsidP="001D69A5">
      <w:pPr>
        <w:pStyle w:val="Caption"/>
        <w:jc w:val="left"/>
        <w:rPr>
          <w:rFonts w:eastAsia="Calibri"/>
        </w:rPr>
      </w:pPr>
      <w:bookmarkStart w:id="735" w:name="_Ref8740096"/>
      <w:bookmarkStart w:id="736" w:name="Figure_6_2"/>
      <w:bookmarkStart w:id="737" w:name="_Toc81544614"/>
      <w:r w:rsidRPr="00D2356F">
        <w:t xml:space="preserve">Figure </w:t>
      </w:r>
      <w:fldSimple w:instr=" STYLEREF 1 \s ">
        <w:r w:rsidR="00F85E49">
          <w:rPr>
            <w:noProof/>
          </w:rPr>
          <w:t>6</w:t>
        </w:r>
      </w:fldSimple>
      <w:r w:rsidR="00F85E49">
        <w:noBreakHyphen/>
      </w:r>
      <w:fldSimple w:instr=" SEQ Figure \* ARABIC \s 1 ">
        <w:r w:rsidR="00F85E49">
          <w:rPr>
            <w:noProof/>
          </w:rPr>
          <w:t>2</w:t>
        </w:r>
      </w:fldSimple>
      <w:bookmarkEnd w:id="735"/>
      <w:bookmarkEnd w:id="736"/>
      <w:r w:rsidR="00DB3A74" w:rsidRPr="00D2356F">
        <w:rPr>
          <w:rFonts w:eastAsia="Calibri"/>
          <w:bCs w:val="0"/>
        </w:rPr>
        <w:t>: New England state goals for reducing in GHG emissions (percentage reduction in GHGs in 2020, 2030 and 2050)</w:t>
      </w:r>
      <w:bookmarkEnd w:id="737"/>
    </w:p>
    <w:p w:rsidR="00DB3A74" w:rsidRPr="00DB3A74" w:rsidRDefault="00DB3A74" w:rsidP="00E87B72">
      <w:pPr>
        <w:spacing w:after="0" w:line="240" w:lineRule="auto"/>
        <w:rPr>
          <w:rFonts w:ascii="Calibri" w:eastAsia="Calibri" w:hAnsi="Calibri"/>
          <w:sz w:val="18"/>
        </w:rPr>
      </w:pPr>
      <w:r w:rsidRPr="00DB3A74">
        <w:rPr>
          <w:rFonts w:ascii="Calibri" w:eastAsia="Calibri" w:hAnsi="Calibri" w:cs="Calibri"/>
          <w:b/>
          <w:sz w:val="18"/>
        </w:rPr>
        <w:t>Notes</w:t>
      </w:r>
      <w:r w:rsidRPr="00DB3A74">
        <w:rPr>
          <w:rFonts w:ascii="Calibri" w:eastAsia="Calibri" w:hAnsi="Calibri" w:cs="Calibri"/>
          <w:sz w:val="18"/>
        </w:rPr>
        <w:t>: Massachusetts’ emissions limit for 2050 is net zero statewide emissions annually, limited to 85% below 1990 levels. New Hampshire has not established a state specific GHG emission reduction target.</w:t>
      </w:r>
      <w:r w:rsidRPr="00DB3A74">
        <w:rPr>
          <w:rFonts w:ascii="Calibri" w:eastAsia="Calibri" w:hAnsi="Calibri" w:cs="Calibri"/>
          <w:b/>
          <w:sz w:val="18"/>
        </w:rPr>
        <w:t xml:space="preserve"> </w:t>
      </w:r>
    </w:p>
    <w:p w:rsidR="00DB3A74" w:rsidRPr="00DB3A74" w:rsidRDefault="00DB3A74" w:rsidP="00E87B72">
      <w:pPr>
        <w:rPr>
          <w:rFonts w:ascii="Calibri" w:eastAsia="Calibri" w:hAnsi="Calibri"/>
          <w:sz w:val="18"/>
        </w:rPr>
      </w:pPr>
      <w:r w:rsidRPr="00DB3A74">
        <w:rPr>
          <w:rFonts w:ascii="Calibri" w:eastAsia="Calibri" w:hAnsi="Calibri"/>
          <w:b/>
          <w:sz w:val="18"/>
        </w:rPr>
        <w:t>Sources</w:t>
      </w:r>
      <w:r w:rsidRPr="00DB3A74">
        <w:rPr>
          <w:rFonts w:ascii="Calibri" w:eastAsia="Calibri" w:hAnsi="Calibri"/>
          <w:sz w:val="18"/>
        </w:rPr>
        <w:t xml:space="preserve">: </w:t>
      </w:r>
      <w:hyperlink r:id="rId323" w:history="1">
        <w:r w:rsidRPr="004B6FB7">
          <w:rPr>
            <w:rStyle w:val="Hyperlink"/>
            <w:rFonts w:asciiTheme="minorHAnsi" w:hAnsiTheme="minorHAnsi" w:cstheme="minorHAnsi"/>
            <w:sz w:val="18"/>
          </w:rPr>
          <w:t>MJB&amp;A</w:t>
        </w:r>
      </w:hyperlink>
      <w:r w:rsidRPr="00DB3A74">
        <w:rPr>
          <w:rFonts w:ascii="Calibri" w:eastAsia="Calibri" w:hAnsi="Calibri"/>
          <w:sz w:val="18"/>
        </w:rPr>
        <w:t xml:space="preserve">, </w:t>
      </w:r>
      <w:r w:rsidRPr="00DB3A74">
        <w:rPr>
          <w:rFonts w:ascii="Calibri" w:eastAsia="Calibri" w:hAnsi="Calibri"/>
          <w:i/>
          <w:sz w:val="18"/>
        </w:rPr>
        <w:t>Regulatory Background Climate</w:t>
      </w:r>
      <w:r w:rsidRPr="00DB3A74">
        <w:rPr>
          <w:rFonts w:ascii="Calibri" w:eastAsia="Calibri" w:hAnsi="Calibri"/>
          <w:sz w:val="18"/>
        </w:rPr>
        <w:t xml:space="preserve"> (April 2021) and </w:t>
      </w:r>
      <w:r w:rsidRPr="00DB3A74">
        <w:rPr>
          <w:rFonts w:ascii="Calibri" w:eastAsia="Calibri" w:hAnsi="Calibri"/>
          <w:i/>
          <w:sz w:val="18"/>
        </w:rPr>
        <w:t>State GHG Reduction Goals and Targets</w:t>
      </w:r>
      <w:r w:rsidRPr="00DB3A74">
        <w:rPr>
          <w:rFonts w:ascii="Calibri" w:eastAsia="Calibri" w:hAnsi="Calibri"/>
          <w:sz w:val="18"/>
        </w:rPr>
        <w:t xml:space="preserve"> (September 2020); </w:t>
      </w:r>
      <w:r w:rsidRPr="00DB3A74">
        <w:rPr>
          <w:rFonts w:ascii="Calibri" w:eastAsia="Calibri" w:hAnsi="Calibri"/>
          <w:i/>
          <w:sz w:val="18"/>
        </w:rPr>
        <w:t>National Conference of State Legislatures, Greenhouse Gas Emissions Reduction Targets and Market-based Policies (last updated March 11, 2021)</w:t>
      </w:r>
      <w:r w:rsidRPr="00DB3A74">
        <w:rPr>
          <w:rFonts w:ascii="Calibri" w:eastAsia="Calibri" w:hAnsi="Calibri"/>
          <w:sz w:val="18"/>
        </w:rPr>
        <w:t>.</w:t>
      </w:r>
    </w:p>
    <w:p w:rsidR="00DB3A74" w:rsidRPr="00DB3A74" w:rsidRDefault="00DB3A74" w:rsidP="00DB3A74">
      <w:pPr>
        <w:rPr>
          <w:rFonts w:eastAsia="Calibri"/>
        </w:rPr>
      </w:pPr>
      <w:r w:rsidRPr="00DB3A74">
        <w:rPr>
          <w:rFonts w:eastAsia="Calibri"/>
        </w:rPr>
        <w:t xml:space="preserve">By 2021, all New England states, New York, and several Canadian Maritime provinces </w:t>
      </w:r>
      <w:r w:rsidR="00EC2BA9">
        <w:rPr>
          <w:rFonts w:eastAsia="Calibri"/>
        </w:rPr>
        <w:t xml:space="preserve">have </w:t>
      </w:r>
      <w:r w:rsidRPr="00DB3A74">
        <w:rPr>
          <w:rFonts w:eastAsia="Calibri"/>
        </w:rPr>
        <w:t>adopted GHG-reduction requirements that establish either economy-wide or economic sector charges on the distribution or sale of GHG-emitting items, including electricity.</w:t>
      </w:r>
      <w:r w:rsidRPr="00DB3A74">
        <w:rPr>
          <w:rFonts w:eastAsia="Calibri"/>
          <w:vertAlign w:val="superscript"/>
        </w:rPr>
        <w:footnoteReference w:id="132"/>
      </w:r>
      <w:r w:rsidRPr="00DB3A74">
        <w:rPr>
          <w:rFonts w:eastAsia="Calibri"/>
        </w:rPr>
        <w:t xml:space="preserve"> </w:t>
      </w:r>
    </w:p>
    <w:p w:rsidR="00DB3A74" w:rsidRPr="00DB3A74" w:rsidRDefault="00DB3A74" w:rsidP="00DB3A74">
      <w:pPr>
        <w:rPr>
          <w:rFonts w:eastAsia="Calibri"/>
        </w:rPr>
      </w:pPr>
      <w:r w:rsidRPr="00DB3A74">
        <w:rPr>
          <w:rFonts w:eastAsia="Calibri"/>
        </w:rPr>
        <w:t>The New England states are assessing, developing, and implementing other requirements, initiatives, and incentives to reduce GHGs. In aggregate, these GHG-reduction initiatives are affecting both individual combustion electric generators and the regional transmission system. The ISO continues to evaluate the impact of the states’ various GHG-reduction initiatives to reduce CO</w:t>
      </w:r>
      <w:r w:rsidRPr="00DB3A74">
        <w:rPr>
          <w:rFonts w:eastAsia="Calibri"/>
          <w:vertAlign w:val="subscript"/>
        </w:rPr>
        <w:t>2</w:t>
      </w:r>
      <w:r w:rsidRPr="00DB3A74">
        <w:rPr>
          <w:rFonts w:eastAsia="Calibri"/>
        </w:rPr>
        <w:t xml:space="preserve"> and other emissions, including updates to the Regional Greenhouse Gas Initiative (RGGI), individual state CO</w:t>
      </w:r>
      <w:r w:rsidRPr="00DB3A74">
        <w:rPr>
          <w:rFonts w:eastAsia="Calibri"/>
          <w:vertAlign w:val="subscript"/>
        </w:rPr>
        <w:t>2</w:t>
      </w:r>
      <w:r w:rsidRPr="00DB3A74">
        <w:rPr>
          <w:rFonts w:eastAsia="Calibri"/>
        </w:rPr>
        <w:t xml:space="preserve"> power sector caps, changes to RPSs, related new clean energy generation standards, and nascent efforts to electrify the transportation and building sectors. These existing and emerging efforts are summarized in the subsections below and discussed in more detail in presentations and reports presented regularly to the </w:t>
      </w:r>
      <w:hyperlink r:id="rId324" w:history="1">
        <w:r w:rsidRPr="004B6FB7">
          <w:rPr>
            <w:rStyle w:val="Hyperlink"/>
          </w:rPr>
          <w:t>Environmental Advisory Group (EAG)</w:t>
        </w:r>
      </w:hyperlink>
      <w:r w:rsidRPr="00DB3A74">
        <w:rPr>
          <w:rFonts w:eastAsia="Calibri"/>
        </w:rPr>
        <w:t>.</w:t>
      </w:r>
    </w:p>
    <w:p w:rsidR="00DB3A74" w:rsidRPr="00DB3A74" w:rsidRDefault="00DB3A74" w:rsidP="0042409F">
      <w:pPr>
        <w:pStyle w:val="Heading3"/>
        <w:rPr>
          <w:rFonts w:eastAsia="Times New Roman"/>
        </w:rPr>
      </w:pPr>
      <w:bookmarkStart w:id="738" w:name="_Ref12128900"/>
      <w:bookmarkStart w:id="739" w:name="_Toc81544584"/>
      <w:r w:rsidRPr="00DB3A74">
        <w:rPr>
          <w:rFonts w:eastAsia="Times New Roman"/>
        </w:rPr>
        <w:t>Regional Greenhouse Gas Initiative</w:t>
      </w:r>
      <w:bookmarkEnd w:id="738"/>
      <w:bookmarkEnd w:id="739"/>
    </w:p>
    <w:p w:rsidR="00DB3A74" w:rsidRPr="00DB3A74" w:rsidRDefault="00DB3A74" w:rsidP="00DB3A74">
      <w:pPr>
        <w:rPr>
          <w:rFonts w:eastAsia="Calibri"/>
        </w:rPr>
      </w:pPr>
      <w:r w:rsidRPr="00DB3A74">
        <w:rPr>
          <w:rFonts w:eastAsia="Calibri"/>
        </w:rPr>
        <w:t xml:space="preserve">Since 2009, the New England states have participated in the </w:t>
      </w:r>
      <w:hyperlink r:id="rId325" w:history="1">
        <w:r w:rsidRPr="004B6FB7">
          <w:rPr>
            <w:rStyle w:val="Hyperlink"/>
          </w:rPr>
          <w:t>Regional Greenhouse Gas Initiative</w:t>
        </w:r>
      </w:hyperlink>
      <w:r w:rsidRPr="00DB3A74">
        <w:rPr>
          <w:rFonts w:eastAsia="Calibri"/>
        </w:rPr>
        <w:t xml:space="preserve"> (RGGI), a mandatory, market-based cap-and-trade program to reduce carbon dioxide (CO</w:t>
      </w:r>
      <w:r w:rsidRPr="00DB3A74">
        <w:rPr>
          <w:rFonts w:eastAsia="Calibri"/>
          <w:vertAlign w:val="subscript"/>
        </w:rPr>
        <w:t>2</w:t>
      </w:r>
      <w:r w:rsidRPr="00DB3A74">
        <w:rPr>
          <w:rFonts w:eastAsia="Calibri"/>
        </w:rPr>
        <w:t>)</w:t>
      </w:r>
      <w:r w:rsidRPr="00DB3A74">
        <w:rPr>
          <w:rFonts w:eastAsia="Calibri"/>
          <w:vertAlign w:val="subscript"/>
        </w:rPr>
        <w:t xml:space="preserve"> </w:t>
      </w:r>
      <w:r w:rsidRPr="00DB3A74">
        <w:rPr>
          <w:rFonts w:eastAsia="Calibri"/>
        </w:rPr>
        <w:t>emissions from the power sector across participating New England and Mid-Atlantic states.</w:t>
      </w:r>
      <w:r w:rsidRPr="00DB3A74">
        <w:rPr>
          <w:rFonts w:eastAsia="Calibri"/>
          <w:vertAlign w:val="superscript"/>
        </w:rPr>
        <w:footnoteReference w:id="133"/>
      </w:r>
      <w:r w:rsidRPr="00DB3A74">
        <w:rPr>
          <w:rFonts w:eastAsia="Calibri"/>
        </w:rPr>
        <w:t xml:space="preserve"> Based on the RGGI Model Rule, each participating state's individual CO</w:t>
      </w:r>
      <w:r w:rsidRPr="00DB3A74">
        <w:rPr>
          <w:rFonts w:eastAsia="Calibri"/>
          <w:vertAlign w:val="subscript"/>
        </w:rPr>
        <w:t>2</w:t>
      </w:r>
      <w:r w:rsidRPr="00DB3A74">
        <w:rPr>
          <w:rFonts w:eastAsia="Calibri"/>
        </w:rPr>
        <w:t xml:space="preserve"> Budget Trading Program operates in aggregate to limit CO</w:t>
      </w:r>
      <w:r w:rsidRPr="00DB3A74">
        <w:rPr>
          <w:rFonts w:eastAsia="Calibri"/>
          <w:vertAlign w:val="subscript"/>
        </w:rPr>
        <w:t>2</w:t>
      </w:r>
      <w:r w:rsidRPr="00DB3A74">
        <w:rPr>
          <w:rFonts w:eastAsia="Calibri"/>
        </w:rPr>
        <w:t xml:space="preserve"> emissions from affected generators. RGGI-affected generators within each state acquire and surrender RGGI CO</w:t>
      </w:r>
      <w:r w:rsidRPr="00DB3A74">
        <w:rPr>
          <w:rFonts w:eastAsia="Calibri"/>
          <w:vertAlign w:val="subscript"/>
        </w:rPr>
        <w:t>2</w:t>
      </w:r>
      <w:r w:rsidRPr="00DB3A74">
        <w:rPr>
          <w:rFonts w:eastAsia="Calibri"/>
        </w:rPr>
        <w:t xml:space="preserve"> allowances equal to their CO</w:t>
      </w:r>
      <w:r w:rsidRPr="00DB3A74">
        <w:rPr>
          <w:rFonts w:eastAsia="Calibri"/>
          <w:vertAlign w:val="subscript"/>
        </w:rPr>
        <w:t>2</w:t>
      </w:r>
      <w:r w:rsidRPr="00DB3A74">
        <w:rPr>
          <w:rFonts w:eastAsia="Calibri"/>
        </w:rPr>
        <w:t xml:space="preserve"> emissions over a three-year control period (the current fifth control period runs from January 1, 2021, to December 31, 2023).</w:t>
      </w:r>
      <w:r w:rsidRPr="00DB3A74">
        <w:rPr>
          <w:rFonts w:eastAsia="Calibri"/>
          <w:vertAlign w:val="superscript"/>
        </w:rPr>
        <w:footnoteReference w:id="134"/>
      </w:r>
      <w:r w:rsidRPr="00DB3A74">
        <w:rPr>
          <w:rFonts w:eastAsia="Calibri"/>
        </w:rPr>
        <w:t xml:space="preserve"> </w:t>
      </w:r>
    </w:p>
    <w:p w:rsidR="00DB3A74" w:rsidRPr="00DB3A74" w:rsidRDefault="00DB3A74" w:rsidP="00DB3A74">
      <w:pPr>
        <w:rPr>
          <w:rFonts w:eastAsia="Calibri"/>
        </w:rPr>
      </w:pPr>
      <w:r w:rsidRPr="00DB3A74">
        <w:rPr>
          <w:rFonts w:eastAsia="Calibri"/>
        </w:rPr>
        <w:t xml:space="preserve">The original 2009 cap was 188 million short tons </w:t>
      </w:r>
      <w:r w:rsidR="00927183">
        <w:rPr>
          <w:rFonts w:eastAsia="Calibri"/>
        </w:rPr>
        <w:t xml:space="preserve">(U.S. tons) </w:t>
      </w:r>
      <w:r w:rsidRPr="00DB3A74">
        <w:rPr>
          <w:rFonts w:eastAsia="Calibri"/>
        </w:rPr>
        <w:t>of CO</w:t>
      </w:r>
      <w:r w:rsidRPr="00DB3A74">
        <w:rPr>
          <w:rFonts w:eastAsia="Calibri"/>
          <w:vertAlign w:val="subscript"/>
        </w:rPr>
        <w:t>2</w:t>
      </w:r>
      <w:r w:rsidRPr="00DB3A74">
        <w:rPr>
          <w:rFonts w:eastAsia="Calibri"/>
        </w:rPr>
        <w:t xml:space="preserve"> per year in the first three years of the program: 2009 through 2011. In those years, actual emissions averaged 126 million short tons per year, or one-third less than the cap. The cap was lowered in 2012 and 2014, but emissions have consistently been less than the caps. The RGGI Model has been periodically reviewed and updated by the participating RGGI states, most recently in 2017. In 2021, the RGGI cap is 120 million short tons of CO</w:t>
      </w:r>
      <w:r w:rsidRPr="00DB3A74">
        <w:rPr>
          <w:rFonts w:eastAsia="Calibri"/>
          <w:vertAlign w:val="subscript"/>
        </w:rPr>
        <w:t xml:space="preserve">2 </w:t>
      </w:r>
      <w:r w:rsidRPr="00DB3A74">
        <w:rPr>
          <w:rFonts w:eastAsia="Calibri"/>
        </w:rPr>
        <w:t>per year, declining 2.25% through 2030. According to the RGGI market monitor, at the end of 2020, 231 million RGGI CO</w:t>
      </w:r>
      <w:r w:rsidRPr="00DB3A74">
        <w:rPr>
          <w:rFonts w:eastAsia="Calibri"/>
          <w:vertAlign w:val="subscript"/>
        </w:rPr>
        <w:t>2</w:t>
      </w:r>
      <w:r w:rsidRPr="00DB3A74">
        <w:rPr>
          <w:rFonts w:eastAsia="Calibri"/>
        </w:rPr>
        <w:t xml:space="preserve"> allowances were circulating and RGGI states agreed to cap adjustments to exhaust the RGGI allowances in circulation by withholding 95.45 million allowances from quarterly auctions from 2021 through 2025.</w:t>
      </w:r>
      <w:r w:rsidRPr="00DB3A74">
        <w:rPr>
          <w:rFonts w:eastAsia="Calibri"/>
          <w:vertAlign w:val="superscript"/>
        </w:rPr>
        <w:footnoteReference w:id="135"/>
      </w:r>
      <w:r w:rsidRPr="00DB3A74">
        <w:rPr>
          <w:rFonts w:eastAsia="Calibri"/>
        </w:rPr>
        <w:t xml:space="preserve">  </w:t>
      </w:r>
      <w:r w:rsidR="007267D2">
        <w:t>The ISO internal market monitor calculated the average RGGI compliance cost i</w:t>
      </w:r>
      <w:r w:rsidR="007267D2" w:rsidRPr="00DE2274">
        <w:t xml:space="preserve">ncreased by 15% </w:t>
      </w:r>
      <w:r w:rsidR="007267D2">
        <w:t xml:space="preserve">in 2020 </w:t>
      </w:r>
      <w:r w:rsidR="007267D2" w:rsidRPr="00DE2274">
        <w:t>for most fossil fuel-fired generators</w:t>
      </w:r>
      <w:r w:rsidR="007267D2">
        <w:t xml:space="preserve"> in New England</w:t>
      </w:r>
      <w:r w:rsidR="007267D2" w:rsidRPr="00DE2274">
        <w:t xml:space="preserve"> year-over-year: natural gas ($2.51/MWh to $2.88/MWh), coal ($5.67/MWh to $6.50/MWh), No. 6 oil ($5.03/MWh to $5.77/MWh), No. 2 oil ($5.19/MWh to $5.95/MWh).</w:t>
      </w:r>
      <w:r w:rsidR="007267D2">
        <w:rPr>
          <w:rStyle w:val="FootnoteReference"/>
        </w:rPr>
        <w:footnoteReference w:id="136"/>
      </w:r>
    </w:p>
    <w:p w:rsidR="00DB3A74" w:rsidRPr="00DB3A74" w:rsidRDefault="00DB3A74" w:rsidP="00DB3A74">
      <w:pPr>
        <w:jc w:val="center"/>
        <w:rPr>
          <w:rFonts w:eastAsia="Calibri"/>
        </w:rPr>
      </w:pPr>
      <w:bookmarkStart w:id="740" w:name="Figure_6_3_top"/>
      <w:r w:rsidRPr="00DB3A74">
        <w:rPr>
          <w:rFonts w:eastAsia="Calibri"/>
          <w:noProof/>
        </w:rPr>
        <w:drawing>
          <wp:inline distT="0" distB="0" distL="0" distR="0" wp14:anchorId="69E11536" wp14:editId="7AF7B49F">
            <wp:extent cx="5495925" cy="2453640"/>
            <wp:effectExtent l="0" t="0" r="9525" b="381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95925" cy="2453640"/>
                    </a:xfrm>
                    <a:prstGeom prst="rect">
                      <a:avLst/>
                    </a:prstGeom>
                    <a:noFill/>
                    <a:ln>
                      <a:noFill/>
                    </a:ln>
                  </pic:spPr>
                </pic:pic>
              </a:graphicData>
            </a:graphic>
          </wp:inline>
        </w:drawing>
      </w:r>
      <w:bookmarkEnd w:id="740"/>
    </w:p>
    <w:p w:rsidR="00DB3A74" w:rsidRPr="00DB3A74" w:rsidRDefault="00E87B72" w:rsidP="001D69A5">
      <w:pPr>
        <w:pStyle w:val="Caption"/>
        <w:jc w:val="left"/>
        <w:rPr>
          <w:rFonts w:eastAsia="Calibri"/>
        </w:rPr>
      </w:pPr>
      <w:bookmarkStart w:id="741" w:name="Figure_6_3"/>
      <w:bookmarkStart w:id="742" w:name="_Toc81544615"/>
      <w:r>
        <w:t xml:space="preserve">Figure </w:t>
      </w:r>
      <w:fldSimple w:instr=" STYLEREF 1 \s ">
        <w:r w:rsidR="00F85E49">
          <w:rPr>
            <w:noProof/>
          </w:rPr>
          <w:t>6</w:t>
        </w:r>
      </w:fldSimple>
      <w:r w:rsidR="00F85E49">
        <w:noBreakHyphen/>
      </w:r>
      <w:fldSimple w:instr=" SEQ Figure \* ARABIC \s 1 ">
        <w:r w:rsidR="00F85E49">
          <w:rPr>
            <w:noProof/>
          </w:rPr>
          <w:t>3</w:t>
        </w:r>
      </w:fldSimple>
      <w:bookmarkEnd w:id="741"/>
      <w:r w:rsidR="00DB3A74" w:rsidRPr="00295FB9">
        <w:rPr>
          <w:rFonts w:eastAsia="Calibri"/>
          <w:bCs w:val="0"/>
        </w:rPr>
        <w:t>: RGGI CO</w:t>
      </w:r>
      <w:r w:rsidR="00DB3A74" w:rsidRPr="00295FB9">
        <w:rPr>
          <w:rFonts w:eastAsia="Calibri"/>
          <w:bCs w:val="0"/>
          <w:vertAlign w:val="subscript"/>
        </w:rPr>
        <w:t>2</w:t>
      </w:r>
      <w:r w:rsidR="00DB3A74" w:rsidRPr="00295FB9">
        <w:rPr>
          <w:rFonts w:eastAsia="Calibri"/>
          <w:bCs w:val="0"/>
        </w:rPr>
        <w:t xml:space="preserve"> </w:t>
      </w:r>
      <w:r w:rsidR="00D2356F">
        <w:rPr>
          <w:rFonts w:eastAsia="Calibri"/>
          <w:bCs w:val="0"/>
        </w:rPr>
        <w:t>e</w:t>
      </w:r>
      <w:r w:rsidR="00DB3A74" w:rsidRPr="00295FB9">
        <w:rPr>
          <w:rFonts w:eastAsia="Calibri"/>
          <w:bCs w:val="0"/>
        </w:rPr>
        <w:t xml:space="preserve">missions and </w:t>
      </w:r>
      <w:r w:rsidR="00D2356F">
        <w:rPr>
          <w:rFonts w:eastAsia="Calibri"/>
          <w:bCs w:val="0"/>
        </w:rPr>
        <w:t>a</w:t>
      </w:r>
      <w:r w:rsidR="00DB3A74" w:rsidRPr="00295FB9">
        <w:rPr>
          <w:rFonts w:eastAsia="Calibri"/>
          <w:bCs w:val="0"/>
        </w:rPr>
        <w:t xml:space="preserve">ggregate </w:t>
      </w:r>
      <w:r w:rsidR="00D2356F">
        <w:rPr>
          <w:rFonts w:eastAsia="Calibri"/>
          <w:bCs w:val="0"/>
        </w:rPr>
        <w:t>a</w:t>
      </w:r>
      <w:r w:rsidR="00DB3A74" w:rsidRPr="00295FB9">
        <w:rPr>
          <w:rFonts w:eastAsia="Calibri"/>
          <w:bCs w:val="0"/>
        </w:rPr>
        <w:t xml:space="preserve">nnual </w:t>
      </w:r>
      <w:r w:rsidR="00D2356F">
        <w:rPr>
          <w:rFonts w:eastAsia="Calibri"/>
          <w:bCs w:val="0"/>
        </w:rPr>
        <w:t>s</w:t>
      </w:r>
      <w:r w:rsidR="00DB3A74" w:rsidRPr="00295FB9">
        <w:rPr>
          <w:rFonts w:eastAsia="Calibri"/>
          <w:bCs w:val="0"/>
        </w:rPr>
        <w:t xml:space="preserve">tate </w:t>
      </w:r>
      <w:r w:rsidR="00D2356F">
        <w:rPr>
          <w:rFonts w:eastAsia="Calibri"/>
          <w:bCs w:val="0"/>
        </w:rPr>
        <w:t>c</w:t>
      </w:r>
      <w:r w:rsidR="00DB3A74" w:rsidRPr="00295FB9">
        <w:rPr>
          <w:rFonts w:eastAsia="Calibri"/>
          <w:bCs w:val="0"/>
        </w:rPr>
        <w:t>aps (million short tons)</w:t>
      </w:r>
      <w:bookmarkEnd w:id="742"/>
    </w:p>
    <w:p w:rsidR="00DB3A74" w:rsidRPr="00DB3A74" w:rsidRDefault="00DB3A74" w:rsidP="00E87B72">
      <w:pPr>
        <w:spacing w:after="0" w:line="240" w:lineRule="auto"/>
        <w:rPr>
          <w:rFonts w:ascii="Calibri" w:eastAsia="Calibri" w:hAnsi="Calibri"/>
          <w:sz w:val="18"/>
        </w:rPr>
      </w:pPr>
      <w:r w:rsidRPr="00DB3A74">
        <w:rPr>
          <w:rFonts w:ascii="Calibri" w:eastAsia="Calibri" w:hAnsi="Calibri" w:cs="Calibri"/>
          <w:b/>
          <w:sz w:val="18"/>
        </w:rPr>
        <w:t>Note</w:t>
      </w:r>
      <w:r w:rsidRPr="00DB3A74">
        <w:rPr>
          <w:rFonts w:ascii="Calibri" w:eastAsia="Calibri" w:hAnsi="Calibri" w:cs="Calibri"/>
          <w:sz w:val="18"/>
        </w:rPr>
        <w:t>: The RGGI-wide CO</w:t>
      </w:r>
      <w:r w:rsidRPr="00DB3A74">
        <w:rPr>
          <w:rFonts w:ascii="Calibri" w:eastAsia="Calibri" w:hAnsi="Calibri" w:cs="Calibri"/>
          <w:sz w:val="18"/>
          <w:vertAlign w:val="subscript"/>
        </w:rPr>
        <w:t>2</w:t>
      </w:r>
      <w:r w:rsidRPr="00DB3A74">
        <w:rPr>
          <w:rFonts w:ascii="Calibri" w:eastAsia="Calibri" w:hAnsi="Calibri" w:cs="Calibri"/>
          <w:sz w:val="18"/>
        </w:rPr>
        <w:t xml:space="preserve"> cap represents a regional budget for CO</w:t>
      </w:r>
      <w:r w:rsidRPr="00DB3A74">
        <w:rPr>
          <w:rFonts w:ascii="Calibri" w:eastAsia="Calibri" w:hAnsi="Calibri" w:cs="Calibri"/>
          <w:sz w:val="18"/>
          <w:vertAlign w:val="subscript"/>
        </w:rPr>
        <w:t>2</w:t>
      </w:r>
      <w:r w:rsidRPr="00DB3A74">
        <w:rPr>
          <w:rFonts w:ascii="Calibri" w:eastAsia="Calibri" w:hAnsi="Calibri" w:cs="Calibri"/>
          <w:sz w:val="18"/>
        </w:rPr>
        <w:t xml:space="preserve"> emissions from the power sector and is an aggregation of the individual state program targets. As states join or leave RGGI, the aggregated caps are modified to reflect those changes</w:t>
      </w:r>
      <w:r w:rsidRPr="00DB3A74">
        <w:rPr>
          <w:rFonts w:ascii="Calibri" w:eastAsia="Calibri" w:hAnsi="Calibri"/>
          <w:sz w:val="18"/>
        </w:rPr>
        <w:t>.</w:t>
      </w:r>
    </w:p>
    <w:p w:rsidR="00DB3A74" w:rsidRPr="00DB3A74" w:rsidRDefault="00DB3A74" w:rsidP="00E87B72">
      <w:pPr>
        <w:rPr>
          <w:rFonts w:eastAsia="Calibri"/>
        </w:rPr>
      </w:pPr>
      <w:r w:rsidRPr="00DB3A74">
        <w:rPr>
          <w:rFonts w:ascii="Calibri" w:eastAsia="Calibri" w:hAnsi="Calibri"/>
          <w:b/>
          <w:sz w:val="18"/>
        </w:rPr>
        <w:t>Source</w:t>
      </w:r>
      <w:r w:rsidRPr="00DB3A74">
        <w:rPr>
          <w:rFonts w:ascii="Calibri" w:eastAsia="Calibri" w:hAnsi="Calibri"/>
          <w:sz w:val="18"/>
        </w:rPr>
        <w:t xml:space="preserve">: </w:t>
      </w:r>
      <w:hyperlink r:id="rId327" w:history="1">
        <w:r w:rsidRPr="004B6FB7">
          <w:rPr>
            <w:rStyle w:val="Hyperlink"/>
            <w:rFonts w:asciiTheme="minorHAnsi" w:hAnsiTheme="minorHAnsi" w:cstheme="minorHAnsi"/>
            <w:sz w:val="18"/>
          </w:rPr>
          <w:t>EIA</w:t>
        </w:r>
      </w:hyperlink>
      <w:r w:rsidRPr="00DB3A74">
        <w:rPr>
          <w:rFonts w:ascii="Calibri" w:eastAsia="Calibri" w:hAnsi="Calibri"/>
          <w:sz w:val="18"/>
        </w:rPr>
        <w:t xml:space="preserve">, based on RGGI data. </w:t>
      </w:r>
    </w:p>
    <w:p w:rsidR="00DB3A74" w:rsidRPr="00DB3A74" w:rsidRDefault="00DB3A74" w:rsidP="0042409F">
      <w:pPr>
        <w:pStyle w:val="Heading3"/>
        <w:rPr>
          <w:rFonts w:eastAsia="Times New Roman"/>
        </w:rPr>
      </w:pPr>
      <w:bookmarkStart w:id="743" w:name="_Ref12125800"/>
      <w:bookmarkStart w:id="744" w:name="_Toc396807665"/>
      <w:bookmarkStart w:id="745" w:name="_Toc81544585"/>
      <w:r w:rsidRPr="00DB3A74">
        <w:rPr>
          <w:rFonts w:eastAsia="Times New Roman"/>
        </w:rPr>
        <w:t>Electrification</w:t>
      </w:r>
      <w:bookmarkEnd w:id="743"/>
      <w:bookmarkEnd w:id="745"/>
      <w:r w:rsidRPr="00DB3A74">
        <w:rPr>
          <w:rFonts w:eastAsia="Times New Roman"/>
        </w:rPr>
        <w:t xml:space="preserve"> </w:t>
      </w:r>
    </w:p>
    <w:p w:rsidR="00DB3A74" w:rsidRPr="00DB3A74" w:rsidRDefault="00DB3A74" w:rsidP="00DB3A74">
      <w:pPr>
        <w:rPr>
          <w:rFonts w:eastAsia="Calibri"/>
        </w:rPr>
      </w:pPr>
      <w:r w:rsidRPr="00DB3A74">
        <w:rPr>
          <w:rFonts w:eastAsia="Calibri"/>
        </w:rPr>
        <w:t>A further means of reducing gree</w:t>
      </w:r>
      <w:r w:rsidR="0053760E">
        <w:rPr>
          <w:rFonts w:eastAsia="Calibri"/>
        </w:rPr>
        <w:t>n</w:t>
      </w:r>
      <w:r w:rsidRPr="00DB3A74">
        <w:rPr>
          <w:rFonts w:eastAsia="Calibri"/>
        </w:rPr>
        <w:t>house gas (GHG) emissions calls for electrifying transportation vehicles and increasing the use of electricity to provide heat, particularly through applications of efficient heat pumps. Once supplied by renewable generation, the conversion of these loads could further reduce overall carbon emissions.</w:t>
      </w:r>
    </w:p>
    <w:p w:rsidR="00DB3A74" w:rsidRPr="00DB3A74" w:rsidRDefault="007267D2" w:rsidP="00DB3A74">
      <w:pPr>
        <w:rPr>
          <w:rFonts w:eastAsia="Calibri"/>
        </w:rPr>
      </w:pPr>
      <w:r w:rsidRPr="000D1F1E">
        <w:t>Several New England states participate in the</w:t>
      </w:r>
      <w:r>
        <w:t xml:space="preserve"> </w:t>
      </w:r>
      <w:r w:rsidRPr="000D1F1E">
        <w:t>multistate Transportation and Climate Initiative (TCI)</w:t>
      </w:r>
      <w:r>
        <w:t xml:space="preserve"> to reduce c</w:t>
      </w:r>
      <w:r w:rsidRPr="000D1F1E">
        <w:t>arbon</w:t>
      </w:r>
      <w:r>
        <w:t xml:space="preserve"> emissions from transportation activities</w:t>
      </w:r>
      <w:r w:rsidR="00DB3A74" w:rsidRPr="00DB3A74">
        <w:rPr>
          <w:rFonts w:eastAsia="Calibri"/>
        </w:rPr>
        <w:t>.</w:t>
      </w:r>
      <w:r w:rsidR="00DB3A74" w:rsidRPr="00DB3A74">
        <w:rPr>
          <w:rFonts w:eastAsia="Calibri"/>
          <w:vertAlign w:val="superscript"/>
        </w:rPr>
        <w:footnoteReference w:id="137"/>
      </w:r>
      <w:r w:rsidR="00DB3A74" w:rsidRPr="00DB3A74">
        <w:rPr>
          <w:rFonts w:eastAsia="Calibri"/>
        </w:rPr>
        <w:t xml:space="preserve"> In February 2021, Massachusetts, Connecticut, Rhode Island, and Washington D.C. agreed to cap carbon dioxide (CO</w:t>
      </w:r>
      <w:r w:rsidR="00DB3A74" w:rsidRPr="00DB3A74">
        <w:rPr>
          <w:rFonts w:eastAsia="Calibri"/>
          <w:vertAlign w:val="subscript"/>
        </w:rPr>
        <w:t>2</w:t>
      </w:r>
      <w:r w:rsidR="00DB3A74" w:rsidRPr="00DB3A74">
        <w:rPr>
          <w:rFonts w:eastAsia="Calibri"/>
        </w:rPr>
        <w:t xml:space="preserve">) emissions from the combustion of transportation fuels (gasoline and on-road diesel) through a cap-and-invest program beginning in 2023 that would decline by 30% by 2032. </w:t>
      </w:r>
      <w:r>
        <w:t>The New England TCI participating states would start with a 2023 budget of 41.3 million allowances</w:t>
      </w:r>
      <w:r w:rsidR="00EC2BA9">
        <w:t>, which</w:t>
      </w:r>
      <w:r>
        <w:t xml:space="preserve"> would decline to 28.8 million allowances by 2032.</w:t>
      </w:r>
      <w:r>
        <w:rPr>
          <w:rStyle w:val="FootnoteReference"/>
        </w:rPr>
        <w:footnoteReference w:id="138"/>
      </w:r>
      <w:r>
        <w:t xml:space="preserve"> For comparison, total New England power system CO</w:t>
      </w:r>
      <w:r w:rsidRPr="00E90DAD">
        <w:rPr>
          <w:vertAlign w:val="subscript"/>
        </w:rPr>
        <w:t>2</w:t>
      </w:r>
      <w:r>
        <w:t xml:space="preserve"> emissions for 2019 were estimated at 28.1 million metric tons.</w:t>
      </w:r>
    </w:p>
    <w:p w:rsidR="00DB3A74" w:rsidRPr="00DB3A74" w:rsidRDefault="00DB3A74" w:rsidP="00DB3A74">
      <w:pPr>
        <w:rPr>
          <w:rFonts w:ascii="Calibri" w:eastAsia="Calibri" w:hAnsi="Calibri"/>
          <w:bCs/>
          <w:sz w:val="24"/>
          <w:szCs w:val="26"/>
        </w:rPr>
      </w:pPr>
      <w:r w:rsidRPr="00DB3A74">
        <w:rPr>
          <w:rFonts w:eastAsia="Calibri"/>
        </w:rPr>
        <w:t xml:space="preserve">The ISO continues to monitor electrification and anticipates additional growth of demand by midcentury and potential issues with the increased use of inverted-based technologies and distributed energy resources to fuel this new demand. (See </w:t>
      </w:r>
      <w:hyperlink w:anchor="_Forecasts_of_New" w:history="1">
        <w:r w:rsidRPr="007267D2">
          <w:rPr>
            <w:rStyle w:val="Hyperlink"/>
            <w:rFonts w:eastAsia="Calibri"/>
          </w:rPr>
          <w:t>Chapter 3</w:t>
        </w:r>
      </w:hyperlink>
      <w:r w:rsidRPr="00DB3A74">
        <w:rPr>
          <w:rFonts w:eastAsia="Calibri"/>
        </w:rPr>
        <w:t>)</w:t>
      </w:r>
    </w:p>
    <w:p w:rsidR="00DB3A74" w:rsidRPr="00DB3A74" w:rsidRDefault="00DB3A74" w:rsidP="002B2229">
      <w:pPr>
        <w:pStyle w:val="Heading2"/>
        <w:rPr>
          <w:rFonts w:eastAsia="Times New Roman"/>
        </w:rPr>
      </w:pPr>
      <w:bookmarkStart w:id="746" w:name="_Ref12114424"/>
      <w:bookmarkStart w:id="747" w:name="_Ref11050681"/>
      <w:bookmarkStart w:id="748" w:name="_Toc81544586"/>
      <w:r w:rsidRPr="00DB3A74">
        <w:rPr>
          <w:rFonts w:eastAsia="Times New Roman"/>
        </w:rPr>
        <w:t>Environmental Impact of Regional COVID-19 Pandemi</w:t>
      </w:r>
      <w:r w:rsidR="002B2229">
        <w:rPr>
          <w:rFonts w:eastAsia="Times New Roman"/>
        </w:rPr>
        <w:t>c Responses on the Power System </w:t>
      </w:r>
      <w:r w:rsidRPr="00DB3A74">
        <w:rPr>
          <w:rFonts w:eastAsia="Times New Roman"/>
        </w:rPr>
        <w:t>Performance</w:t>
      </w:r>
      <w:bookmarkEnd w:id="748"/>
    </w:p>
    <w:p w:rsidR="00DB3A74" w:rsidRPr="00DB3A74" w:rsidRDefault="007267D2" w:rsidP="00DB3A74">
      <w:pPr>
        <w:rPr>
          <w:rFonts w:eastAsia="Calibri"/>
        </w:rPr>
      </w:pPr>
      <w:r w:rsidRPr="000D1F1E">
        <w:t>Lower electricity loads</w:t>
      </w:r>
      <w:r>
        <w:t>,</w:t>
      </w:r>
      <w:r w:rsidRPr="000D1F1E">
        <w:t xml:space="preserve"> </w:t>
      </w:r>
      <w:r>
        <w:t xml:space="preserve">changes in the average hourly load curve, and increases in forecast error and volatility </w:t>
      </w:r>
      <w:r w:rsidRPr="000D1F1E">
        <w:t xml:space="preserve">were observed during 2020 across New England as COVID-19 pandemic responses </w:t>
      </w:r>
      <w:r>
        <w:t xml:space="preserve">temporarily </w:t>
      </w:r>
      <w:r w:rsidRPr="000D1F1E">
        <w:t>reduced regional economic activity</w:t>
      </w:r>
      <w:r w:rsidR="00EC2BA9">
        <w:t xml:space="preserve">.  These trends were also influenced by </w:t>
      </w:r>
      <w:r w:rsidRPr="000D1F1E">
        <w:t>continued increase</w:t>
      </w:r>
      <w:r>
        <w:t>s</w:t>
      </w:r>
      <w:r w:rsidRPr="000D1F1E">
        <w:t xml:space="preserve"> in behind-the-meter (BTM) solar generation and energy efficiency</w:t>
      </w:r>
      <w:r w:rsidR="00DB3A74" w:rsidRPr="00DB3A74">
        <w:rPr>
          <w:rFonts w:eastAsia="Calibri"/>
        </w:rPr>
        <w:t>.</w:t>
      </w:r>
      <w:r w:rsidR="00DB3A74" w:rsidRPr="00DB3A74">
        <w:rPr>
          <w:rFonts w:eastAsia="Calibri"/>
          <w:vertAlign w:val="superscript"/>
        </w:rPr>
        <w:footnoteReference w:id="139"/>
      </w:r>
      <w:r w:rsidR="00DB3A74" w:rsidRPr="00DB3A74">
        <w:rPr>
          <w:rFonts w:eastAsia="Calibri"/>
        </w:rPr>
        <w:t xml:space="preserve"> </w:t>
      </w:r>
      <w:r>
        <w:t xml:space="preserve">The internal market monitor estimated </w:t>
      </w:r>
      <w:r w:rsidR="00036069">
        <w:t xml:space="preserve">the </w:t>
      </w:r>
      <w:r>
        <w:t xml:space="preserve">COVID-19 pandemic accounted for 0.5% of the overall 2.0% decline in the 2020 annual load compared to 2019. </w:t>
      </w:r>
      <w:r w:rsidR="00DB3A74" w:rsidRPr="00DB3A74">
        <w:rPr>
          <w:rFonts w:eastAsia="Calibri"/>
        </w:rPr>
        <w:t>Higher temperatures in June 2020 led to increased air conditioning demand, combined with the end of many pandemic mitigation measures in most New England states, and resulted in higher loads than would have otherwise been expected absent COVID-19 responses.</w:t>
      </w:r>
      <w:r w:rsidR="00DB3A74" w:rsidRPr="00DB3A74">
        <w:rPr>
          <w:rFonts w:eastAsia="Calibri"/>
          <w:vertAlign w:val="superscript"/>
        </w:rPr>
        <w:footnoteReference w:id="140"/>
      </w:r>
      <w:r w:rsidR="00DB3A74" w:rsidRPr="00DB3A74">
        <w:rPr>
          <w:rFonts w:eastAsia="Calibri"/>
        </w:rPr>
        <w:t xml:space="preserve"> </w:t>
      </w:r>
    </w:p>
    <w:p w:rsidR="00E87B72" w:rsidRDefault="00DB3A74" w:rsidP="001D69A5">
      <w:pPr>
        <w:keepNext/>
      </w:pPr>
      <w:bookmarkStart w:id="749" w:name="Figure_6_4_top"/>
      <w:r w:rsidRPr="00DB3A74">
        <w:rPr>
          <w:rFonts w:eastAsia="Calibri"/>
          <w:noProof/>
        </w:rPr>
        <w:drawing>
          <wp:inline distT="0" distB="0" distL="0" distR="0" wp14:anchorId="0BD92935" wp14:editId="250E8A08">
            <wp:extent cx="5880100" cy="4038973"/>
            <wp:effectExtent l="0" t="0" r="6350" b="0"/>
            <wp:docPr id="71" name="Picture 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Grp="1"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903757" cy="4055223"/>
                    </a:xfrm>
                    <a:prstGeom prst="rect">
                      <a:avLst/>
                    </a:prstGeom>
                    <a:noFill/>
                    <a:ln>
                      <a:noFill/>
                    </a:ln>
                  </pic:spPr>
                </pic:pic>
              </a:graphicData>
            </a:graphic>
          </wp:inline>
        </w:drawing>
      </w:r>
      <w:bookmarkEnd w:id="749"/>
    </w:p>
    <w:p w:rsidR="00E87B72" w:rsidRPr="00201B3A" w:rsidRDefault="00E87B72" w:rsidP="001D69A5">
      <w:pPr>
        <w:pStyle w:val="Caption"/>
        <w:jc w:val="left"/>
      </w:pPr>
      <w:bookmarkStart w:id="750" w:name="_Toc81544616"/>
      <w:r w:rsidRPr="00201B3A">
        <w:t xml:space="preserve">Figure </w:t>
      </w:r>
      <w:fldSimple w:instr=" STYLEREF 1 \s ">
        <w:r w:rsidR="00F85E49">
          <w:rPr>
            <w:noProof/>
          </w:rPr>
          <w:t>6</w:t>
        </w:r>
      </w:fldSimple>
      <w:r w:rsidR="00F85E49">
        <w:noBreakHyphen/>
      </w:r>
      <w:fldSimple w:instr=" SEQ Figure \* ARABIC \s 1 ">
        <w:r w:rsidR="00F85E49">
          <w:rPr>
            <w:noProof/>
          </w:rPr>
          <w:t>4</w:t>
        </w:r>
      </w:fldSimple>
      <w:r w:rsidRPr="00201B3A">
        <w:t>:</w:t>
      </w:r>
      <w:r w:rsidR="002F4A79" w:rsidRPr="00201B3A">
        <w:rPr>
          <w:rFonts w:eastAsia="Calibri"/>
          <w:bCs w:val="0"/>
        </w:rPr>
        <w:t xml:space="preserve"> Estimated </w:t>
      </w:r>
      <w:r w:rsidR="00D2356F">
        <w:rPr>
          <w:rFonts w:eastAsia="Calibri"/>
          <w:bCs w:val="0"/>
        </w:rPr>
        <w:t>d</w:t>
      </w:r>
      <w:r w:rsidR="002F4A79" w:rsidRPr="00201B3A">
        <w:rPr>
          <w:rFonts w:eastAsia="Calibri"/>
          <w:bCs w:val="0"/>
        </w:rPr>
        <w:t xml:space="preserve">ecline in </w:t>
      </w:r>
      <w:r w:rsidR="00D2356F">
        <w:rPr>
          <w:rFonts w:eastAsia="Calibri"/>
          <w:bCs w:val="0"/>
        </w:rPr>
        <w:t>d</w:t>
      </w:r>
      <w:r w:rsidR="002F4A79" w:rsidRPr="00201B3A">
        <w:rPr>
          <w:rFonts w:eastAsia="Calibri"/>
          <w:bCs w:val="0"/>
        </w:rPr>
        <w:t>aily CO</w:t>
      </w:r>
      <w:r w:rsidR="002F4A79" w:rsidRPr="00201B3A">
        <w:rPr>
          <w:rFonts w:eastAsia="Calibri"/>
          <w:bCs w:val="0"/>
          <w:vertAlign w:val="subscript"/>
        </w:rPr>
        <w:t>2</w:t>
      </w:r>
      <w:r w:rsidR="002F4A79" w:rsidRPr="00201B3A">
        <w:rPr>
          <w:rFonts w:eastAsia="Calibri"/>
          <w:bCs w:val="0"/>
        </w:rPr>
        <w:t xml:space="preserve"> </w:t>
      </w:r>
      <w:r w:rsidR="00D2356F">
        <w:rPr>
          <w:rFonts w:eastAsia="Calibri"/>
          <w:bCs w:val="0"/>
        </w:rPr>
        <w:t>e</w:t>
      </w:r>
      <w:r w:rsidR="002F4A79" w:rsidRPr="00201B3A">
        <w:rPr>
          <w:rFonts w:eastAsia="Calibri"/>
          <w:bCs w:val="0"/>
        </w:rPr>
        <w:t xml:space="preserve">missions and </w:t>
      </w:r>
      <w:r w:rsidR="00D2356F">
        <w:rPr>
          <w:rFonts w:eastAsia="Calibri"/>
          <w:bCs w:val="0"/>
        </w:rPr>
        <w:t>c</w:t>
      </w:r>
      <w:r w:rsidR="002F4A79" w:rsidRPr="00201B3A">
        <w:rPr>
          <w:rFonts w:eastAsia="Calibri"/>
          <w:bCs w:val="0"/>
        </w:rPr>
        <w:t xml:space="preserve">umulative </w:t>
      </w:r>
      <w:r w:rsidR="00D2356F">
        <w:rPr>
          <w:rFonts w:eastAsia="Calibri"/>
          <w:bCs w:val="0"/>
        </w:rPr>
        <w:t>r</w:t>
      </w:r>
      <w:r w:rsidR="002F4A79" w:rsidRPr="00201B3A">
        <w:rPr>
          <w:rFonts w:eastAsia="Calibri"/>
          <w:bCs w:val="0"/>
        </w:rPr>
        <w:t xml:space="preserve">eduction in </w:t>
      </w:r>
      <w:r w:rsidR="00D2356F">
        <w:rPr>
          <w:rFonts w:eastAsia="Calibri"/>
          <w:bCs w:val="0"/>
        </w:rPr>
        <w:t>f</w:t>
      </w:r>
      <w:r w:rsidR="002F4A79" w:rsidRPr="00201B3A">
        <w:rPr>
          <w:rFonts w:eastAsia="Calibri"/>
          <w:bCs w:val="0"/>
        </w:rPr>
        <w:t>ossil CO</w:t>
      </w:r>
      <w:r w:rsidR="002F4A79" w:rsidRPr="00201B3A">
        <w:rPr>
          <w:rFonts w:eastAsia="Calibri"/>
          <w:bCs w:val="0"/>
          <w:vertAlign w:val="subscript"/>
        </w:rPr>
        <w:t>2</w:t>
      </w:r>
      <w:r w:rsidR="002F4A79" w:rsidRPr="00201B3A">
        <w:rPr>
          <w:rFonts w:eastAsia="Calibri"/>
          <w:bCs w:val="0"/>
        </w:rPr>
        <w:t xml:space="preserve"> </w:t>
      </w:r>
      <w:r w:rsidR="00D2356F">
        <w:rPr>
          <w:rFonts w:eastAsia="Calibri"/>
          <w:bCs w:val="0"/>
        </w:rPr>
        <w:t>e</w:t>
      </w:r>
      <w:r w:rsidR="002F4A79" w:rsidRPr="00201B3A">
        <w:rPr>
          <w:rFonts w:eastAsia="Calibri"/>
          <w:bCs w:val="0"/>
        </w:rPr>
        <w:t>missions in Connecticut (</w:t>
      </w:r>
      <w:r w:rsidR="00D2356F">
        <w:rPr>
          <w:rFonts w:eastAsia="Calibri"/>
          <w:bCs w:val="0"/>
        </w:rPr>
        <w:t>m</w:t>
      </w:r>
      <w:r w:rsidR="002F4A79" w:rsidRPr="00201B3A">
        <w:rPr>
          <w:rFonts w:eastAsia="Calibri"/>
          <w:bCs w:val="0"/>
        </w:rPr>
        <w:t xml:space="preserve">illion </w:t>
      </w:r>
      <w:r w:rsidR="00D2356F">
        <w:rPr>
          <w:rFonts w:eastAsia="Calibri"/>
          <w:bCs w:val="0"/>
        </w:rPr>
        <w:t>m</w:t>
      </w:r>
      <w:r w:rsidR="002F4A79" w:rsidRPr="00201B3A">
        <w:rPr>
          <w:rFonts w:eastAsia="Calibri"/>
          <w:bCs w:val="0"/>
        </w:rPr>
        <w:t xml:space="preserve">etric </w:t>
      </w:r>
      <w:r w:rsidR="00D2356F">
        <w:rPr>
          <w:rFonts w:eastAsia="Calibri"/>
          <w:bCs w:val="0"/>
        </w:rPr>
        <w:t>t</w:t>
      </w:r>
      <w:r w:rsidR="002F4A79" w:rsidRPr="00201B3A">
        <w:rPr>
          <w:rFonts w:eastAsia="Calibri"/>
          <w:bCs w:val="0"/>
        </w:rPr>
        <w:t>ons (MMT))</w:t>
      </w:r>
      <w:bookmarkEnd w:id="750"/>
    </w:p>
    <w:p w:rsidR="00DB3A74" w:rsidRPr="00DB3A74" w:rsidRDefault="00DB3A74" w:rsidP="00DB3A74">
      <w:pPr>
        <w:rPr>
          <w:rFonts w:eastAsia="Calibri"/>
        </w:rPr>
      </w:pPr>
      <w:r w:rsidRPr="00DB3A74">
        <w:rPr>
          <w:rFonts w:eastAsia="Calibri"/>
          <w:noProof/>
        </w:rPr>
        <w:t xml:space="preserve"> </w:t>
      </w:r>
    </w:p>
    <w:p w:rsidR="00927183" w:rsidRDefault="00927183" w:rsidP="00DB3A74">
      <w:pPr>
        <w:tabs>
          <w:tab w:val="left" w:pos="450"/>
        </w:tabs>
        <w:spacing w:after="0" w:line="240" w:lineRule="auto"/>
        <w:ind w:left="446" w:right="634"/>
        <w:rPr>
          <w:rFonts w:ascii="Calibri" w:eastAsia="Calibri" w:hAnsi="Calibri"/>
          <w:b/>
          <w:bCs/>
          <w:szCs w:val="18"/>
        </w:rPr>
      </w:pPr>
      <w:bookmarkStart w:id="751" w:name="Figure_6_4"/>
      <w:bookmarkStart w:id="752" w:name="_Toc70337155"/>
      <w:r w:rsidRPr="00DB3A74">
        <w:rPr>
          <w:rFonts w:eastAsia="Calibri"/>
          <w:noProof/>
        </w:rPr>
        <w:drawing>
          <wp:inline distT="0" distB="0" distL="0" distR="0" wp14:anchorId="39D21C17" wp14:editId="4C8C6743">
            <wp:extent cx="5651500" cy="3881950"/>
            <wp:effectExtent l="0" t="0" r="6350" b="444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661592" cy="3888882"/>
                    </a:xfrm>
                    <a:prstGeom prst="rect">
                      <a:avLst/>
                    </a:prstGeom>
                    <a:noFill/>
                    <a:ln>
                      <a:noFill/>
                    </a:ln>
                  </pic:spPr>
                </pic:pic>
              </a:graphicData>
            </a:graphic>
          </wp:inline>
        </w:drawing>
      </w:r>
    </w:p>
    <w:p w:rsidR="00DB3A74" w:rsidRPr="00DB3A74" w:rsidRDefault="00E87B72" w:rsidP="001D69A5">
      <w:pPr>
        <w:pStyle w:val="Caption"/>
        <w:jc w:val="left"/>
        <w:rPr>
          <w:rFonts w:eastAsia="Calibri"/>
        </w:rPr>
      </w:pPr>
      <w:bookmarkStart w:id="753" w:name="_Toc81544617"/>
      <w:r>
        <w:t xml:space="preserve">Figure </w:t>
      </w:r>
      <w:fldSimple w:instr=" STYLEREF 1 \s ">
        <w:r w:rsidR="00F85E49">
          <w:rPr>
            <w:noProof/>
          </w:rPr>
          <w:t>6</w:t>
        </w:r>
      </w:fldSimple>
      <w:r w:rsidR="00F85E49">
        <w:noBreakHyphen/>
      </w:r>
      <w:fldSimple w:instr=" SEQ Figure \* ARABIC \s 1 ">
        <w:r w:rsidR="00F85E49">
          <w:rPr>
            <w:noProof/>
          </w:rPr>
          <w:t>5</w:t>
        </w:r>
      </w:fldSimple>
      <w:bookmarkEnd w:id="751"/>
      <w:r w:rsidR="00DB3A74" w:rsidRPr="00295FB9">
        <w:rPr>
          <w:rFonts w:eastAsia="Calibri"/>
          <w:bCs w:val="0"/>
        </w:rPr>
        <w:t xml:space="preserve">: Estimated </w:t>
      </w:r>
      <w:r w:rsidR="00F008DF">
        <w:rPr>
          <w:rFonts w:eastAsia="Calibri"/>
          <w:bCs w:val="0"/>
        </w:rPr>
        <w:t>d</w:t>
      </w:r>
      <w:r w:rsidR="00DB3A74" w:rsidRPr="00295FB9">
        <w:rPr>
          <w:rFonts w:eastAsia="Calibri"/>
          <w:bCs w:val="0"/>
        </w:rPr>
        <w:t xml:space="preserve">ecline in </w:t>
      </w:r>
      <w:r w:rsidR="00F008DF">
        <w:rPr>
          <w:rFonts w:eastAsia="Calibri"/>
          <w:bCs w:val="0"/>
        </w:rPr>
        <w:t>d</w:t>
      </w:r>
      <w:r w:rsidR="00DB3A74" w:rsidRPr="00295FB9">
        <w:rPr>
          <w:rFonts w:eastAsia="Calibri"/>
          <w:bCs w:val="0"/>
        </w:rPr>
        <w:t>aily CO</w:t>
      </w:r>
      <w:r w:rsidR="00DB3A74" w:rsidRPr="00295FB9">
        <w:rPr>
          <w:rFonts w:eastAsia="Calibri"/>
          <w:bCs w:val="0"/>
          <w:vertAlign w:val="subscript"/>
        </w:rPr>
        <w:t>2</w:t>
      </w:r>
      <w:r w:rsidR="00DB3A74" w:rsidRPr="00295FB9">
        <w:rPr>
          <w:rFonts w:eastAsia="Calibri"/>
          <w:bCs w:val="0"/>
        </w:rPr>
        <w:t xml:space="preserve"> </w:t>
      </w:r>
      <w:r w:rsidR="00F008DF">
        <w:rPr>
          <w:rFonts w:eastAsia="Calibri"/>
          <w:bCs w:val="0"/>
        </w:rPr>
        <w:t>e</w:t>
      </w:r>
      <w:r w:rsidR="00DB3A74" w:rsidRPr="00295FB9">
        <w:rPr>
          <w:rFonts w:eastAsia="Calibri"/>
          <w:bCs w:val="0"/>
        </w:rPr>
        <w:t xml:space="preserve">missions and </w:t>
      </w:r>
      <w:r w:rsidR="00F008DF">
        <w:rPr>
          <w:rFonts w:eastAsia="Calibri"/>
          <w:bCs w:val="0"/>
        </w:rPr>
        <w:t>c</w:t>
      </w:r>
      <w:r w:rsidR="00DB3A74" w:rsidRPr="00295FB9">
        <w:rPr>
          <w:rFonts w:eastAsia="Calibri"/>
          <w:bCs w:val="0"/>
        </w:rPr>
        <w:t xml:space="preserve">umulative </w:t>
      </w:r>
      <w:r w:rsidR="00F008DF">
        <w:rPr>
          <w:rFonts w:eastAsia="Calibri"/>
          <w:bCs w:val="0"/>
        </w:rPr>
        <w:t>r</w:t>
      </w:r>
      <w:r w:rsidR="00DB3A74" w:rsidRPr="00295FB9">
        <w:rPr>
          <w:rFonts w:eastAsia="Calibri"/>
          <w:bCs w:val="0"/>
        </w:rPr>
        <w:t xml:space="preserve">eduction in </w:t>
      </w:r>
      <w:r w:rsidR="00F008DF">
        <w:rPr>
          <w:rFonts w:eastAsia="Calibri"/>
          <w:bCs w:val="0"/>
        </w:rPr>
        <w:t>f</w:t>
      </w:r>
      <w:r w:rsidR="00DB3A74" w:rsidRPr="00295FB9">
        <w:rPr>
          <w:rFonts w:eastAsia="Calibri"/>
          <w:bCs w:val="0"/>
        </w:rPr>
        <w:t>ossil CO</w:t>
      </w:r>
      <w:r w:rsidR="00DB3A74" w:rsidRPr="00295FB9">
        <w:rPr>
          <w:rFonts w:eastAsia="Calibri"/>
          <w:bCs w:val="0"/>
          <w:vertAlign w:val="subscript"/>
        </w:rPr>
        <w:t>2</w:t>
      </w:r>
      <w:r w:rsidR="00DB3A74" w:rsidRPr="00295FB9">
        <w:rPr>
          <w:rFonts w:eastAsia="Calibri"/>
          <w:bCs w:val="0"/>
        </w:rPr>
        <w:t xml:space="preserve"> </w:t>
      </w:r>
      <w:r w:rsidR="00F008DF">
        <w:rPr>
          <w:rFonts w:eastAsia="Calibri"/>
          <w:bCs w:val="0"/>
        </w:rPr>
        <w:t>e</w:t>
      </w:r>
      <w:r w:rsidR="00DB3A74" w:rsidRPr="00295FB9">
        <w:rPr>
          <w:rFonts w:eastAsia="Calibri"/>
          <w:bCs w:val="0"/>
        </w:rPr>
        <w:t>missions in</w:t>
      </w:r>
      <w:r w:rsidR="00D2356F">
        <w:rPr>
          <w:rFonts w:eastAsia="Calibri"/>
          <w:bCs w:val="0"/>
        </w:rPr>
        <w:t xml:space="preserve"> </w:t>
      </w:r>
      <w:r w:rsidR="00DB3A74" w:rsidRPr="00295FB9">
        <w:rPr>
          <w:rFonts w:eastAsia="Calibri"/>
          <w:bCs w:val="0"/>
        </w:rPr>
        <w:t>Massachusetts (MMT</w:t>
      </w:r>
      <w:bookmarkEnd w:id="752"/>
      <w:r w:rsidR="00DB3A74" w:rsidRPr="00295FB9">
        <w:rPr>
          <w:rFonts w:eastAsia="Calibri"/>
          <w:bCs w:val="0"/>
        </w:rPr>
        <w:t>)</w:t>
      </w:r>
      <w:bookmarkEnd w:id="753"/>
      <w:r w:rsidR="00DB3A74" w:rsidRPr="00DB3A74">
        <w:rPr>
          <w:rFonts w:eastAsia="Calibri"/>
          <w:b w:val="0"/>
          <w:bCs w:val="0"/>
        </w:rPr>
        <w:t xml:space="preserve"> </w:t>
      </w:r>
    </w:p>
    <w:p w:rsidR="00DB3A74" w:rsidRPr="00DB3A74" w:rsidRDefault="00DB3A74" w:rsidP="00E87B72">
      <w:pPr>
        <w:spacing w:after="0" w:line="240" w:lineRule="auto"/>
        <w:ind w:right="634"/>
        <w:rPr>
          <w:rFonts w:ascii="Calibri" w:eastAsia="Calibri" w:hAnsi="Calibri"/>
          <w:bCs/>
          <w:i/>
          <w:sz w:val="18"/>
          <w:szCs w:val="18"/>
        </w:rPr>
      </w:pPr>
      <w:r w:rsidRPr="00DB3A74">
        <w:rPr>
          <w:rFonts w:ascii="Calibri" w:eastAsia="Calibri" w:hAnsi="Calibri"/>
          <w:b/>
          <w:bCs/>
          <w:sz w:val="18"/>
          <w:szCs w:val="18"/>
        </w:rPr>
        <w:t>Note:</w:t>
      </w:r>
      <w:r w:rsidRPr="00DB3A74">
        <w:rPr>
          <w:rFonts w:ascii="Calibri" w:eastAsia="Calibri" w:hAnsi="Calibri"/>
          <w:bCs/>
          <w:sz w:val="18"/>
          <w:szCs w:val="18"/>
        </w:rPr>
        <w:t xml:space="preserve"> Decline in surface transportation emissions was the largest component in the peak decrease of 32% across the U.S. in April 2020.</w:t>
      </w:r>
    </w:p>
    <w:p w:rsidR="00DB3A74" w:rsidRPr="00DB3A74" w:rsidRDefault="00DB3A74" w:rsidP="00E87B72">
      <w:pPr>
        <w:spacing w:after="120" w:line="240" w:lineRule="auto"/>
        <w:ind w:right="634"/>
        <w:rPr>
          <w:rFonts w:ascii="Calibri" w:eastAsia="Calibri" w:hAnsi="Calibri"/>
          <w:bCs/>
          <w:sz w:val="18"/>
          <w:szCs w:val="18"/>
        </w:rPr>
      </w:pPr>
      <w:r w:rsidRPr="00DB3A74">
        <w:rPr>
          <w:rFonts w:ascii="Calibri" w:eastAsia="Calibri" w:hAnsi="Calibri"/>
          <w:b/>
          <w:bCs/>
          <w:sz w:val="18"/>
          <w:szCs w:val="18"/>
        </w:rPr>
        <w:t>Source</w:t>
      </w:r>
      <w:r w:rsidRPr="00DB3A74">
        <w:rPr>
          <w:rFonts w:ascii="Calibri" w:eastAsia="Calibri" w:hAnsi="Calibri"/>
          <w:bCs/>
          <w:sz w:val="18"/>
          <w:szCs w:val="18"/>
        </w:rPr>
        <w:t xml:space="preserve">: Matt Jones, Senior Research Associate, Tyndall Centre for Climate Change Research, School of Environmental Sciences, University of East Anglia, </w:t>
      </w:r>
      <w:hyperlink r:id="rId330" w:history="1">
        <w:r w:rsidRPr="004B6FB7">
          <w:rPr>
            <w:rStyle w:val="Hyperlink"/>
            <w:rFonts w:asciiTheme="minorHAnsi" w:hAnsiTheme="minorHAnsi" w:cstheme="minorHAnsi"/>
            <w:sz w:val="18"/>
          </w:rPr>
          <w:t>Temporary reduction in daily global CO2 emissions during the COVID-19 forced confinement</w:t>
        </w:r>
      </w:hyperlink>
      <w:r w:rsidRPr="00DB3A74">
        <w:rPr>
          <w:rFonts w:ascii="Calibri" w:eastAsia="Calibri" w:hAnsi="Calibri"/>
          <w:bCs/>
          <w:sz w:val="18"/>
          <w:szCs w:val="18"/>
        </w:rPr>
        <w:t xml:space="preserve">. (Charts available for all states). </w:t>
      </w:r>
    </w:p>
    <w:p w:rsidR="00DB3A74" w:rsidRPr="00DB3A74" w:rsidRDefault="00D37EB1" w:rsidP="00DB3A74">
      <w:pPr>
        <w:rPr>
          <w:rFonts w:eastAsia="Calibri"/>
        </w:rPr>
      </w:pPr>
      <w:hyperlink w:anchor="Figure_6_4" w:history="1">
        <w:r w:rsidR="00DB3A74" w:rsidRPr="007267D2">
          <w:rPr>
            <w:rStyle w:val="Hyperlink"/>
            <w:rFonts w:eastAsia="Calibri"/>
          </w:rPr>
          <w:t>Figure 6-4</w:t>
        </w:r>
      </w:hyperlink>
      <w:r w:rsidR="00DB3A74" w:rsidRPr="00DB3A74">
        <w:rPr>
          <w:rFonts w:eastAsia="Calibri"/>
        </w:rPr>
        <w:t xml:space="preserve"> </w:t>
      </w:r>
      <w:r w:rsidR="00825C4B">
        <w:rPr>
          <w:rFonts w:eastAsia="Calibri"/>
        </w:rPr>
        <w:t xml:space="preserve">and </w:t>
      </w:r>
      <w:hyperlink w:anchor="Figure_6_5" w:history="1">
        <w:r w:rsidR="00825C4B" w:rsidRPr="00825C4B">
          <w:rPr>
            <w:rStyle w:val="Hyperlink"/>
            <w:rFonts w:eastAsia="Calibri"/>
          </w:rPr>
          <w:t>Figure 6-5</w:t>
        </w:r>
      </w:hyperlink>
      <w:r w:rsidR="00825C4B">
        <w:rPr>
          <w:rFonts w:eastAsia="Calibri"/>
        </w:rPr>
        <w:t xml:space="preserve"> s</w:t>
      </w:r>
      <w:r w:rsidR="00DB3A74" w:rsidRPr="00DB3A74">
        <w:rPr>
          <w:rFonts w:eastAsia="Calibri"/>
        </w:rPr>
        <w:t>how</w:t>
      </w:r>
      <w:r w:rsidR="00825C4B">
        <w:rPr>
          <w:rFonts w:eastAsia="Calibri"/>
        </w:rPr>
        <w:t xml:space="preserve"> </w:t>
      </w:r>
      <w:r w:rsidR="00DB3A74" w:rsidRPr="00DB3A74">
        <w:rPr>
          <w:rFonts w:eastAsia="Calibri"/>
        </w:rPr>
        <w:t>the change in estimated daily carbon dioxide (CO</w:t>
      </w:r>
      <w:r w:rsidR="00DB3A74" w:rsidRPr="00DB3A74">
        <w:rPr>
          <w:rFonts w:eastAsia="Calibri"/>
          <w:vertAlign w:val="subscript"/>
        </w:rPr>
        <w:t>2</w:t>
      </w:r>
      <w:r w:rsidR="00DB3A74" w:rsidRPr="00DB3A74">
        <w:rPr>
          <w:rFonts w:eastAsia="Calibri"/>
        </w:rPr>
        <w:t>) emissions in New England, with modest declines in power generation, ~9,000 metric</w:t>
      </w:r>
      <w:r w:rsidR="007267D2">
        <w:rPr>
          <w:rFonts w:eastAsia="Calibri"/>
        </w:rPr>
        <w:t xml:space="preserve"> tons in April 2020.  This is </w:t>
      </w:r>
      <w:r w:rsidR="00DB3A74" w:rsidRPr="00DB3A74">
        <w:rPr>
          <w:rFonts w:eastAsia="Calibri"/>
        </w:rPr>
        <w:t>a change of -0.42% in total 2020 estimated power system CO</w:t>
      </w:r>
      <w:r w:rsidR="00DB3A74" w:rsidRPr="00DB3A74">
        <w:rPr>
          <w:rFonts w:eastAsia="Calibri"/>
          <w:vertAlign w:val="subscript"/>
        </w:rPr>
        <w:t>2</w:t>
      </w:r>
      <w:r w:rsidR="00DB3A74" w:rsidRPr="00DB3A74">
        <w:rPr>
          <w:rFonts w:eastAsia="Calibri"/>
        </w:rPr>
        <w:t xml:space="preserve"> emissions of 21.4 </w:t>
      </w:r>
      <w:r w:rsidR="007267D2">
        <w:t>million metric tons (</w:t>
      </w:r>
      <w:r w:rsidR="00DB3A74" w:rsidRPr="00DB3A74">
        <w:rPr>
          <w:rFonts w:eastAsia="Calibri"/>
        </w:rPr>
        <w:t>MMT)</w:t>
      </w:r>
      <w:r w:rsidR="002F4A79">
        <w:rPr>
          <w:rFonts w:eastAsia="Calibri"/>
        </w:rPr>
        <w:t>.</w:t>
      </w:r>
      <w:r w:rsidR="00A44DDC">
        <w:rPr>
          <w:rFonts w:eastAsia="Calibri"/>
        </w:rPr>
        <w:t xml:space="preserve"> </w:t>
      </w:r>
      <w:r w:rsidR="002F4A79">
        <w:rPr>
          <w:rFonts w:eastAsia="Calibri"/>
        </w:rPr>
        <w:t>Emissions</w:t>
      </w:r>
      <w:r w:rsidR="00DB3A74" w:rsidRPr="00DB3A74">
        <w:rPr>
          <w:rFonts w:eastAsia="Calibri"/>
        </w:rPr>
        <w:t xml:space="preserve"> recovered to levels seen in spring 2019 by June 2020</w:t>
      </w:r>
      <w:r w:rsidR="002F4A79">
        <w:rPr>
          <w:rFonts w:eastAsia="Calibri"/>
        </w:rPr>
        <w:t>, unlike the</w:t>
      </w:r>
      <w:r w:rsidR="00DB3A74" w:rsidRPr="00DB3A74">
        <w:rPr>
          <w:rFonts w:eastAsia="Calibri"/>
        </w:rPr>
        <w:t xml:space="preserve"> larger declines in surface transportation and industrial sectors.</w:t>
      </w:r>
    </w:p>
    <w:p w:rsidR="00DB3A74" w:rsidRPr="00DB3A74" w:rsidRDefault="00DB3A74" w:rsidP="002B2229">
      <w:pPr>
        <w:pStyle w:val="Heading2"/>
        <w:rPr>
          <w:rFonts w:eastAsia="Times New Roman"/>
        </w:rPr>
      </w:pPr>
      <w:bookmarkStart w:id="754" w:name="_Toc81544587"/>
      <w:r w:rsidRPr="00DB3A74">
        <w:rPr>
          <w:rFonts w:eastAsia="Times New Roman"/>
        </w:rPr>
        <w:t>Renewable Portfolio Standards</w:t>
      </w:r>
      <w:bookmarkEnd w:id="746"/>
      <w:bookmarkEnd w:id="747"/>
      <w:bookmarkEnd w:id="754"/>
    </w:p>
    <w:p w:rsidR="00DB3A74" w:rsidRPr="00DB3A74" w:rsidRDefault="00DB3A74" w:rsidP="00DB3A74">
      <w:pPr>
        <w:rPr>
          <w:rFonts w:eastAsia="Calibri"/>
          <w:color w:val="000000"/>
        </w:rPr>
      </w:pPr>
      <w:r w:rsidRPr="00DB3A74">
        <w:rPr>
          <w:rFonts w:eastAsia="Calibri"/>
        </w:rPr>
        <w:t>The New England states continue to pursue a range of policies to increase the deployment of renewable energy and distributed resources. Renewable Portfolio Standards (RPSs) are stat</w:t>
      </w:r>
      <w:r w:rsidRPr="00DB3A74">
        <w:rPr>
          <w:rFonts w:eastAsia="Calibri"/>
          <w:szCs w:val="18"/>
        </w:rPr>
        <w:t xml:space="preserve">e policy targets for load-serving entities (LSEs) in that state to meet the future demand for electric energy using renewable energy resources. </w:t>
      </w:r>
      <w:r w:rsidRPr="00DB3A74">
        <w:rPr>
          <w:rFonts w:eastAsia="Calibri"/>
        </w:rPr>
        <w:t xml:space="preserve">All six New England states have RPS targets for the proportion of electric energy that LSEs must provide using renewable resources. </w:t>
      </w:r>
      <w:r w:rsidR="004D53DD" w:rsidRPr="004B6FB7">
        <w:rPr>
          <w:rFonts w:eastAsia="Calibri"/>
          <w:color w:val="0070C0"/>
          <w:u w:val="single"/>
        </w:rPr>
        <w:fldChar w:fldCharType="begin"/>
      </w:r>
      <w:r w:rsidR="004D53DD" w:rsidRPr="004B6FB7">
        <w:rPr>
          <w:rFonts w:eastAsia="Calibri"/>
          <w:color w:val="0070C0"/>
          <w:u w:val="single"/>
        </w:rPr>
        <w:instrText xml:space="preserve"> REF _Ref77582814 \h </w:instrText>
      </w:r>
      <w:r w:rsidR="004D53DD" w:rsidRPr="004B6FB7">
        <w:rPr>
          <w:rFonts w:eastAsia="Calibri"/>
          <w:color w:val="0070C0"/>
          <w:u w:val="single"/>
        </w:rPr>
      </w:r>
      <w:r w:rsidR="004D53DD" w:rsidRPr="004B6FB7">
        <w:rPr>
          <w:rFonts w:eastAsia="Calibri"/>
          <w:color w:val="0070C0"/>
          <w:u w:val="single"/>
        </w:rPr>
        <w:fldChar w:fldCharType="separate"/>
      </w:r>
      <w:r w:rsidR="004D53DD" w:rsidRPr="004B6FB7">
        <w:rPr>
          <w:color w:val="0070C0"/>
          <w:u w:val="single"/>
        </w:rPr>
        <w:t xml:space="preserve">Figure </w:t>
      </w:r>
      <w:r w:rsidR="004D53DD" w:rsidRPr="004B6FB7">
        <w:rPr>
          <w:noProof/>
          <w:color w:val="0070C0"/>
          <w:u w:val="single"/>
        </w:rPr>
        <w:t>6</w:t>
      </w:r>
      <w:r w:rsidR="004D53DD" w:rsidRPr="004B6FB7">
        <w:rPr>
          <w:color w:val="0070C0"/>
          <w:u w:val="single"/>
        </w:rPr>
        <w:noBreakHyphen/>
      </w:r>
      <w:r w:rsidR="004D53DD" w:rsidRPr="004B6FB7">
        <w:rPr>
          <w:noProof/>
          <w:color w:val="0070C0"/>
          <w:u w:val="single"/>
        </w:rPr>
        <w:t>6</w:t>
      </w:r>
      <w:r w:rsidR="004D53DD" w:rsidRPr="004B6FB7">
        <w:rPr>
          <w:rFonts w:eastAsia="Calibri"/>
          <w:color w:val="0070C0"/>
          <w:u w:val="single"/>
        </w:rPr>
        <w:fldChar w:fldCharType="end"/>
      </w:r>
      <w:r w:rsidRPr="00DB3A74">
        <w:rPr>
          <w:rFonts w:eastAsia="Calibri"/>
        </w:rPr>
        <w:t>, shows estimated total renewable electricity generation or renewable energy certificates (RECs) required to meet all New England RPS targets in each year, from 2021 to 2050 including any contributions from existing facilities. (Note the ambitious increase in total RPS estimated generation and REC production between 2016 enacted targets (blue line) and 2021 enacted targets (red line).)</w:t>
      </w:r>
    </w:p>
    <w:p w:rsidR="00DB3A74" w:rsidRPr="00DB3A74" w:rsidRDefault="00DB3A74" w:rsidP="00DB3A74">
      <w:pPr>
        <w:rPr>
          <w:rFonts w:eastAsia="Calibri"/>
        </w:rPr>
      </w:pPr>
      <w:bookmarkStart w:id="755" w:name="Figure_6_5_top"/>
      <w:r w:rsidRPr="00DB3A74">
        <w:rPr>
          <w:rFonts w:eastAsia="Calibri"/>
          <w:noProof/>
        </w:rPr>
        <w:drawing>
          <wp:inline distT="0" distB="0" distL="0" distR="0" wp14:anchorId="41624510" wp14:editId="72005AD7">
            <wp:extent cx="5953125" cy="3489960"/>
            <wp:effectExtent l="0" t="0" r="9525" b="15240"/>
            <wp:docPr id="3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bookmarkEnd w:id="755"/>
    </w:p>
    <w:p w:rsidR="00DB3A74" w:rsidRPr="00DB3A74" w:rsidRDefault="00E87B72" w:rsidP="001D69A5">
      <w:pPr>
        <w:pStyle w:val="Caption"/>
        <w:jc w:val="left"/>
        <w:rPr>
          <w:rFonts w:eastAsia="Calibri"/>
        </w:rPr>
      </w:pPr>
      <w:bookmarkStart w:id="756" w:name="_Ref77582814"/>
      <w:bookmarkStart w:id="757" w:name="Figure_6_5"/>
      <w:bookmarkStart w:id="758" w:name="_Ref77582298"/>
      <w:bookmarkStart w:id="759" w:name="_Toc81544618"/>
      <w:r>
        <w:t xml:space="preserve">Figure </w:t>
      </w:r>
      <w:fldSimple w:instr=" STYLEREF 1 \s ">
        <w:r w:rsidR="00F85E49">
          <w:rPr>
            <w:noProof/>
          </w:rPr>
          <w:t>6</w:t>
        </w:r>
      </w:fldSimple>
      <w:r w:rsidR="00F85E49">
        <w:noBreakHyphen/>
      </w:r>
      <w:fldSimple w:instr=" SEQ Figure \* ARABIC \s 1 ">
        <w:r w:rsidR="00F85E49">
          <w:rPr>
            <w:noProof/>
          </w:rPr>
          <w:t>6</w:t>
        </w:r>
      </w:fldSimple>
      <w:bookmarkEnd w:id="756"/>
      <w:bookmarkEnd w:id="757"/>
      <w:r w:rsidR="00DB3A74" w:rsidRPr="00295FB9">
        <w:rPr>
          <w:rFonts w:eastAsia="Calibri"/>
          <w:bCs w:val="0"/>
        </w:rPr>
        <w:t xml:space="preserve">: New England RPSs </w:t>
      </w:r>
      <w:r w:rsidR="00D2356F">
        <w:rPr>
          <w:rFonts w:eastAsia="Calibri"/>
          <w:bCs w:val="0"/>
        </w:rPr>
        <w:t>a</w:t>
      </w:r>
      <w:r w:rsidR="00DB3A74" w:rsidRPr="00295FB9">
        <w:rPr>
          <w:rFonts w:eastAsia="Calibri"/>
          <w:bCs w:val="0"/>
        </w:rPr>
        <w:t xml:space="preserve">nnual </w:t>
      </w:r>
      <w:r w:rsidR="00D2356F">
        <w:rPr>
          <w:rFonts w:eastAsia="Calibri"/>
          <w:bCs w:val="0"/>
        </w:rPr>
        <w:t>d</w:t>
      </w:r>
      <w:r w:rsidR="00DB3A74" w:rsidRPr="00295FB9">
        <w:rPr>
          <w:rFonts w:eastAsia="Calibri"/>
          <w:bCs w:val="0"/>
        </w:rPr>
        <w:t xml:space="preserve">emand </w:t>
      </w:r>
      <w:r w:rsidR="00D2356F">
        <w:rPr>
          <w:rFonts w:eastAsia="Calibri"/>
          <w:bCs w:val="0"/>
        </w:rPr>
        <w:t>p</w:t>
      </w:r>
      <w:r w:rsidR="00DB3A74" w:rsidRPr="00295FB9">
        <w:rPr>
          <w:rFonts w:eastAsia="Calibri"/>
          <w:bCs w:val="0"/>
        </w:rPr>
        <w:t>rojections (GWh)</w:t>
      </w:r>
      <w:bookmarkEnd w:id="758"/>
      <w:bookmarkEnd w:id="759"/>
    </w:p>
    <w:p w:rsidR="00DB3A74" w:rsidRPr="00DB3A74" w:rsidRDefault="00DB3A74" w:rsidP="00DB3A74">
      <w:pPr>
        <w:spacing w:after="0" w:line="240" w:lineRule="auto"/>
        <w:rPr>
          <w:rFonts w:ascii="Calibri" w:eastAsia="Calibri" w:hAnsi="Calibri"/>
          <w:sz w:val="18"/>
        </w:rPr>
      </w:pPr>
      <w:r w:rsidRPr="00DB3A74">
        <w:rPr>
          <w:rFonts w:ascii="Calibri" w:eastAsia="Calibri" w:hAnsi="Calibri" w:cs="Calibri"/>
          <w:b/>
          <w:sz w:val="18"/>
        </w:rPr>
        <w:t>Note</w:t>
      </w:r>
      <w:r w:rsidRPr="00DB3A74">
        <w:rPr>
          <w:rFonts w:ascii="Calibri" w:eastAsia="Calibri" w:hAnsi="Calibri" w:cs="Calibri"/>
          <w:sz w:val="18"/>
        </w:rPr>
        <w:t>: RPS demand projections are an estimate of the total amount of renewable electricity generation or RECs required to meet RPS targets in each year, including any contributions from existing facilities. The actual quantity of renewable energy or RECs procured or produced in any given year by entities with RPS obligations may be more or less than the RPS demand for various reasons, including over- or under-compliance with the targets, application of banked RECs, and renewable energy purchases for purposes other than meeting RPS requirements</w:t>
      </w:r>
      <w:r w:rsidRPr="00DB3A74">
        <w:rPr>
          <w:rFonts w:ascii="Calibri" w:eastAsia="Calibri" w:hAnsi="Calibri"/>
          <w:sz w:val="18"/>
        </w:rPr>
        <w:t>.</w:t>
      </w:r>
    </w:p>
    <w:p w:rsidR="00DB3A74" w:rsidRPr="00DB3A74" w:rsidRDefault="00DB3A74" w:rsidP="00DB3A74">
      <w:pPr>
        <w:spacing w:line="240" w:lineRule="auto"/>
        <w:rPr>
          <w:rFonts w:eastAsia="Calibri"/>
        </w:rPr>
      </w:pPr>
      <w:r w:rsidRPr="00DB3A74">
        <w:rPr>
          <w:rFonts w:ascii="Calibri" w:eastAsia="Calibri" w:hAnsi="Calibri"/>
          <w:b/>
          <w:sz w:val="18"/>
        </w:rPr>
        <w:t>Source</w:t>
      </w:r>
      <w:r w:rsidRPr="00DB3A74">
        <w:rPr>
          <w:rFonts w:ascii="Calibri" w:eastAsia="Calibri" w:hAnsi="Calibri"/>
          <w:sz w:val="18"/>
        </w:rPr>
        <w:t xml:space="preserve">: Lawrence Berkeley National Laboratory, </w:t>
      </w:r>
      <w:hyperlink r:id="rId332" w:history="1">
        <w:r w:rsidRPr="004B6FB7">
          <w:rPr>
            <w:rStyle w:val="Hyperlink"/>
            <w:rFonts w:asciiTheme="minorHAnsi" w:hAnsiTheme="minorHAnsi" w:cstheme="minorHAnsi"/>
            <w:sz w:val="18"/>
          </w:rPr>
          <w:t>RPS Demand Projections, based on State RPS mandates</w:t>
        </w:r>
      </w:hyperlink>
      <w:r w:rsidRPr="00DB3A74">
        <w:rPr>
          <w:rFonts w:ascii="Calibri" w:eastAsia="Calibri" w:hAnsi="Calibri"/>
          <w:sz w:val="18"/>
        </w:rPr>
        <w:t xml:space="preserve"> (last updated February 2021).</w:t>
      </w:r>
    </w:p>
    <w:p w:rsidR="00DB3A74" w:rsidRPr="00DB3A74" w:rsidRDefault="00DB3A74" w:rsidP="00DB3A74">
      <w:pPr>
        <w:rPr>
          <w:rFonts w:eastAsia="Calibri"/>
          <w:color w:val="000000"/>
        </w:rPr>
      </w:pPr>
      <w:r w:rsidRPr="00DB3A74">
        <w:rPr>
          <w:rFonts w:eastAsia="Calibri"/>
        </w:rPr>
        <w:t>State RPS policies typically include resource classes for new and existing resources. The targets for existing resources increase the overall requirements over the resource classes or requirements for new resources only.</w:t>
      </w:r>
    </w:p>
    <w:p w:rsidR="00DB3A74" w:rsidRPr="00DB3A74" w:rsidRDefault="00D37EB1" w:rsidP="00DB3A74">
      <w:pPr>
        <w:rPr>
          <w:rFonts w:eastAsia="Calibri"/>
        </w:rPr>
      </w:pPr>
      <w:hyperlink w:anchor="Figure_6_6_top" w:history="1">
        <w:r w:rsidR="00101F74" w:rsidRPr="00101F74">
          <w:rPr>
            <w:rStyle w:val="Hyperlink"/>
            <w:rFonts w:eastAsia="Calibri"/>
          </w:rPr>
          <w:t>Figure 6-6</w:t>
        </w:r>
      </w:hyperlink>
      <w:r w:rsidR="00101F74">
        <w:rPr>
          <w:rFonts w:eastAsia="Calibri"/>
        </w:rPr>
        <w:t xml:space="preserve"> </w:t>
      </w:r>
      <w:r w:rsidR="00E87B72">
        <w:rPr>
          <w:rFonts w:eastAsia="Calibri"/>
        </w:rPr>
        <w:t xml:space="preserve">and </w:t>
      </w:r>
      <w:r w:rsidR="001D2A17" w:rsidRPr="004B6FB7">
        <w:rPr>
          <w:rFonts w:eastAsia="Calibri"/>
          <w:color w:val="0070C0"/>
          <w:u w:val="single"/>
        </w:rPr>
        <w:fldChar w:fldCharType="begin"/>
      </w:r>
      <w:r w:rsidR="001D2A17" w:rsidRPr="004B6FB7">
        <w:rPr>
          <w:rFonts w:eastAsia="Calibri"/>
          <w:color w:val="0070C0"/>
          <w:u w:val="single"/>
        </w:rPr>
        <w:instrText xml:space="preserve"> REF _Ref77582359 \h </w:instrText>
      </w:r>
      <w:r w:rsidR="001D2A17" w:rsidRPr="004B6FB7">
        <w:rPr>
          <w:rFonts w:eastAsia="Calibri"/>
          <w:color w:val="0070C0"/>
          <w:u w:val="single"/>
        </w:rPr>
      </w:r>
      <w:r w:rsidR="001D2A17" w:rsidRPr="004B6FB7">
        <w:rPr>
          <w:rFonts w:eastAsia="Calibri"/>
          <w:color w:val="0070C0"/>
          <w:u w:val="single"/>
        </w:rPr>
        <w:fldChar w:fldCharType="separate"/>
      </w:r>
      <w:r w:rsidR="001D2A17" w:rsidRPr="004B6FB7">
        <w:rPr>
          <w:color w:val="0070C0"/>
          <w:u w:val="single"/>
        </w:rPr>
        <w:t xml:space="preserve">Figure </w:t>
      </w:r>
      <w:r w:rsidR="001D2A17" w:rsidRPr="004B6FB7">
        <w:rPr>
          <w:noProof/>
          <w:color w:val="0070C0"/>
          <w:u w:val="single"/>
        </w:rPr>
        <w:t>6</w:t>
      </w:r>
      <w:r w:rsidR="001D2A17" w:rsidRPr="004B6FB7">
        <w:rPr>
          <w:color w:val="0070C0"/>
          <w:u w:val="single"/>
        </w:rPr>
        <w:noBreakHyphen/>
      </w:r>
      <w:r w:rsidR="001D2A17" w:rsidRPr="004B6FB7">
        <w:rPr>
          <w:noProof/>
          <w:color w:val="0070C0"/>
          <w:u w:val="single"/>
        </w:rPr>
        <w:t>7</w:t>
      </w:r>
      <w:r w:rsidR="001D2A17" w:rsidRPr="004B6FB7">
        <w:rPr>
          <w:rFonts w:eastAsia="Calibri"/>
          <w:color w:val="0070C0"/>
          <w:u w:val="single"/>
        </w:rPr>
        <w:fldChar w:fldCharType="end"/>
      </w:r>
      <w:r w:rsidR="004D53DD">
        <w:rPr>
          <w:rFonts w:eastAsia="Calibri"/>
        </w:rPr>
        <w:t xml:space="preserve"> </w:t>
      </w:r>
      <w:r w:rsidR="00101F74">
        <w:rPr>
          <w:rFonts w:eastAsia="Calibri"/>
        </w:rPr>
        <w:t>s</w:t>
      </w:r>
      <w:r w:rsidR="00DB3A74" w:rsidRPr="00DB3A74">
        <w:rPr>
          <w:rFonts w:eastAsia="Calibri"/>
        </w:rPr>
        <w:t xml:space="preserve">how the RPS for each New England state for total renewable energy. Individual state RPS targets for 2021 range from requiring 10% to 59% of the energy LSEs procure to be from renewable resources, which has driven new proposals for renewable energy. This trend is expected to continue as state targets increase incrementally </w:t>
      </w:r>
      <w:r w:rsidR="002F4A79">
        <w:rPr>
          <w:rFonts w:eastAsia="Calibri"/>
        </w:rPr>
        <w:t>through</w:t>
      </w:r>
      <w:r w:rsidR="00DB3A74" w:rsidRPr="00DB3A74">
        <w:rPr>
          <w:rFonts w:eastAsia="Calibri"/>
        </w:rPr>
        <w:t xml:space="preserve"> the middle of the century. All states have, or are considering, RPS targets that extend to 2050 and beyond, and some states are considering either raising their requirements or accelerating them further. Massachusetts is implementing a Clean Peak Energy Standard that requires local LSEs to obtain electric energy during seasonal peak periods from qualified new renewable, energy-storage, or demand-response resources, and Maine is enacting a new RPS goal to increase Class 1 to 50% by 2030.</w:t>
      </w:r>
      <w:r w:rsidR="00DB3A74" w:rsidRPr="00DB3A74">
        <w:rPr>
          <w:rFonts w:eastAsia="Calibri"/>
          <w:vertAlign w:val="superscript"/>
        </w:rPr>
        <w:footnoteReference w:id="141"/>
      </w:r>
      <w:r w:rsidR="00DB3A74" w:rsidRPr="00DB3A74">
        <w:rPr>
          <w:rFonts w:eastAsia="Calibri"/>
          <w:vertAlign w:val="superscript"/>
        </w:rPr>
        <w:t xml:space="preserve"> </w:t>
      </w:r>
      <w:r w:rsidR="00DB3A74" w:rsidRPr="00DB3A74">
        <w:rPr>
          <w:rFonts w:eastAsia="Calibri"/>
        </w:rPr>
        <w:t>The wide range of RPS percentage targets results from the varying definitions of renewable resources by each New England state.</w:t>
      </w:r>
    </w:p>
    <w:p w:rsidR="00DB3A74" w:rsidRPr="00DB3A74" w:rsidRDefault="00DB3A74" w:rsidP="00DB3A74">
      <w:pPr>
        <w:rPr>
          <w:rFonts w:eastAsia="Calibri"/>
        </w:rPr>
      </w:pPr>
    </w:p>
    <w:p w:rsidR="00DB3A74" w:rsidRPr="00DB3A74" w:rsidRDefault="00DB3A74" w:rsidP="00DB3A74">
      <w:pPr>
        <w:rPr>
          <w:rFonts w:eastAsia="Calibri"/>
        </w:rPr>
      </w:pPr>
      <w:bookmarkStart w:id="760" w:name="Figure_6_6_top"/>
      <w:r w:rsidRPr="00DB3A74">
        <w:rPr>
          <w:rFonts w:eastAsia="Calibri"/>
          <w:noProof/>
        </w:rPr>
        <w:drawing>
          <wp:inline distT="0" distB="0" distL="0" distR="0" wp14:anchorId="12A9D6C1" wp14:editId="18A06C47">
            <wp:extent cx="5953125" cy="2939415"/>
            <wp:effectExtent l="0" t="0" r="9525" b="13335"/>
            <wp:docPr id="3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bookmarkEnd w:id="760"/>
    </w:p>
    <w:p w:rsidR="00DB3A74" w:rsidRPr="00DB3A74" w:rsidRDefault="004D53DD" w:rsidP="001D69A5">
      <w:pPr>
        <w:pStyle w:val="Caption"/>
        <w:jc w:val="left"/>
        <w:rPr>
          <w:rFonts w:eastAsia="Calibri"/>
        </w:rPr>
      </w:pPr>
      <w:bookmarkStart w:id="761" w:name="_Ref77582359"/>
      <w:bookmarkStart w:id="762" w:name="_Ref10823996"/>
      <w:bookmarkStart w:id="763" w:name="_Toc81544619"/>
      <w:r>
        <w:t xml:space="preserve">Figure </w:t>
      </w:r>
      <w:fldSimple w:instr=" STYLEREF 1 \s ">
        <w:r w:rsidR="00F85E49">
          <w:rPr>
            <w:noProof/>
          </w:rPr>
          <w:t>6</w:t>
        </w:r>
      </w:fldSimple>
      <w:r w:rsidR="00F85E49">
        <w:noBreakHyphen/>
      </w:r>
      <w:fldSimple w:instr=" SEQ Figure \* ARABIC \s 1 ">
        <w:r w:rsidR="00F85E49">
          <w:rPr>
            <w:noProof/>
          </w:rPr>
          <w:t>7</w:t>
        </w:r>
      </w:fldSimple>
      <w:bookmarkEnd w:id="761"/>
      <w:bookmarkEnd w:id="762"/>
      <w:r w:rsidR="00DB3A74" w:rsidRPr="00295FB9">
        <w:rPr>
          <w:rFonts w:eastAsia="Calibri"/>
        </w:rPr>
        <w:t xml:space="preserve">: State RPS for Class I or </w:t>
      </w:r>
      <w:r w:rsidR="00D2356F">
        <w:rPr>
          <w:rFonts w:eastAsia="Calibri"/>
        </w:rPr>
        <w:t>n</w:t>
      </w:r>
      <w:r w:rsidR="00DB3A74" w:rsidRPr="00295FB9">
        <w:rPr>
          <w:rFonts w:eastAsia="Calibri"/>
        </w:rPr>
        <w:t xml:space="preserve">ew </w:t>
      </w:r>
      <w:r w:rsidR="00D2356F">
        <w:rPr>
          <w:rFonts w:eastAsia="Calibri"/>
        </w:rPr>
        <w:t>r</w:t>
      </w:r>
      <w:r w:rsidR="00DB3A74" w:rsidRPr="00295FB9">
        <w:rPr>
          <w:rFonts w:eastAsia="Calibri"/>
        </w:rPr>
        <w:t xml:space="preserve">enewable </w:t>
      </w:r>
      <w:r w:rsidR="00D2356F">
        <w:rPr>
          <w:rFonts w:eastAsia="Calibri"/>
        </w:rPr>
        <w:t>e</w:t>
      </w:r>
      <w:r w:rsidR="00DB3A74" w:rsidRPr="00295FB9">
        <w:rPr>
          <w:rFonts w:eastAsia="Calibri"/>
        </w:rPr>
        <w:t>nergy, 2020 to 2040</w:t>
      </w:r>
      <w:bookmarkEnd w:id="763"/>
    </w:p>
    <w:p w:rsidR="00DB3A74" w:rsidRPr="00DB3A74" w:rsidRDefault="00DB3A74" w:rsidP="00DB3A74">
      <w:pPr>
        <w:spacing w:after="0" w:line="240" w:lineRule="auto"/>
        <w:rPr>
          <w:rFonts w:ascii="Calibri" w:eastAsia="Times New Roman" w:hAnsi="Calibri"/>
          <w:color w:val="000000"/>
          <w:kern w:val="24"/>
          <w:sz w:val="18"/>
          <w:szCs w:val="18"/>
        </w:rPr>
      </w:pPr>
      <w:r w:rsidRPr="00DB3A74">
        <w:rPr>
          <w:rFonts w:ascii="Calibri" w:eastAsia="Times New Roman" w:hAnsi="Calibri"/>
          <w:b/>
          <w:color w:val="000000"/>
          <w:kern w:val="24"/>
          <w:sz w:val="18"/>
          <w:szCs w:val="18"/>
        </w:rPr>
        <w:t xml:space="preserve">Notes: </w:t>
      </w:r>
      <w:r w:rsidRPr="00DB3A74">
        <w:rPr>
          <w:rFonts w:ascii="Calibri" w:eastAsia="Times New Roman" w:hAnsi="Calibri"/>
          <w:color w:val="000000"/>
          <w:kern w:val="24"/>
          <w:sz w:val="18"/>
          <w:szCs w:val="18"/>
        </w:rPr>
        <w:t xml:space="preserve">State RPS requirements promote the development of renewable energy resources by requiring electricity providers (electric distribution companies and competitive suppliers) to serve a minimum percentage of their retail load using renewable energy. Vermont’s </w:t>
      </w:r>
      <w:r w:rsidR="0053760E">
        <w:rPr>
          <w:rFonts w:ascii="Calibri" w:eastAsia="Times New Roman" w:hAnsi="Calibri"/>
          <w:color w:val="000000"/>
          <w:kern w:val="24"/>
          <w:sz w:val="18"/>
          <w:szCs w:val="18"/>
        </w:rPr>
        <w:t>“</w:t>
      </w:r>
      <w:r w:rsidRPr="00DB3A74">
        <w:rPr>
          <w:rFonts w:ascii="Calibri" w:eastAsia="Times New Roman" w:hAnsi="Calibri"/>
          <w:color w:val="000000"/>
          <w:kern w:val="24"/>
          <w:sz w:val="18"/>
          <w:szCs w:val="18"/>
        </w:rPr>
        <w:t>total renewable energy” requirement plateaus at 75% in 2032; it recognizes all forms of new and existing renewable energy and is unique in classifying large-scale hydropower as renewable.</w:t>
      </w:r>
    </w:p>
    <w:p w:rsidR="00DB3A74" w:rsidRPr="00DB3A74" w:rsidRDefault="00DB3A74" w:rsidP="00DB3A74">
      <w:pPr>
        <w:spacing w:line="240" w:lineRule="auto"/>
        <w:rPr>
          <w:rFonts w:eastAsia="Times New Roman"/>
          <w:sz w:val="24"/>
          <w:szCs w:val="24"/>
        </w:rPr>
      </w:pPr>
      <w:r w:rsidRPr="00DB3A74">
        <w:rPr>
          <w:rFonts w:ascii="Calibri" w:eastAsia="Times New Roman" w:hAnsi="Calibri"/>
          <w:b/>
          <w:sz w:val="18"/>
          <w:szCs w:val="24"/>
        </w:rPr>
        <w:t>Source</w:t>
      </w:r>
      <w:r w:rsidRPr="00DB3A74">
        <w:rPr>
          <w:rFonts w:ascii="Calibri" w:eastAsia="Times New Roman" w:hAnsi="Calibri"/>
          <w:sz w:val="18"/>
          <w:szCs w:val="24"/>
        </w:rPr>
        <w:t xml:space="preserve">: Lawrence Berkeley National Laboratory, </w:t>
      </w:r>
      <w:hyperlink r:id="rId334" w:history="1">
        <w:r w:rsidRPr="004B6FB7">
          <w:rPr>
            <w:rStyle w:val="Hyperlink"/>
            <w:rFonts w:asciiTheme="minorHAnsi" w:hAnsiTheme="minorHAnsi" w:cstheme="minorHAnsi"/>
            <w:sz w:val="18"/>
          </w:rPr>
          <w:t>RPS Percentage Targets, based on State RPS mandates</w:t>
        </w:r>
      </w:hyperlink>
      <w:r w:rsidRPr="00DB3A74">
        <w:rPr>
          <w:rFonts w:ascii="Calibri" w:eastAsia="Times New Roman" w:hAnsi="Calibri"/>
          <w:sz w:val="18"/>
          <w:szCs w:val="24"/>
        </w:rPr>
        <w:t xml:space="preserve"> (last updated February 2021).</w:t>
      </w:r>
    </w:p>
    <w:p w:rsidR="00DB3A74" w:rsidRPr="00DB3A74" w:rsidRDefault="00DB3A74" w:rsidP="002B2229">
      <w:pPr>
        <w:pStyle w:val="Heading2"/>
        <w:rPr>
          <w:rFonts w:eastAsia="Times New Roman"/>
        </w:rPr>
      </w:pPr>
      <w:bookmarkStart w:id="764" w:name="_Ref11945552"/>
      <w:bookmarkStart w:id="765" w:name="_Ref10721434"/>
      <w:bookmarkStart w:id="766" w:name="_Toc81544588"/>
      <w:r w:rsidRPr="00DB3A74">
        <w:rPr>
          <w:rFonts w:eastAsia="Times New Roman"/>
        </w:rPr>
        <w:t xml:space="preserve">Regional </w:t>
      </w:r>
      <w:r w:rsidR="002B2229">
        <w:rPr>
          <w:rFonts w:eastAsia="Times New Roman"/>
        </w:rPr>
        <w:t>Emissions Trends and Compliance </w:t>
      </w:r>
      <w:r w:rsidRPr="00DB3A74">
        <w:rPr>
          <w:rFonts w:eastAsia="Times New Roman"/>
        </w:rPr>
        <w:t>Costs</w:t>
      </w:r>
      <w:bookmarkEnd w:id="764"/>
      <w:bookmarkEnd w:id="765"/>
      <w:bookmarkEnd w:id="766"/>
    </w:p>
    <w:p w:rsidR="00DB3A74" w:rsidRPr="00DB3A74" w:rsidRDefault="00DB3A74" w:rsidP="00DB3A74">
      <w:pPr>
        <w:rPr>
          <w:rFonts w:ascii="Calibri" w:eastAsia="Calibri" w:hAnsi="Calibri"/>
          <w:b/>
          <w:bCs/>
          <w:sz w:val="16"/>
          <w:szCs w:val="16"/>
        </w:rPr>
      </w:pPr>
      <w:r w:rsidRPr="00DB3A74">
        <w:rPr>
          <w:rFonts w:eastAsia="Calibri"/>
        </w:rPr>
        <w:t>New England emissions of carbon dioxide (CO</w:t>
      </w:r>
      <w:r w:rsidRPr="00DB3A74">
        <w:rPr>
          <w:rFonts w:eastAsia="Calibri"/>
          <w:vertAlign w:val="subscript"/>
        </w:rPr>
        <w:t>2</w:t>
      </w:r>
      <w:r w:rsidRPr="00DB3A74">
        <w:rPr>
          <w:rFonts w:eastAsia="Calibri"/>
        </w:rPr>
        <w:t>), nitrous oxide (NO</w:t>
      </w:r>
      <w:r w:rsidRPr="00DB3A74">
        <w:rPr>
          <w:rFonts w:eastAsia="Calibri"/>
          <w:vertAlign w:val="subscript"/>
        </w:rPr>
        <w:t>X</w:t>
      </w:r>
      <w:r w:rsidRPr="00DB3A74">
        <w:rPr>
          <w:rFonts w:eastAsia="Calibri"/>
        </w:rPr>
        <w:t>), and sulfur dioxide (SO</w:t>
      </w:r>
      <w:r w:rsidRPr="00DB3A74">
        <w:rPr>
          <w:rFonts w:eastAsia="Calibri"/>
          <w:vertAlign w:val="subscript"/>
        </w:rPr>
        <w:t>2</w:t>
      </w:r>
      <w:r w:rsidRPr="00DB3A74">
        <w:rPr>
          <w:rFonts w:eastAsia="Calibri"/>
        </w:rPr>
        <w:t>) from the region’s generators</w:t>
      </w:r>
      <w:r w:rsidR="002F4A79">
        <w:rPr>
          <w:rFonts w:eastAsia="Calibri"/>
        </w:rPr>
        <w:t>,</w:t>
      </w:r>
      <w:r w:rsidRPr="00DB3A74">
        <w:rPr>
          <w:rFonts w:eastAsia="Calibri"/>
        </w:rPr>
        <w:t xml:space="preserve"> </w:t>
      </w:r>
      <w:r w:rsidR="002F4A79">
        <w:rPr>
          <w:rFonts w:eastAsia="Calibri"/>
        </w:rPr>
        <w:t>along with</w:t>
      </w:r>
      <w:r w:rsidRPr="00DB3A74">
        <w:rPr>
          <w:rFonts w:eastAsia="Calibri"/>
        </w:rPr>
        <w:t xml:space="preserve"> the cost</w:t>
      </w:r>
      <w:r w:rsidR="002F4A79">
        <w:rPr>
          <w:rFonts w:eastAsia="Calibri"/>
        </w:rPr>
        <w:t>s</w:t>
      </w:r>
      <w:r w:rsidRPr="00DB3A74">
        <w:rPr>
          <w:rFonts w:eastAsia="Calibri"/>
        </w:rPr>
        <w:t xml:space="preserve"> of compliance with environmental regulations</w:t>
      </w:r>
      <w:r w:rsidR="002F4A79">
        <w:rPr>
          <w:rFonts w:eastAsia="Calibri"/>
        </w:rPr>
        <w:t xml:space="preserve"> for these emissions,</w:t>
      </w:r>
      <w:r w:rsidRPr="00DB3A74">
        <w:rPr>
          <w:rFonts w:eastAsia="Calibri"/>
        </w:rPr>
        <w:t xml:space="preserve"> are presented below. The greater use of lower-emitting fuels, EE, wind</w:t>
      </w:r>
      <w:r w:rsidR="002F4A79">
        <w:rPr>
          <w:rFonts w:eastAsia="Calibri"/>
        </w:rPr>
        <w:t>,</w:t>
      </w:r>
      <w:r w:rsidRPr="00DB3A74">
        <w:rPr>
          <w:rFonts w:eastAsia="Calibri"/>
        </w:rPr>
        <w:t xml:space="preserve"> and PV resources, imports from neighboring systems</w:t>
      </w:r>
      <w:r w:rsidR="002F4A79">
        <w:rPr>
          <w:rFonts w:eastAsia="Calibri"/>
        </w:rPr>
        <w:t>,</w:t>
      </w:r>
      <w:r w:rsidRPr="00DB3A74">
        <w:rPr>
          <w:rFonts w:eastAsia="Calibri"/>
        </w:rPr>
        <w:t xml:space="preserve"> and added environmental controls could decrease regional power sector emissions further.</w:t>
      </w:r>
    </w:p>
    <w:p w:rsidR="00DB3A74" w:rsidRPr="00DB3A74" w:rsidRDefault="00DB3A74" w:rsidP="002B2229">
      <w:pPr>
        <w:pStyle w:val="Heading3"/>
        <w:rPr>
          <w:rFonts w:eastAsia="Times New Roman"/>
        </w:rPr>
      </w:pPr>
      <w:bookmarkStart w:id="767" w:name="_Toc81544589"/>
      <w:r w:rsidRPr="00DB3A74">
        <w:rPr>
          <w:rFonts w:eastAsia="Times New Roman"/>
        </w:rPr>
        <w:t>ISO Tracking of Emissions Trends</w:t>
      </w:r>
      <w:bookmarkEnd w:id="767"/>
    </w:p>
    <w:p w:rsidR="00DB3A74" w:rsidRPr="00DB3A74" w:rsidRDefault="00DB3A74" w:rsidP="00DB3A74">
      <w:pPr>
        <w:spacing w:after="200" w:line="276" w:lineRule="auto"/>
        <w:rPr>
          <w:rFonts w:eastAsia="Calibri"/>
          <w:szCs w:val="36"/>
        </w:rPr>
      </w:pPr>
      <w:r w:rsidRPr="00DB3A74">
        <w:rPr>
          <w:rFonts w:eastAsia="Calibri"/>
          <w:szCs w:val="36"/>
        </w:rPr>
        <w:t xml:space="preserve">The ISO tracks the system emissions, rates, and trends for </w:t>
      </w:r>
      <w:r w:rsidRPr="00DB3A74">
        <w:rPr>
          <w:rFonts w:eastAsia="Calibri"/>
        </w:rPr>
        <w:t>carbon dioxide (CO</w:t>
      </w:r>
      <w:r w:rsidRPr="00DB3A74">
        <w:rPr>
          <w:rFonts w:eastAsia="Calibri"/>
          <w:vertAlign w:val="subscript"/>
        </w:rPr>
        <w:t>2</w:t>
      </w:r>
      <w:r w:rsidRPr="00DB3A74">
        <w:rPr>
          <w:rFonts w:eastAsia="Calibri"/>
        </w:rPr>
        <w:t>), nitrous oxide (NO</w:t>
      </w:r>
      <w:r w:rsidRPr="00DB3A74">
        <w:rPr>
          <w:rFonts w:eastAsia="Calibri"/>
          <w:vertAlign w:val="subscript"/>
        </w:rPr>
        <w:t>X</w:t>
      </w:r>
      <w:r w:rsidRPr="00DB3A74">
        <w:rPr>
          <w:rFonts w:eastAsia="Calibri"/>
        </w:rPr>
        <w:t>), and sulfur dioxide (SO</w:t>
      </w:r>
      <w:r w:rsidRPr="00DB3A74">
        <w:rPr>
          <w:rFonts w:eastAsia="Calibri"/>
          <w:vertAlign w:val="subscript"/>
        </w:rPr>
        <w:t>2</w:t>
      </w:r>
      <w:r w:rsidRPr="00DB3A74">
        <w:rPr>
          <w:rFonts w:eastAsia="Calibri"/>
        </w:rPr>
        <w:t xml:space="preserve">) </w:t>
      </w:r>
      <w:r w:rsidRPr="00DB3A74">
        <w:rPr>
          <w:rFonts w:eastAsia="Calibri"/>
          <w:szCs w:val="36"/>
        </w:rPr>
        <w:t xml:space="preserve">to help gauge the potential effects of future environmental regulations on the system and in response to requests from the states for emissions data. The ISO’s most recent air emissions report, the </w:t>
      </w:r>
      <w:hyperlink r:id="rId335" w:history="1">
        <w:r w:rsidRPr="004B6FB7">
          <w:rPr>
            <w:rStyle w:val="Hyperlink"/>
            <w:i/>
          </w:rPr>
          <w:t>2019 ISO New England Electric Generator Air Emissions Report</w:t>
        </w:r>
      </w:hyperlink>
      <w:r w:rsidRPr="00DB3A74">
        <w:rPr>
          <w:rFonts w:eastAsia="Calibri"/>
          <w:szCs w:val="36"/>
        </w:rPr>
        <w:t xml:space="preserve">, provides detailed historical trends and emissions rate data using methodologies developed with input from stakeholders. </w:t>
      </w:r>
      <w:r w:rsidR="001D2A17" w:rsidRPr="004B6FB7">
        <w:rPr>
          <w:rFonts w:eastAsia="Calibri"/>
          <w:color w:val="0070C0"/>
          <w:szCs w:val="36"/>
          <w:u w:val="single"/>
        </w:rPr>
        <w:fldChar w:fldCharType="begin"/>
      </w:r>
      <w:r w:rsidR="001D2A17" w:rsidRPr="004B6FB7">
        <w:rPr>
          <w:rFonts w:eastAsia="Calibri"/>
          <w:color w:val="0070C0"/>
          <w:szCs w:val="36"/>
          <w:u w:val="single"/>
        </w:rPr>
        <w:instrText xml:space="preserve"> REF _Ref77582437 \h </w:instrText>
      </w:r>
      <w:r w:rsidR="001D2A17" w:rsidRPr="004B6FB7">
        <w:rPr>
          <w:rFonts w:eastAsia="Calibri"/>
          <w:color w:val="0070C0"/>
          <w:szCs w:val="36"/>
          <w:u w:val="single"/>
        </w:rPr>
      </w:r>
      <w:r w:rsidR="001D2A17" w:rsidRPr="004B6FB7">
        <w:rPr>
          <w:rFonts w:eastAsia="Calibri"/>
          <w:color w:val="0070C0"/>
          <w:szCs w:val="36"/>
          <w:u w:val="single"/>
        </w:rPr>
        <w:fldChar w:fldCharType="separate"/>
      </w:r>
      <w:r w:rsidR="001D2A17" w:rsidRPr="004B6FB7">
        <w:rPr>
          <w:color w:val="0070C0"/>
          <w:u w:val="single"/>
        </w:rPr>
        <w:t xml:space="preserve">Figure </w:t>
      </w:r>
      <w:r w:rsidR="001D2A17" w:rsidRPr="004B6FB7">
        <w:rPr>
          <w:noProof/>
          <w:color w:val="0070C0"/>
          <w:u w:val="single"/>
        </w:rPr>
        <w:t>6</w:t>
      </w:r>
      <w:r w:rsidR="001D2A17" w:rsidRPr="004B6FB7">
        <w:rPr>
          <w:color w:val="0070C0"/>
          <w:u w:val="single"/>
        </w:rPr>
        <w:noBreakHyphen/>
      </w:r>
      <w:r w:rsidR="001D2A17" w:rsidRPr="004B6FB7">
        <w:rPr>
          <w:noProof/>
          <w:color w:val="0070C0"/>
          <w:u w:val="single"/>
        </w:rPr>
        <w:t>8</w:t>
      </w:r>
      <w:r w:rsidR="001D2A17" w:rsidRPr="004B6FB7">
        <w:rPr>
          <w:rFonts w:eastAsia="Calibri"/>
          <w:color w:val="0070C0"/>
          <w:szCs w:val="36"/>
          <w:u w:val="single"/>
        </w:rPr>
        <w:fldChar w:fldCharType="end"/>
      </w:r>
      <w:r w:rsidR="004D53DD">
        <w:rPr>
          <w:rFonts w:eastAsia="Calibri"/>
          <w:szCs w:val="36"/>
        </w:rPr>
        <w:t xml:space="preserve"> </w:t>
      </w:r>
      <w:r w:rsidRPr="00DB3A74">
        <w:rPr>
          <w:rFonts w:eastAsia="Calibri"/>
        </w:rPr>
        <w:t>shows the regional annual emissions for New England from 2010 to 2019.</w:t>
      </w:r>
    </w:p>
    <w:p w:rsidR="00DB3A74" w:rsidRPr="00DB3A74" w:rsidRDefault="00DB3A74" w:rsidP="00DB3A74">
      <w:pPr>
        <w:spacing w:after="200" w:line="276" w:lineRule="auto"/>
        <w:rPr>
          <w:rFonts w:eastAsia="Calibri"/>
          <w:szCs w:val="36"/>
        </w:rPr>
      </w:pPr>
      <w:bookmarkStart w:id="768" w:name="Figure_6_7_top"/>
      <w:r w:rsidRPr="00DB3A74">
        <w:rPr>
          <w:rFonts w:eastAsia="Calibri"/>
          <w:noProof/>
          <w:szCs w:val="36"/>
        </w:rPr>
        <w:drawing>
          <wp:inline distT="0" distB="0" distL="0" distR="0" wp14:anchorId="5D66A22E" wp14:editId="45689601">
            <wp:extent cx="5943600" cy="310705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943600" cy="3107055"/>
                    </a:xfrm>
                    <a:prstGeom prst="rect">
                      <a:avLst/>
                    </a:prstGeom>
                    <a:noFill/>
                    <a:ln>
                      <a:noFill/>
                    </a:ln>
                  </pic:spPr>
                </pic:pic>
              </a:graphicData>
            </a:graphic>
          </wp:inline>
        </w:drawing>
      </w:r>
      <w:bookmarkEnd w:id="768"/>
    </w:p>
    <w:p w:rsidR="00DB3A74" w:rsidRPr="00DB3A74" w:rsidRDefault="004D53DD" w:rsidP="001D69A5">
      <w:pPr>
        <w:pStyle w:val="Caption"/>
        <w:jc w:val="left"/>
        <w:rPr>
          <w:rFonts w:eastAsia="Calibri"/>
        </w:rPr>
      </w:pPr>
      <w:bookmarkStart w:id="769" w:name="_Ref77582437"/>
      <w:bookmarkStart w:id="770" w:name="_Toc81544620"/>
      <w:r>
        <w:t xml:space="preserve">Figure </w:t>
      </w:r>
      <w:fldSimple w:instr=" STYLEREF 1 \s ">
        <w:r w:rsidR="00F85E49">
          <w:rPr>
            <w:noProof/>
          </w:rPr>
          <w:t>6</w:t>
        </w:r>
      </w:fldSimple>
      <w:r w:rsidR="00F85E49">
        <w:noBreakHyphen/>
      </w:r>
      <w:fldSimple w:instr=" SEQ Figure \* ARABIC \s 1 ">
        <w:r w:rsidR="00F85E49">
          <w:rPr>
            <w:noProof/>
          </w:rPr>
          <w:t>8</w:t>
        </w:r>
      </w:fldSimple>
      <w:bookmarkEnd w:id="769"/>
      <w:r w:rsidR="00DB3A74" w:rsidRPr="00295FB9">
        <w:rPr>
          <w:rFonts w:eastAsia="Calibri"/>
          <w:bCs w:val="0"/>
        </w:rPr>
        <w:t>:</w:t>
      </w:r>
      <w:r w:rsidR="00DB3A74" w:rsidRPr="00295FB9">
        <w:rPr>
          <w:rFonts w:eastAsia="Calibri"/>
        </w:rPr>
        <w:t xml:space="preserve"> New England system annual emissions of NO</w:t>
      </w:r>
      <w:r w:rsidR="00DB3A74" w:rsidRPr="00295FB9">
        <w:rPr>
          <w:rFonts w:eastAsia="Calibri"/>
          <w:vertAlign w:val="subscript"/>
        </w:rPr>
        <w:t>X</w:t>
      </w:r>
      <w:r w:rsidR="00DB3A74" w:rsidRPr="00295FB9">
        <w:rPr>
          <w:rFonts w:eastAsia="Calibri"/>
        </w:rPr>
        <w:t>, SO</w:t>
      </w:r>
      <w:r w:rsidR="00DB3A74" w:rsidRPr="00295FB9">
        <w:rPr>
          <w:rFonts w:eastAsia="Calibri"/>
          <w:vertAlign w:val="subscript"/>
        </w:rPr>
        <w:t>2</w:t>
      </w:r>
      <w:r w:rsidR="00DB3A74" w:rsidRPr="00295FB9">
        <w:rPr>
          <w:rFonts w:eastAsia="Calibri"/>
        </w:rPr>
        <w:t>, and CO</w:t>
      </w:r>
      <w:r w:rsidR="00DB3A74" w:rsidRPr="00295FB9">
        <w:rPr>
          <w:rFonts w:eastAsia="Calibri"/>
          <w:vertAlign w:val="subscript"/>
        </w:rPr>
        <w:t>2</w:t>
      </w:r>
      <w:r w:rsidR="00DB3A74" w:rsidRPr="00295FB9">
        <w:rPr>
          <w:rFonts w:eastAsia="Calibri"/>
        </w:rPr>
        <w:t>, 2010 to 2019 (thousand short tons)</w:t>
      </w:r>
      <w:bookmarkEnd w:id="770"/>
    </w:p>
    <w:p w:rsidR="00DB3A74" w:rsidRPr="00DB3A74" w:rsidRDefault="00DB3A74" w:rsidP="00DB3A74">
      <w:pPr>
        <w:spacing w:after="0" w:line="240" w:lineRule="auto"/>
        <w:rPr>
          <w:rFonts w:ascii="Calibri" w:eastAsia="Times New Roman" w:hAnsi="Calibri"/>
          <w:sz w:val="16"/>
          <w:szCs w:val="16"/>
        </w:rPr>
      </w:pPr>
      <w:r w:rsidRPr="00DB3A74">
        <w:rPr>
          <w:rFonts w:ascii="Calibri" w:eastAsia="Times New Roman" w:hAnsi="Calibri"/>
          <w:b/>
          <w:sz w:val="16"/>
        </w:rPr>
        <w:t>Notes</w:t>
      </w:r>
      <w:r w:rsidRPr="00DB3A74">
        <w:rPr>
          <w:rFonts w:ascii="Calibri" w:eastAsia="Times New Roman" w:hAnsi="Calibri"/>
          <w:sz w:val="16"/>
        </w:rPr>
        <w:t>: The ISO provides a comprehensive analysis of New England electric generator air emissions (NO</w:t>
      </w:r>
      <w:r w:rsidRPr="00DB3A74">
        <w:rPr>
          <w:rFonts w:ascii="Calibri" w:eastAsia="Times New Roman" w:hAnsi="Calibri"/>
          <w:sz w:val="16"/>
          <w:vertAlign w:val="subscript"/>
        </w:rPr>
        <w:t>X</w:t>
      </w:r>
      <w:r w:rsidRPr="00DB3A74">
        <w:rPr>
          <w:rFonts w:ascii="Calibri" w:eastAsia="Times New Roman" w:hAnsi="Calibri"/>
          <w:sz w:val="16"/>
        </w:rPr>
        <w:t>, SO</w:t>
      </w:r>
      <w:r w:rsidRPr="00DB3A74">
        <w:rPr>
          <w:rFonts w:ascii="Calibri" w:eastAsia="Times New Roman" w:hAnsi="Calibri"/>
          <w:sz w:val="16"/>
          <w:vertAlign w:val="subscript"/>
        </w:rPr>
        <w:t>2</w:t>
      </w:r>
      <w:r w:rsidRPr="00DB3A74">
        <w:rPr>
          <w:rFonts w:ascii="Calibri" w:eastAsia="Times New Roman" w:hAnsi="Calibri"/>
          <w:sz w:val="16"/>
        </w:rPr>
        <w:t>, and CO</w:t>
      </w:r>
      <w:r w:rsidRPr="00DB3A74">
        <w:rPr>
          <w:rFonts w:ascii="Calibri" w:eastAsia="Times New Roman" w:hAnsi="Calibri"/>
          <w:sz w:val="16"/>
          <w:vertAlign w:val="subscript"/>
        </w:rPr>
        <w:t>2</w:t>
      </w:r>
      <w:r w:rsidRPr="00DB3A74">
        <w:rPr>
          <w:rFonts w:ascii="Calibri" w:eastAsia="Times New Roman" w:hAnsi="Calibri"/>
          <w:sz w:val="16"/>
        </w:rPr>
        <w:t>) and a review of relevant system conditions, focused on direct emissions emitted by all solid, gaseous and liquid fuel combusting generators in New England and excludes emissions associated with net imports to serve load in New England.</w:t>
      </w:r>
    </w:p>
    <w:p w:rsidR="00DB3A74" w:rsidRPr="00DB3A74" w:rsidRDefault="00DB3A74" w:rsidP="00DB3A74">
      <w:pPr>
        <w:keepNext/>
        <w:keepLines/>
        <w:spacing w:line="240" w:lineRule="auto"/>
        <w:ind w:right="-180"/>
        <w:rPr>
          <w:rFonts w:ascii="Calibri" w:eastAsia="Calibri" w:hAnsi="Calibri"/>
          <w:sz w:val="16"/>
          <w:szCs w:val="16"/>
        </w:rPr>
      </w:pPr>
      <w:r w:rsidRPr="00DB3A74">
        <w:rPr>
          <w:rFonts w:ascii="Calibri" w:eastAsia="Calibri" w:hAnsi="Calibri"/>
          <w:b/>
          <w:sz w:val="16"/>
          <w:szCs w:val="16"/>
        </w:rPr>
        <w:t>Source:</w:t>
      </w:r>
      <w:r w:rsidRPr="00DB3A74">
        <w:rPr>
          <w:rFonts w:ascii="Calibri" w:eastAsia="Calibri" w:hAnsi="Calibri"/>
          <w:sz w:val="16"/>
          <w:szCs w:val="16"/>
        </w:rPr>
        <w:t xml:space="preserve"> </w:t>
      </w:r>
      <w:r w:rsidRPr="00DB3A74">
        <w:rPr>
          <w:rFonts w:ascii="Calibri" w:eastAsia="Calibri" w:hAnsi="Calibri"/>
          <w:i/>
          <w:sz w:val="16"/>
          <w:szCs w:val="16"/>
        </w:rPr>
        <w:t xml:space="preserve">2019 ISO New England Electric Generator Air Emissions Report </w:t>
      </w:r>
      <w:r w:rsidRPr="00DB3A74">
        <w:rPr>
          <w:rFonts w:ascii="Calibri" w:eastAsia="Calibri" w:hAnsi="Calibri"/>
          <w:sz w:val="16"/>
          <w:szCs w:val="16"/>
        </w:rPr>
        <w:t>(March 2021).</w:t>
      </w:r>
    </w:p>
    <w:p w:rsidR="00DB3A74" w:rsidRPr="00DB3A74" w:rsidRDefault="00DB3A74" w:rsidP="00DB3A74">
      <w:pPr>
        <w:spacing w:after="200" w:line="276" w:lineRule="auto"/>
        <w:rPr>
          <w:rFonts w:eastAsia="Times New Roman"/>
          <w:szCs w:val="24"/>
        </w:rPr>
      </w:pPr>
      <w:r w:rsidRPr="00DB3A74">
        <w:rPr>
          <w:rFonts w:eastAsia="Calibri"/>
        </w:rPr>
        <w:t xml:space="preserve">Air emissions from power generators are sensitive to changes in weather, economic activity, energy prices, and the fuel mix. Over the past decade, a shift in generation production, lower demand, the implementation of increasingly stringent </w:t>
      </w:r>
      <w:r w:rsidRPr="00DB3A74">
        <w:rPr>
          <w:rFonts w:eastAsia="Times New Roman"/>
          <w:bCs/>
          <w:iCs/>
        </w:rPr>
        <w:t xml:space="preserve">air-quality rules within and upwind of New England, and new incentives for lower-emitting resources have all </w:t>
      </w:r>
      <w:r w:rsidRPr="00DB3A74">
        <w:rPr>
          <w:rFonts w:eastAsia="Calibri"/>
        </w:rPr>
        <w:t>contributed to declines in New England power sector emissions. From 2010 through 2019, total system emissions decreased</w:t>
      </w:r>
      <w:r w:rsidR="0053760E">
        <w:rPr>
          <w:rFonts w:eastAsia="Calibri"/>
        </w:rPr>
        <w:t xml:space="preserve"> – </w:t>
      </w:r>
      <w:r w:rsidRPr="00DB3A74">
        <w:rPr>
          <w:rFonts w:eastAsia="Calibri"/>
        </w:rPr>
        <w:t>NO</w:t>
      </w:r>
      <w:r w:rsidRPr="00DB3A74">
        <w:rPr>
          <w:rFonts w:eastAsia="Calibri"/>
          <w:vertAlign w:val="subscript"/>
        </w:rPr>
        <w:t>X</w:t>
      </w:r>
      <w:r w:rsidRPr="00DB3A74">
        <w:rPr>
          <w:rFonts w:eastAsia="Calibri"/>
        </w:rPr>
        <w:t xml:space="preserve"> by 55%, SO</w:t>
      </w:r>
      <w:r w:rsidRPr="00DB3A74">
        <w:rPr>
          <w:rFonts w:eastAsia="Calibri"/>
          <w:vertAlign w:val="subscript"/>
        </w:rPr>
        <w:t>2</w:t>
      </w:r>
      <w:r w:rsidRPr="00DB3A74">
        <w:rPr>
          <w:rFonts w:eastAsia="Calibri"/>
        </w:rPr>
        <w:t xml:space="preserve"> by 97%, and CO</w:t>
      </w:r>
      <w:r w:rsidRPr="00DB3A74">
        <w:rPr>
          <w:rFonts w:eastAsia="Calibri"/>
          <w:vertAlign w:val="subscript"/>
        </w:rPr>
        <w:t xml:space="preserve">2 </w:t>
      </w:r>
      <w:r w:rsidRPr="00DB3A74">
        <w:rPr>
          <w:rFonts w:eastAsia="Calibri"/>
        </w:rPr>
        <w:t xml:space="preserve">by 41%. The current emissions trends result from the regional shift away from older oil- and coal-fired generation toward more efficient natural-gas-fired, non-emitting native renewable generation, and increasing the reliance on imports from adjacent control areas. </w:t>
      </w:r>
    </w:p>
    <w:p w:rsidR="00DB3A74" w:rsidRPr="00DB3A74" w:rsidRDefault="00DB3A74" w:rsidP="002B2229">
      <w:pPr>
        <w:pStyle w:val="Heading3"/>
        <w:rPr>
          <w:rFonts w:eastAsia="Times New Roman"/>
        </w:rPr>
      </w:pPr>
      <w:bookmarkStart w:id="771" w:name="_Ref11675034"/>
      <w:bookmarkStart w:id="772" w:name="_Ref11050722"/>
      <w:bookmarkStart w:id="773" w:name="_Toc81544590"/>
      <w:r w:rsidRPr="00DB3A74">
        <w:rPr>
          <w:rFonts w:eastAsia="Times New Roman"/>
        </w:rPr>
        <w:t>Cost of Compliance with Environmental</w:t>
      </w:r>
      <w:r w:rsidR="007A4A55">
        <w:rPr>
          <w:rFonts w:eastAsia="Times New Roman"/>
        </w:rPr>
        <w:t> </w:t>
      </w:r>
      <w:r w:rsidRPr="00DB3A74">
        <w:rPr>
          <w:rFonts w:eastAsia="Times New Roman"/>
        </w:rPr>
        <w:t>Regulations</w:t>
      </w:r>
      <w:bookmarkEnd w:id="771"/>
      <w:bookmarkEnd w:id="772"/>
      <w:bookmarkEnd w:id="773"/>
    </w:p>
    <w:p w:rsidR="00DB3A74" w:rsidRDefault="00101F74" w:rsidP="00DB3A74">
      <w:pPr>
        <w:rPr>
          <w:rFonts w:eastAsia="Calibri"/>
        </w:rPr>
      </w:pPr>
      <w:r w:rsidRPr="000D1F1E">
        <w:t xml:space="preserve">Environmental compliance costs for generating units vary by age, economics, location, and readiness of commercially available control technologies. </w:t>
      </w:r>
      <w:r>
        <w:t xml:space="preserve">Such costs comprise a small but growing portion of operating and maintenance production costs, compared to variable fuel costs. </w:t>
      </w:r>
      <w:r w:rsidRPr="000D1F1E">
        <w:t xml:space="preserve">As the median age of the fossil generation fleet declines, existing generating units, particularly those employing advanced combustion turbines—both oil- </w:t>
      </w:r>
      <w:r w:rsidR="002F4A79">
        <w:t>and</w:t>
      </w:r>
      <w:r w:rsidRPr="000D1F1E">
        <w:t xml:space="preserve"> natural-gas-fired—</w:t>
      </w:r>
      <w:r>
        <w:t>have</w:t>
      </w:r>
      <w:r w:rsidRPr="000D1F1E">
        <w:t xml:space="preserve"> higher </w:t>
      </w:r>
      <w:r>
        <w:t xml:space="preserve">operating </w:t>
      </w:r>
      <w:r w:rsidRPr="000D1F1E">
        <w:t xml:space="preserve">efficiencies and </w:t>
      </w:r>
      <w:r>
        <w:t>lower emission rates</w:t>
      </w:r>
      <w:r w:rsidR="002F4A79">
        <w:t>,</w:t>
      </w:r>
      <w:r>
        <w:t xml:space="preserve"> reducing </w:t>
      </w:r>
      <w:r w:rsidRPr="000D1F1E">
        <w:t>air emissions and</w:t>
      </w:r>
      <w:r>
        <w:t xml:space="preserve"> minimizing water use</w:t>
      </w:r>
      <w:r w:rsidR="002F4A79">
        <w:t>,</w:t>
      </w:r>
      <w:r>
        <w:t xml:space="preserve"> and</w:t>
      </w:r>
      <w:r w:rsidRPr="000D1F1E">
        <w:t xml:space="preserve"> </w:t>
      </w:r>
      <w:r w:rsidR="002F4A79">
        <w:t xml:space="preserve">limiting </w:t>
      </w:r>
      <w:r w:rsidRPr="000D1F1E">
        <w:t>wastewater discharges</w:t>
      </w:r>
      <w:r>
        <w:t xml:space="preserve"> through dry or recirculating cooling system</w:t>
      </w:r>
      <w:r w:rsidR="00DB3A74" w:rsidRPr="00DB3A74">
        <w:rPr>
          <w:rFonts w:eastAsia="Calibri"/>
        </w:rPr>
        <w:t>s.</w:t>
      </w:r>
      <w:r w:rsidR="00DB3A74" w:rsidRPr="00DB3A74">
        <w:rPr>
          <w:rFonts w:eastAsia="Calibri"/>
          <w:vertAlign w:val="superscript"/>
        </w:rPr>
        <w:footnoteReference w:id="142"/>
      </w:r>
      <w:r w:rsidR="00DB3A74" w:rsidRPr="00DB3A74">
        <w:rPr>
          <w:rFonts w:eastAsia="Calibri"/>
        </w:rPr>
        <w:t xml:space="preserve"> </w:t>
      </w:r>
    </w:p>
    <w:p w:rsidR="00622BCE" w:rsidRPr="00101F74" w:rsidRDefault="00622BCE" w:rsidP="00DB3A74">
      <w:r w:rsidRPr="0075501C">
        <w:rPr>
          <w:noProof/>
        </w:rPr>
        <w:drawing>
          <wp:inline distT="0" distB="0" distL="0" distR="0" wp14:anchorId="584F6F4A" wp14:editId="7A6D5C4C">
            <wp:extent cx="5943600" cy="3849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43600" cy="3849370"/>
                    </a:xfrm>
                    <a:prstGeom prst="rect">
                      <a:avLst/>
                    </a:prstGeom>
                    <a:noFill/>
                    <a:ln>
                      <a:noFill/>
                    </a:ln>
                  </pic:spPr>
                </pic:pic>
              </a:graphicData>
            </a:graphic>
          </wp:inline>
        </w:drawing>
      </w:r>
    </w:p>
    <w:p w:rsidR="00DB3A74" w:rsidRPr="00DB3A74" w:rsidRDefault="004D53DD" w:rsidP="001D69A5">
      <w:pPr>
        <w:pStyle w:val="Caption"/>
        <w:rPr>
          <w:rFonts w:eastAsia="Calibri"/>
        </w:rPr>
      </w:pPr>
      <w:bookmarkStart w:id="774" w:name="_Ref77582921"/>
      <w:bookmarkStart w:id="775" w:name="_Toc81544621"/>
      <w:r>
        <w:t xml:space="preserve">Figure </w:t>
      </w:r>
      <w:fldSimple w:instr=" STYLEREF 1 \s ">
        <w:r w:rsidR="00F85E49">
          <w:rPr>
            <w:noProof/>
          </w:rPr>
          <w:t>6</w:t>
        </w:r>
      </w:fldSimple>
      <w:r w:rsidR="00F85E49">
        <w:noBreakHyphen/>
      </w:r>
      <w:fldSimple w:instr=" SEQ Figure \* ARABIC \s 1 ">
        <w:r w:rsidR="00F85E49">
          <w:rPr>
            <w:noProof/>
          </w:rPr>
          <w:t>9</w:t>
        </w:r>
      </w:fldSimple>
      <w:bookmarkEnd w:id="774"/>
      <w:r w:rsidR="00DB3A74" w:rsidRPr="00295FB9">
        <w:rPr>
          <w:rFonts w:eastAsia="Calibri"/>
          <w:bCs w:val="0"/>
        </w:rPr>
        <w:t>: Contribution of CO</w:t>
      </w:r>
      <w:r w:rsidR="00DB3A74" w:rsidRPr="00295FB9">
        <w:rPr>
          <w:rFonts w:eastAsia="Calibri"/>
          <w:bCs w:val="0"/>
          <w:vertAlign w:val="subscript"/>
        </w:rPr>
        <w:t>2</w:t>
      </w:r>
      <w:r w:rsidR="00DB3A74" w:rsidRPr="00295FB9">
        <w:rPr>
          <w:rFonts w:eastAsia="Calibri"/>
          <w:bCs w:val="0"/>
        </w:rPr>
        <w:t xml:space="preserve"> allowance costs to energy production costs, 2018 to 2021 ($/MWh)</w:t>
      </w:r>
      <w:bookmarkEnd w:id="775"/>
    </w:p>
    <w:p w:rsidR="00DB3A74" w:rsidRPr="00DB3A74" w:rsidRDefault="00DB3A74" w:rsidP="00DB3A74">
      <w:pPr>
        <w:keepNext/>
        <w:keepLines/>
        <w:tabs>
          <w:tab w:val="left" w:pos="8460"/>
        </w:tabs>
        <w:spacing w:after="80" w:line="240" w:lineRule="auto"/>
        <w:ind w:left="540" w:right="360"/>
        <w:rPr>
          <w:rFonts w:ascii="Calibri" w:eastAsia="Calibri" w:hAnsi="Calibri"/>
          <w:bCs/>
          <w:sz w:val="16"/>
          <w:szCs w:val="16"/>
        </w:rPr>
      </w:pPr>
      <w:r w:rsidRPr="00DB3A74">
        <w:rPr>
          <w:rFonts w:ascii="Calibri" w:eastAsia="Calibri" w:hAnsi="Calibri"/>
          <w:b/>
          <w:bCs/>
          <w:sz w:val="16"/>
          <w:szCs w:val="16"/>
        </w:rPr>
        <w:t xml:space="preserve">Notes: </w:t>
      </w:r>
      <w:r w:rsidR="008F54FB" w:rsidRPr="00065F83">
        <w:rPr>
          <w:rFonts w:asciiTheme="minorHAnsi" w:hAnsiTheme="minorHAnsi"/>
          <w:bCs/>
          <w:sz w:val="16"/>
          <w:szCs w:val="16"/>
        </w:rPr>
        <w:t>The bar chart show</w:t>
      </w:r>
      <w:r w:rsidR="008F54FB">
        <w:rPr>
          <w:rFonts w:asciiTheme="minorHAnsi" w:hAnsiTheme="minorHAnsi"/>
          <w:bCs/>
          <w:sz w:val="16"/>
          <w:szCs w:val="16"/>
        </w:rPr>
        <w:t>s</w:t>
      </w:r>
      <w:r w:rsidR="008F54FB" w:rsidRPr="00065F83">
        <w:rPr>
          <w:rFonts w:asciiTheme="minorHAnsi" w:hAnsiTheme="minorHAnsi"/>
          <w:bCs/>
          <w:sz w:val="16"/>
          <w:szCs w:val="16"/>
        </w:rPr>
        <w:t xml:space="preserve"> </w:t>
      </w:r>
      <w:r w:rsidR="008F54FB">
        <w:rPr>
          <w:rFonts w:asciiTheme="minorHAnsi" w:hAnsiTheme="minorHAnsi"/>
          <w:bCs/>
          <w:sz w:val="16"/>
          <w:szCs w:val="16"/>
        </w:rPr>
        <w:t xml:space="preserve">the </w:t>
      </w:r>
      <w:r w:rsidR="008F54FB" w:rsidRPr="00065F83">
        <w:rPr>
          <w:rFonts w:asciiTheme="minorHAnsi" w:hAnsiTheme="minorHAnsi"/>
          <w:bCs/>
          <w:sz w:val="16"/>
          <w:szCs w:val="16"/>
        </w:rPr>
        <w:t>costs of the Regional Greenhouse Gas Initiative (RGGI) and the Global Warming Solutions Act (GWSA), only in Massachusetts, CO</w:t>
      </w:r>
      <w:r w:rsidR="008F54FB" w:rsidRPr="00E90DAD">
        <w:rPr>
          <w:rFonts w:asciiTheme="minorHAnsi" w:hAnsiTheme="minorHAnsi"/>
          <w:bCs/>
          <w:sz w:val="16"/>
          <w:szCs w:val="16"/>
          <w:vertAlign w:val="subscript"/>
        </w:rPr>
        <w:t>2</w:t>
      </w:r>
      <w:r w:rsidR="008F54FB" w:rsidRPr="00065F83">
        <w:rPr>
          <w:rFonts w:asciiTheme="minorHAnsi" w:hAnsiTheme="minorHAnsi"/>
          <w:bCs/>
          <w:sz w:val="16"/>
          <w:szCs w:val="16"/>
        </w:rPr>
        <w:t xml:space="preserve"> cap-and-trade programs for generators by fuel type (with typical efficiencies) relative to their fuel costs. IMM standard generator heat rates and fuel emission rates are used to convert $/ton CO2 prices to $/MWh generation costs.</w:t>
      </w:r>
    </w:p>
    <w:p w:rsidR="00DB3A74" w:rsidRPr="00DB3A74" w:rsidRDefault="00DB3A74" w:rsidP="00DB3A74">
      <w:pPr>
        <w:rPr>
          <w:rFonts w:eastAsia="Calibri"/>
        </w:rPr>
      </w:pPr>
      <w:r w:rsidRPr="00DB3A74">
        <w:rPr>
          <w:rFonts w:eastAsia="Calibri"/>
        </w:rPr>
        <w:t>The costs across New England for CO</w:t>
      </w:r>
      <w:r w:rsidRPr="00DB3A74">
        <w:rPr>
          <w:rFonts w:eastAsia="Calibri"/>
          <w:vertAlign w:val="subscript"/>
        </w:rPr>
        <w:t>2</w:t>
      </w:r>
      <w:r w:rsidRPr="00DB3A74">
        <w:rPr>
          <w:rFonts w:eastAsia="Calibri"/>
        </w:rPr>
        <w:t xml:space="preserve"> emission allowances under </w:t>
      </w:r>
      <w:hyperlink r:id="rId338" w:history="1">
        <w:r w:rsidRPr="0097026A">
          <w:rPr>
            <w:rStyle w:val="Hyperlink"/>
            <w:rFonts w:eastAsia="Calibri"/>
          </w:rPr>
          <w:t xml:space="preserve">Regional Greenhouse Gas </w:t>
        </w:r>
        <w:r w:rsidR="0097026A" w:rsidRPr="0097026A">
          <w:rPr>
            <w:rStyle w:val="Hyperlink"/>
            <w:rFonts w:eastAsia="Calibri"/>
          </w:rPr>
          <w:t>Initiatives</w:t>
        </w:r>
      </w:hyperlink>
      <w:r w:rsidRPr="00DB3A74">
        <w:rPr>
          <w:rFonts w:eastAsia="Calibri"/>
        </w:rPr>
        <w:t xml:space="preserve"> (RGGI) and the Massachusetts’ </w:t>
      </w:r>
      <w:hyperlink r:id="rId339" w:history="1">
        <w:r w:rsidRPr="0097026A">
          <w:rPr>
            <w:rStyle w:val="Hyperlink"/>
            <w:rFonts w:eastAsia="Calibri"/>
          </w:rPr>
          <w:t xml:space="preserve">Global Warming Solutions Act </w:t>
        </w:r>
      </w:hyperlink>
      <w:r w:rsidRPr="00DB3A74">
        <w:rPr>
          <w:rFonts w:eastAsia="Calibri"/>
        </w:rPr>
        <w:t xml:space="preserve">(GWSA) are </w:t>
      </w:r>
      <w:r w:rsidR="008F54FB">
        <w:t>the largest individual</w:t>
      </w:r>
      <w:r w:rsidR="008F54FB" w:rsidRPr="000D1F1E">
        <w:t xml:space="preserve"> </w:t>
      </w:r>
      <w:r w:rsidR="008F54FB">
        <w:t>factor</w:t>
      </w:r>
      <w:r w:rsidR="008F54FB" w:rsidRPr="00DB3A74">
        <w:rPr>
          <w:rFonts w:eastAsia="Calibri"/>
        </w:rPr>
        <w:t xml:space="preserve"> </w:t>
      </w:r>
      <w:r w:rsidRPr="00DB3A74">
        <w:rPr>
          <w:rFonts w:eastAsia="Calibri"/>
        </w:rPr>
        <w:t>in environmental compliance costs for combustion generators in New England. Between 2018 and early 2021, CO</w:t>
      </w:r>
      <w:r w:rsidRPr="00DB3A74">
        <w:rPr>
          <w:rFonts w:eastAsia="Calibri"/>
          <w:vertAlign w:val="subscript"/>
        </w:rPr>
        <w:t>2</w:t>
      </w:r>
      <w:r w:rsidRPr="00DB3A74">
        <w:rPr>
          <w:rFonts w:eastAsia="Calibri"/>
        </w:rPr>
        <w:t xml:space="preserve"> emission allowances costs averaged 16% of coal-fired generator energy costs, 10% for natural-gas-fired generator energy costs, and 6% for oil-fired generator energy costs according to ISO’s internal market monitor. </w:t>
      </w:r>
      <w:r w:rsidR="00351A73" w:rsidRPr="004B6FB7">
        <w:rPr>
          <w:rFonts w:eastAsia="Calibri"/>
          <w:color w:val="0070C0"/>
          <w:u w:val="single"/>
        </w:rPr>
        <w:fldChar w:fldCharType="begin"/>
      </w:r>
      <w:r w:rsidR="00351A73" w:rsidRPr="004B6FB7">
        <w:rPr>
          <w:rFonts w:eastAsia="Calibri"/>
          <w:color w:val="0070C0"/>
          <w:u w:val="single"/>
        </w:rPr>
        <w:instrText xml:space="preserve"> REF _Ref77582921 \h </w:instrText>
      </w:r>
      <w:r w:rsidR="00351A73" w:rsidRPr="004B6FB7">
        <w:rPr>
          <w:rFonts w:eastAsia="Calibri"/>
          <w:color w:val="0070C0"/>
          <w:u w:val="single"/>
        </w:rPr>
      </w:r>
      <w:r w:rsidR="00351A73" w:rsidRPr="004B6FB7">
        <w:rPr>
          <w:rFonts w:eastAsia="Calibri"/>
          <w:color w:val="0070C0"/>
          <w:u w:val="single"/>
        </w:rPr>
        <w:fldChar w:fldCharType="separate"/>
      </w:r>
      <w:r w:rsidR="00351A73" w:rsidRPr="004B6FB7">
        <w:rPr>
          <w:color w:val="0070C0"/>
          <w:u w:val="single"/>
        </w:rPr>
        <w:t xml:space="preserve">Figure </w:t>
      </w:r>
      <w:r w:rsidR="00351A73" w:rsidRPr="004B6FB7">
        <w:rPr>
          <w:noProof/>
          <w:color w:val="0070C0"/>
          <w:u w:val="single"/>
        </w:rPr>
        <w:t>6</w:t>
      </w:r>
      <w:r w:rsidR="00351A73" w:rsidRPr="004B6FB7">
        <w:rPr>
          <w:color w:val="0070C0"/>
          <w:u w:val="single"/>
        </w:rPr>
        <w:noBreakHyphen/>
      </w:r>
      <w:r w:rsidR="00351A73" w:rsidRPr="004B6FB7">
        <w:rPr>
          <w:noProof/>
          <w:color w:val="0070C0"/>
          <w:u w:val="single"/>
        </w:rPr>
        <w:t>9</w:t>
      </w:r>
      <w:r w:rsidR="00351A73" w:rsidRPr="004B6FB7">
        <w:rPr>
          <w:rFonts w:eastAsia="Calibri"/>
          <w:color w:val="0070C0"/>
          <w:u w:val="single"/>
        </w:rPr>
        <w:fldChar w:fldCharType="end"/>
      </w:r>
      <w:r w:rsidR="0097026A" w:rsidRPr="004B6FB7">
        <w:rPr>
          <w:rFonts w:eastAsia="Calibri"/>
          <w:color w:val="0070C0"/>
        </w:rPr>
        <w:t xml:space="preserve"> </w:t>
      </w:r>
      <w:r w:rsidRPr="00DB3A74">
        <w:rPr>
          <w:rFonts w:eastAsia="Calibri"/>
        </w:rPr>
        <w:t>highlights that CO</w:t>
      </w:r>
      <w:r w:rsidRPr="00DB3A74">
        <w:rPr>
          <w:rFonts w:eastAsia="Calibri"/>
          <w:vertAlign w:val="subscript"/>
        </w:rPr>
        <w:t>2</w:t>
      </w:r>
      <w:r w:rsidRPr="00DB3A74">
        <w:rPr>
          <w:rFonts w:eastAsia="Calibri"/>
        </w:rPr>
        <w:t xml:space="preserve"> allowance costs have a relatively small impact on </w:t>
      </w:r>
      <w:r w:rsidR="008F54FB">
        <w:t xml:space="preserve">overall </w:t>
      </w:r>
      <w:r w:rsidRPr="00DB3A74">
        <w:rPr>
          <w:rFonts w:eastAsia="Calibri"/>
        </w:rPr>
        <w:t xml:space="preserve">generation production costs and consequently do not have a </w:t>
      </w:r>
      <w:r w:rsidR="002F4A79">
        <w:rPr>
          <w:rFonts w:eastAsia="Calibri"/>
        </w:rPr>
        <w:t>major</w:t>
      </w:r>
      <w:r w:rsidR="002F4A79" w:rsidRPr="00DB3A74">
        <w:rPr>
          <w:rFonts w:eastAsia="Calibri"/>
        </w:rPr>
        <w:t xml:space="preserve"> </w:t>
      </w:r>
      <w:r w:rsidRPr="00DB3A74">
        <w:rPr>
          <w:rFonts w:eastAsia="Calibri"/>
        </w:rPr>
        <w:t>impact on the economic merit order of generation</w:t>
      </w:r>
      <w:r w:rsidRPr="00DB3A74">
        <w:rPr>
          <w:rFonts w:eastAsia="Calibri"/>
          <w:bCs/>
        </w:rPr>
        <w:t xml:space="preserve">. Other environmental compliance costs include air pollution control catalyst replacement, ammonia reagent (for catalyst operation), </w:t>
      </w:r>
      <w:r w:rsidR="002F4A79">
        <w:rPr>
          <w:rFonts w:eastAsia="Calibri"/>
          <w:bCs/>
        </w:rPr>
        <w:t xml:space="preserve">and </w:t>
      </w:r>
      <w:r w:rsidRPr="00DB3A74">
        <w:rPr>
          <w:rFonts w:eastAsia="Calibri"/>
          <w:bCs/>
        </w:rPr>
        <w:t>water treatment and water discharge costs</w:t>
      </w:r>
      <w:r w:rsidR="002F4A79">
        <w:rPr>
          <w:rFonts w:eastAsia="Calibri"/>
          <w:bCs/>
        </w:rPr>
        <w:t>.  These costs</w:t>
      </w:r>
      <w:r w:rsidRPr="00DB3A74">
        <w:rPr>
          <w:rFonts w:eastAsia="Calibri"/>
          <w:bCs/>
        </w:rPr>
        <w:t xml:space="preserve"> are generally subsumed into total variable operating expenses and are estimated to range from $1.87/megawatt hour (MWh) for an advanced fossil fuel-fired combined cycle to $6.20/MWh for </w:t>
      </w:r>
      <w:r w:rsidR="008F54FB">
        <w:rPr>
          <w:rFonts w:eastAsia="Calibri"/>
          <w:bCs/>
        </w:rPr>
        <w:t xml:space="preserve">a </w:t>
      </w:r>
      <w:r w:rsidRPr="00DB3A74">
        <w:rPr>
          <w:rFonts w:eastAsia="Calibri"/>
          <w:bCs/>
        </w:rPr>
        <w:t>landfill gas-fired internal combustion engine.</w:t>
      </w:r>
      <w:r w:rsidRPr="00DB3A74">
        <w:rPr>
          <w:rFonts w:eastAsia="Calibri"/>
          <w:vertAlign w:val="superscript"/>
        </w:rPr>
        <w:footnoteReference w:id="143"/>
      </w:r>
    </w:p>
    <w:p w:rsidR="00DB3A74" w:rsidRPr="00DB3A74" w:rsidRDefault="00DB3A74" w:rsidP="002B2229">
      <w:pPr>
        <w:pStyle w:val="Heading2"/>
        <w:rPr>
          <w:rFonts w:eastAsia="Times New Roman"/>
        </w:rPr>
      </w:pPr>
      <w:bookmarkStart w:id="776" w:name="_Toc490323089"/>
      <w:bookmarkStart w:id="777" w:name="_Toc429063458"/>
      <w:bookmarkStart w:id="778" w:name="_Toc81544591"/>
      <w:bookmarkEnd w:id="744"/>
      <w:r w:rsidRPr="00DB3A74">
        <w:rPr>
          <w:rFonts w:eastAsia="Times New Roman"/>
        </w:rPr>
        <w:t>Conclusions</w:t>
      </w:r>
      <w:bookmarkEnd w:id="776"/>
      <w:bookmarkEnd w:id="777"/>
      <w:bookmarkEnd w:id="778"/>
    </w:p>
    <w:p w:rsidR="00DB3A74" w:rsidRPr="00DB3A74" w:rsidRDefault="00DB3A74" w:rsidP="00DB3A74">
      <w:pPr>
        <w:rPr>
          <w:rFonts w:eastAsia="Calibri"/>
        </w:rPr>
      </w:pPr>
      <w:r w:rsidRPr="00DB3A74">
        <w:rPr>
          <w:rFonts w:eastAsia="Calibri"/>
        </w:rPr>
        <w:t>Existing and pending federal and state environmental regulations and multistate initiatives may require generators to consider adding air pollution control devices</w:t>
      </w:r>
      <w:r w:rsidR="002F4A79">
        <w:rPr>
          <w:rFonts w:eastAsia="Calibri"/>
        </w:rPr>
        <w:t>,</w:t>
      </w:r>
      <w:r w:rsidRPr="00DB3A74">
        <w:rPr>
          <w:rFonts w:eastAsia="Calibri"/>
        </w:rPr>
        <w:t xml:space="preserve"> modifying or reducing water use and wastewater discharges</w:t>
      </w:r>
      <w:r w:rsidR="002F4A79">
        <w:rPr>
          <w:rFonts w:eastAsia="Calibri"/>
        </w:rPr>
        <w:t>,</w:t>
      </w:r>
      <w:r w:rsidRPr="00DB3A74">
        <w:rPr>
          <w:rFonts w:eastAsia="Calibri"/>
        </w:rPr>
        <w:t xml:space="preserve"> and limiting operations. The actual compliance timelines and costs will depend on the timing and substance of the permit reviews implementing any final regulations and site-specific circumstances of the electric generating facilities involved.</w:t>
      </w:r>
      <w:r w:rsidRPr="00DB3A74">
        <w:rPr>
          <w:rFonts w:eastAsia="Calibri"/>
          <w:vertAlign w:val="superscript"/>
        </w:rPr>
        <w:t xml:space="preserve"> </w:t>
      </w:r>
      <w:r w:rsidRPr="00DB3A74">
        <w:rPr>
          <w:rFonts w:eastAsia="Calibri"/>
        </w:rPr>
        <w:t>Based on these and other economic factors, some generator owners may determine certain resources are uneconomical and retire such facilities instead of making major investments in environmental compliance measures.</w:t>
      </w:r>
    </w:p>
    <w:p w:rsidR="00DB3A74" w:rsidRPr="00DB3A74" w:rsidRDefault="00DB3A74" w:rsidP="00DB3A74">
      <w:pPr>
        <w:rPr>
          <w:rFonts w:eastAsia="Calibri"/>
        </w:rPr>
      </w:pPr>
      <w:r w:rsidRPr="00DB3A74">
        <w:rPr>
          <w:rFonts w:eastAsia="Calibri"/>
        </w:rPr>
        <w:t xml:space="preserve">All </w:t>
      </w:r>
      <w:r w:rsidR="002F4A79">
        <w:rPr>
          <w:rFonts w:eastAsia="Calibri"/>
        </w:rPr>
        <w:t xml:space="preserve">of </w:t>
      </w:r>
      <w:r w:rsidRPr="00DB3A74">
        <w:rPr>
          <w:rFonts w:eastAsia="Calibri"/>
        </w:rPr>
        <w:t xml:space="preserve">the New England states have RPS targets for the amount of electric energy load serving entities (LSEs) provide </w:t>
      </w:r>
      <w:r w:rsidR="002F4A79">
        <w:rPr>
          <w:rFonts w:eastAsia="Calibri"/>
        </w:rPr>
        <w:t>from</w:t>
      </w:r>
      <w:r w:rsidR="002F4A79" w:rsidRPr="00DB3A74">
        <w:rPr>
          <w:rFonts w:eastAsia="Calibri"/>
        </w:rPr>
        <w:t xml:space="preserve"> </w:t>
      </w:r>
      <w:r w:rsidRPr="00DB3A74">
        <w:rPr>
          <w:rFonts w:eastAsia="Calibri"/>
        </w:rPr>
        <w:t xml:space="preserve">renewable resources. Individual state targets </w:t>
      </w:r>
      <w:r w:rsidR="002F4A79">
        <w:rPr>
          <w:rFonts w:eastAsia="Calibri"/>
        </w:rPr>
        <w:t xml:space="preserve">for LSEs </w:t>
      </w:r>
      <w:r w:rsidRPr="00DB3A74">
        <w:rPr>
          <w:rFonts w:eastAsia="Calibri"/>
        </w:rPr>
        <w:t xml:space="preserve">for 2021 range from 10% to 59% of the energy they procure, which has driven new proposals for renewable energy. Some of the states also have issued requests for proposals for renewables development. The increased use of various types and amounts of renewable resources may require operational modifications or retrofits, as marginal combustion generators experience higher cycling and lower capacity factors, resulting in additional environmental compliance costs. Resulting higher variable operations and maintenance costs may increase the risk of retirement for such generators. </w:t>
      </w:r>
    </w:p>
    <w:p w:rsidR="00DB3A74" w:rsidRPr="00DB3A74" w:rsidRDefault="00DB3A74" w:rsidP="00DB3A74">
      <w:pPr>
        <w:rPr>
          <w:rFonts w:eastAsia="Calibri"/>
        </w:rPr>
      </w:pPr>
      <w:r w:rsidRPr="00DB3A74">
        <w:rPr>
          <w:rFonts w:eastAsia="Calibri"/>
        </w:rPr>
        <w:t>The New England states take part in the RGGI for limiting CO</w:t>
      </w:r>
      <w:r w:rsidRPr="00DB3A74">
        <w:rPr>
          <w:rFonts w:eastAsia="Calibri"/>
          <w:vertAlign w:val="subscript"/>
        </w:rPr>
        <w:t>2</w:t>
      </w:r>
      <w:r w:rsidRPr="00DB3A74">
        <w:rPr>
          <w:rFonts w:eastAsia="Calibri"/>
        </w:rPr>
        <w:t xml:space="preserve"> emissions by power plants </w:t>
      </w:r>
      <w:r w:rsidR="002F4A79">
        <w:rPr>
          <w:rFonts w:eastAsia="Calibri"/>
        </w:rPr>
        <w:t>as well as</w:t>
      </w:r>
      <w:r w:rsidR="002F4A79" w:rsidRPr="00DB3A74">
        <w:rPr>
          <w:rFonts w:eastAsia="Calibri"/>
        </w:rPr>
        <w:t xml:space="preserve"> </w:t>
      </w:r>
      <w:r w:rsidRPr="00DB3A74">
        <w:rPr>
          <w:rFonts w:eastAsia="Calibri"/>
        </w:rPr>
        <w:t xml:space="preserve">other emission-reduction efforts. Regional generator air emissions remain relatively low compared with historical levels, due to the generation fuel mix, including—in order of percentage share of 2020 annual energy production—native natural gas, nuclear, hydro, wind, other fuel type (landfill gas, methane, refuse, solar, steam and wood), oil, and coal. Higher emissions, however, occur during the winter months because of greater reliance on solid and liquid fuel-fired combustion generators when natural gas is more expensive or in limited supply. The retirement of nuclear units would tend to increase regional emissions, </w:t>
      </w:r>
      <w:r w:rsidR="002F4A79">
        <w:rPr>
          <w:rFonts w:eastAsia="Calibri"/>
        </w:rPr>
        <w:t>while</w:t>
      </w:r>
      <w:r w:rsidR="002F4A79" w:rsidRPr="00DB3A74">
        <w:rPr>
          <w:rFonts w:eastAsia="Calibri"/>
        </w:rPr>
        <w:t xml:space="preserve"> </w:t>
      </w:r>
      <w:r w:rsidRPr="00DB3A74">
        <w:rPr>
          <w:rFonts w:eastAsia="Calibri"/>
        </w:rPr>
        <w:t>the addition of low- or zero-emitting resources would tend to reduce longer-term emissions. A combination of thermal generator retirements and the decreased use of remaining fossil thermal capacity has decreased water use and consumption for power generation compared to historical levels.</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779" w:name="_State_and_Federal"/>
      <w:bookmarkStart w:id="780" w:name="_Ref12273421"/>
      <w:bookmarkStart w:id="781" w:name="_Ref8982370"/>
      <w:bookmarkStart w:id="782" w:name="_Toc490323107"/>
      <w:bookmarkStart w:id="783" w:name="_Ref485736810"/>
      <w:bookmarkStart w:id="784" w:name="_Ref485718449"/>
      <w:bookmarkStart w:id="785" w:name="_Toc485367335"/>
      <w:bookmarkStart w:id="786" w:name="_Toc81544592"/>
      <w:bookmarkEnd w:id="779"/>
      <w:r w:rsidRPr="00DB3A74">
        <w:rPr>
          <w:rFonts w:eastAsia="Times New Roman"/>
        </w:rPr>
        <w:t>State and Federal Initiatives</w:t>
      </w:r>
      <w:bookmarkEnd w:id="780"/>
      <w:bookmarkEnd w:id="781"/>
      <w:bookmarkEnd w:id="782"/>
      <w:bookmarkEnd w:id="783"/>
      <w:bookmarkEnd w:id="784"/>
      <w:bookmarkEnd w:id="785"/>
      <w:bookmarkEnd w:id="786"/>
    </w:p>
    <w:p w:rsidR="00DB3A74" w:rsidRPr="00DB3A74" w:rsidRDefault="00DB3A74" w:rsidP="00DB3A74">
      <w:pPr>
        <w:rPr>
          <w:rFonts w:eastAsia="Calibri"/>
        </w:rPr>
      </w:pPr>
      <w:r w:rsidRPr="00DB3A74">
        <w:rPr>
          <w:rFonts w:eastAsia="Calibri"/>
        </w:rPr>
        <w:t xml:space="preserve">As described throughout this Regional System Plan (RSP), the ISO is involved in a number of </w:t>
      </w:r>
      <w:hyperlink r:id="rId340" w:history="1">
        <w:r w:rsidRPr="004B6FB7">
          <w:rPr>
            <w:rStyle w:val="Hyperlink"/>
          </w:rPr>
          <w:t>government and industry affairs</w:t>
        </w:r>
      </w:hyperlink>
      <w:r w:rsidRPr="00DB3A74">
        <w:rPr>
          <w:rFonts w:eastAsia="Calibri"/>
        </w:rPr>
        <w:t xml:space="preserve"> to keep public officials and policy</w:t>
      </w:r>
      <w:r w:rsidR="005C5D9A">
        <w:rPr>
          <w:rFonts w:eastAsia="Calibri"/>
        </w:rPr>
        <w:t>-</w:t>
      </w:r>
      <w:r w:rsidRPr="00DB3A74">
        <w:rPr>
          <w:rFonts w:eastAsia="Calibri"/>
        </w:rPr>
        <w:t xml:space="preserve">makers, regulators, consumer representatives, and environmental regulators informed regarding important initiatives affecting the energy sector.  These initiatives are aimed at developing and integrating new technologies, improving operating and planning procedures, and updating the wholesale markets to enhance system reliability. Federal initiatives, by </w:t>
      </w:r>
      <w:r w:rsidR="00D906C8">
        <w:rPr>
          <w:rFonts w:eastAsia="Calibri"/>
        </w:rPr>
        <w:t xml:space="preserve">the </w:t>
      </w:r>
      <w:r w:rsidRPr="00DB3A74">
        <w:rPr>
          <w:rFonts w:eastAsia="Calibri"/>
        </w:rPr>
        <w:t xml:space="preserve">Federal Energy Regulatory Commission, </w:t>
      </w:r>
      <w:r w:rsidR="00D906C8">
        <w:rPr>
          <w:rFonts w:eastAsia="Calibri"/>
        </w:rPr>
        <w:t xml:space="preserve">the </w:t>
      </w:r>
      <w:r w:rsidRPr="00DB3A74">
        <w:rPr>
          <w:rFonts w:eastAsia="Calibri"/>
        </w:rPr>
        <w:t xml:space="preserve">Department of Energy, and the White House, also address reliability as well as security issues. At the state and multistate levels, a number of initiatives and policies have a significant impact on the wholesale electricity markets and transmission developed to meet system needs, specifically influencing the timing, type, and location of resources and transmission infrastructure. Initiatives and policies of the six New England states, </w:t>
      </w:r>
      <w:r w:rsidR="00D906C8">
        <w:rPr>
          <w:rFonts w:eastAsia="Calibri"/>
        </w:rPr>
        <w:t xml:space="preserve">individually </w:t>
      </w:r>
      <w:r w:rsidRPr="00DB3A74">
        <w:rPr>
          <w:rFonts w:eastAsia="Calibri"/>
        </w:rPr>
        <w:t xml:space="preserve">and jointly, also address renewable energy and environmental concerns. </w:t>
      </w:r>
    </w:p>
    <w:p w:rsidR="00DB3A74" w:rsidRPr="00DB3A74" w:rsidRDefault="00DB3A74" w:rsidP="002B2229">
      <w:pPr>
        <w:pStyle w:val="Heading2"/>
        <w:rPr>
          <w:rFonts w:eastAsia="Times New Roman"/>
        </w:rPr>
      </w:pPr>
      <w:bookmarkStart w:id="787" w:name="_Toc81544593"/>
      <w:r w:rsidRPr="00DB3A74">
        <w:rPr>
          <w:rFonts w:eastAsia="Times New Roman"/>
        </w:rPr>
        <w:t>Incorporating Federal Policy</w:t>
      </w:r>
      <w:bookmarkEnd w:id="787"/>
    </w:p>
    <w:p w:rsidR="000671A0" w:rsidRDefault="000671A0" w:rsidP="00DB3A74">
      <w:pPr>
        <w:rPr>
          <w:rFonts w:eastAsia="Calibri"/>
        </w:rPr>
      </w:pPr>
      <w:r w:rsidRPr="000671A0">
        <w:rPr>
          <w:rFonts w:eastAsia="Calibri"/>
        </w:rPr>
        <w:t>Federal government activity is being monitored</w:t>
      </w:r>
      <w:r w:rsidR="00B12B27" w:rsidRPr="00B12B27">
        <w:rPr>
          <w:rFonts w:eastAsia="Calibri"/>
        </w:rPr>
        <w:t xml:space="preserve"> </w:t>
      </w:r>
      <w:r w:rsidR="00B12B27" w:rsidRPr="000671A0">
        <w:rPr>
          <w:rFonts w:eastAsia="Calibri"/>
        </w:rPr>
        <w:t>closely</w:t>
      </w:r>
      <w:r w:rsidRPr="000671A0">
        <w:rPr>
          <w:rFonts w:eastAsia="Calibri"/>
        </w:rPr>
        <w:t xml:space="preserve"> to determine potential impacts to the New England planning processes. In early 2021, President Biden revealed a plan to improve America’s electric infrastructure by promoting investment in the transmission system and buildout of renewable resources in the hope that by 2035 electricity will be 100% carbon-free. At the federal agency level, the Department of Energy (DOE) and the Federal Energy Regulatory Commission (FERC), will also significantly impact New England’s wholesale markets and transmission planning through new clean energy and climate-focused regulations.</w:t>
      </w:r>
    </w:p>
    <w:p w:rsidR="00DB3A74" w:rsidRPr="00DB3A74" w:rsidRDefault="00DB3A74" w:rsidP="002B2229">
      <w:pPr>
        <w:pStyle w:val="Heading2"/>
        <w:rPr>
          <w:rFonts w:eastAsia="Times New Roman"/>
        </w:rPr>
      </w:pPr>
      <w:bookmarkStart w:id="788" w:name="_Ref10812974"/>
      <w:bookmarkStart w:id="789" w:name="_Toc490323111"/>
      <w:bookmarkStart w:id="790" w:name="_Toc485367338"/>
      <w:bookmarkStart w:id="791" w:name="_Ref419639926"/>
      <w:bookmarkStart w:id="792" w:name="_Ref416425488"/>
      <w:bookmarkStart w:id="793" w:name="_Toc396807697"/>
      <w:bookmarkStart w:id="794" w:name="_Ref388962933"/>
      <w:bookmarkStart w:id="795" w:name="_Ref388711066"/>
      <w:bookmarkStart w:id="796" w:name="_Ref388278697"/>
      <w:bookmarkStart w:id="797" w:name="_Toc365441063"/>
      <w:bookmarkStart w:id="798" w:name="_Toc81544594"/>
      <w:r w:rsidRPr="00DB3A74">
        <w:rPr>
          <w:rFonts w:eastAsia="Times New Roman"/>
        </w:rPr>
        <w:t>Coordination among the New</w:t>
      </w:r>
      <w:r w:rsidR="007A4A55">
        <w:rPr>
          <w:rFonts w:eastAsia="Times New Roman"/>
        </w:rPr>
        <w:t> </w:t>
      </w:r>
      <w:r w:rsidRPr="00DB3A74">
        <w:rPr>
          <w:rFonts w:eastAsia="Times New Roman"/>
        </w:rPr>
        <w:t>England</w:t>
      </w:r>
      <w:r w:rsidR="007A4A55">
        <w:rPr>
          <w:rFonts w:eastAsia="Times New Roman"/>
        </w:rPr>
        <w:t> </w:t>
      </w:r>
      <w:r w:rsidRPr="00DB3A74">
        <w:rPr>
          <w:rFonts w:eastAsia="Times New Roman"/>
        </w:rPr>
        <w:t>States</w:t>
      </w:r>
      <w:bookmarkEnd w:id="788"/>
      <w:bookmarkEnd w:id="789"/>
      <w:bookmarkEnd w:id="790"/>
      <w:bookmarkEnd w:id="791"/>
      <w:bookmarkEnd w:id="792"/>
      <w:bookmarkEnd w:id="793"/>
      <w:bookmarkEnd w:id="794"/>
      <w:bookmarkEnd w:id="795"/>
      <w:bookmarkEnd w:id="796"/>
      <w:bookmarkEnd w:id="797"/>
      <w:bookmarkEnd w:id="798"/>
      <w:r w:rsidRPr="00DB3A74">
        <w:rPr>
          <w:rFonts w:eastAsia="Times New Roman"/>
        </w:rPr>
        <w:t xml:space="preserve"> </w:t>
      </w:r>
    </w:p>
    <w:p w:rsidR="00DB3A74" w:rsidRPr="00DB3A74" w:rsidRDefault="00DB3A74" w:rsidP="00DB3A74">
      <w:pPr>
        <w:rPr>
          <w:rFonts w:eastAsia="Calibri"/>
        </w:rPr>
      </w:pPr>
      <w:bookmarkStart w:id="799" w:name="_Toc396807698"/>
      <w:bookmarkStart w:id="800" w:name="_Toc365441065"/>
      <w:r w:rsidRPr="00DB3A74">
        <w:rPr>
          <w:rFonts w:eastAsia="Calibri"/>
        </w:rPr>
        <w:t>Each of the New England states is actively involved in the ISO’s regional planning process, individually and through</w:t>
      </w:r>
      <w:r w:rsidR="004B6FB7">
        <w:rPr>
          <w:rFonts w:eastAsia="Calibri"/>
        </w:rPr>
        <w:t xml:space="preserve"> the</w:t>
      </w:r>
      <w:r w:rsidRPr="00DB3A74">
        <w:rPr>
          <w:rFonts w:eastAsia="Calibri"/>
        </w:rPr>
        <w:t xml:space="preserve"> </w:t>
      </w:r>
      <w:hyperlink r:id="rId341" w:history="1">
        <w:r w:rsidR="004B6FB7">
          <w:rPr>
            <w:rStyle w:val="Hyperlink"/>
          </w:rPr>
          <w:t>New England States Committee on Electricity (NESCOE)</w:t>
        </w:r>
      </w:hyperlink>
      <w:r w:rsidRPr="00DB3A74">
        <w:rPr>
          <w:rFonts w:eastAsia="Calibri"/>
        </w:rPr>
        <w:t xml:space="preserve">. NESCOE serves as one forum for representatives from the states to participate in the ISO's decision-making processes, including those dealing with resource adequacy and system planning and infrastructure expansion. NESCOE’s priorities are highlighted in their </w:t>
      </w:r>
      <w:hyperlink r:id="rId342" w:history="1">
        <w:r w:rsidRPr="004B6FB7">
          <w:rPr>
            <w:rStyle w:val="Hyperlink"/>
          </w:rPr>
          <w:t>annual report</w:t>
        </w:r>
      </w:hyperlink>
      <w:r w:rsidRPr="00DB3A74">
        <w:rPr>
          <w:rFonts w:eastAsia="Calibri"/>
        </w:rPr>
        <w:t xml:space="preserve">; the latest version was posted </w:t>
      </w:r>
      <w:r w:rsidR="00627698" w:rsidRPr="00627698">
        <w:rPr>
          <w:rFonts w:eastAsia="Calibri"/>
        </w:rPr>
        <w:t>July 28, 2021</w:t>
      </w:r>
      <w:r w:rsidRPr="00DB3A74">
        <w:rPr>
          <w:rFonts w:eastAsia="Calibri"/>
        </w:rPr>
        <w:t>. NESCOE representatives are active in the regional stakeholder processes and also actively involved in discussions about the ISO’s annual work plan.</w:t>
      </w:r>
    </w:p>
    <w:p w:rsidR="00DB3A74" w:rsidRPr="00DB3A74" w:rsidRDefault="00DB3A74" w:rsidP="00DB3A74">
      <w:pPr>
        <w:rPr>
          <w:rFonts w:eastAsia="Times New Roman"/>
        </w:rPr>
      </w:pPr>
      <w:r w:rsidRPr="00DB3A74">
        <w:rPr>
          <w:rFonts w:eastAsia="Times New Roman"/>
        </w:rPr>
        <w:t xml:space="preserve">In addition to NESCOE, the ISO works collaboratively with the New England Conference of Public Utilities Commissioners (NECPUC), the New England governors’ offices, </w:t>
      </w:r>
      <w:r w:rsidR="00C0649F">
        <w:rPr>
          <w:rFonts w:eastAsia="Times New Roman"/>
        </w:rPr>
        <w:t xml:space="preserve">state energy offices, </w:t>
      </w:r>
      <w:r w:rsidRPr="00DB3A74">
        <w:rPr>
          <w:rFonts w:eastAsia="Times New Roman"/>
        </w:rPr>
        <w:t>and the states’ consumer advocates. The ISO provides monthly updates to the states on regional stakeholder discussions regarding the regional planning process and the wholesale electricity markets.</w:t>
      </w:r>
      <w:r w:rsidRPr="00DB3A74">
        <w:rPr>
          <w:rFonts w:eastAsia="Calibri"/>
          <w:vertAlign w:val="superscript"/>
        </w:rPr>
        <w:footnoteReference w:id="144"/>
      </w:r>
      <w:r w:rsidRPr="00DB3A74">
        <w:rPr>
          <w:rFonts w:eastAsia="Times New Roman"/>
        </w:rPr>
        <w:t xml:space="preserve"> </w:t>
      </w:r>
    </w:p>
    <w:p w:rsidR="00DB3A74" w:rsidRPr="00DB3A74" w:rsidRDefault="00DB3A74" w:rsidP="002B2229">
      <w:pPr>
        <w:pStyle w:val="Heading3"/>
        <w:rPr>
          <w:rFonts w:eastAsia="Times New Roman"/>
        </w:rPr>
      </w:pPr>
      <w:bookmarkStart w:id="801" w:name="_Toc81544595"/>
      <w:r w:rsidRPr="00DB3A74">
        <w:rPr>
          <w:rFonts w:eastAsia="Times New Roman"/>
        </w:rPr>
        <w:t>New England State</w:t>
      </w:r>
      <w:r w:rsidR="000048B9">
        <w:rPr>
          <w:rFonts w:eastAsia="Times New Roman"/>
        </w:rPr>
        <w:t>s’</w:t>
      </w:r>
      <w:r w:rsidRPr="00DB3A74">
        <w:rPr>
          <w:rFonts w:eastAsia="Times New Roman"/>
        </w:rPr>
        <w:t xml:space="preserve"> Renewable Energy</w:t>
      </w:r>
      <w:r w:rsidR="007A4A55">
        <w:rPr>
          <w:rFonts w:eastAsia="Times New Roman"/>
        </w:rPr>
        <w:t> </w:t>
      </w:r>
      <w:r w:rsidRPr="00DB3A74">
        <w:rPr>
          <w:rFonts w:eastAsia="Times New Roman"/>
        </w:rPr>
        <w:t>Vision</w:t>
      </w:r>
      <w:bookmarkEnd w:id="801"/>
    </w:p>
    <w:p w:rsidR="00DB3A74" w:rsidRPr="00DB3A74" w:rsidRDefault="00DB3A74" w:rsidP="00DB3A74">
      <w:pPr>
        <w:rPr>
          <w:rFonts w:eastAsia="Times New Roman"/>
        </w:rPr>
      </w:pPr>
      <w:r w:rsidRPr="00DB3A74">
        <w:rPr>
          <w:rFonts w:eastAsia="Calibri"/>
        </w:rPr>
        <w:t xml:space="preserve">On October 16, 2020, the New England States Committee on Electricity (NESCOE) released a vision statement on behalf of the six New England states focused on three key areas: wholesale market design, transmission planning, and ISO governance. The states have posted the vision statement along with information about a series of forums they have hosted since its release on the </w:t>
      </w:r>
      <w:hyperlink r:id="rId343" w:history="1">
        <w:r w:rsidRPr="00C247FD">
          <w:rPr>
            <w:rStyle w:val="Hyperlink"/>
          </w:rPr>
          <w:t>New England Energy Vision website</w:t>
        </w:r>
      </w:hyperlink>
      <w:r w:rsidRPr="00DB3A74">
        <w:rPr>
          <w:rFonts w:eastAsia="Calibri"/>
        </w:rPr>
        <w:t>. In 2021, in the area of transmission planning, the ISO is undertaking a new study that looks at integrating large-scale renewable energy resources into the power system beyond the current 10-year planning horizon for reliability studies. The ISO is initiating the new study, referred to as the 2050 transmission study, as a direct response to the states’ vision and it will be developed with direct input from the states on the assumptions for the power system in the 2050 timeframe. Also, in 2021, the ISO is beginning discussions with stakeholders about developing potential tariff changes to make this type of analysis a recurring study effort.</w:t>
      </w:r>
    </w:p>
    <w:p w:rsidR="00DB3A74" w:rsidRPr="00DB3A74" w:rsidRDefault="00DB3A74" w:rsidP="002B2229">
      <w:pPr>
        <w:pStyle w:val="Heading3"/>
        <w:rPr>
          <w:rFonts w:eastAsia="Times New Roman"/>
        </w:rPr>
      </w:pPr>
      <w:bookmarkStart w:id="802" w:name="_Toc490323112"/>
      <w:bookmarkStart w:id="803" w:name="_Toc485367339"/>
      <w:bookmarkStart w:id="804" w:name="_Toc81544596"/>
      <w:r w:rsidRPr="00DB3A74">
        <w:rPr>
          <w:rFonts w:eastAsia="Times New Roman"/>
        </w:rPr>
        <w:t>Consumer Liaison Group</w:t>
      </w:r>
      <w:bookmarkEnd w:id="799"/>
      <w:bookmarkEnd w:id="800"/>
      <w:bookmarkEnd w:id="802"/>
      <w:bookmarkEnd w:id="803"/>
      <w:bookmarkEnd w:id="804"/>
    </w:p>
    <w:p w:rsidR="00DB3A74" w:rsidRPr="00DB3A74" w:rsidRDefault="00DB3A74" w:rsidP="00DB3A74">
      <w:pPr>
        <w:rPr>
          <w:rFonts w:eastAsia="Calibri"/>
        </w:rPr>
      </w:pPr>
      <w:bookmarkStart w:id="805" w:name="_Ref419278782"/>
      <w:r w:rsidRPr="00DB3A74">
        <w:rPr>
          <w:rFonts w:eastAsia="Calibri"/>
        </w:rPr>
        <w:t xml:space="preserve">The ISO and regional electricity market stakeholders created the </w:t>
      </w:r>
      <w:hyperlink r:id="rId344" w:history="1">
        <w:r w:rsidRPr="00C247FD">
          <w:rPr>
            <w:rStyle w:val="Hyperlink"/>
          </w:rPr>
          <w:t>Consumer Liaison Group (CLG)</w:t>
        </w:r>
      </w:hyperlink>
      <w:r w:rsidRPr="00DB3A74">
        <w:rPr>
          <w:rFonts w:eastAsia="Calibri"/>
        </w:rPr>
        <w:t xml:space="preserve"> in 2009 as an additional means to facilitate the consideration of consumer interests in determining the needs and solutions for the region’s power system.</w:t>
      </w:r>
      <w:r w:rsidRPr="00DB3A74">
        <w:rPr>
          <w:rFonts w:eastAsia="Calibri"/>
          <w:vertAlign w:val="superscript"/>
        </w:rPr>
        <w:footnoteReference w:id="145"/>
      </w:r>
      <w:r w:rsidRPr="00DB3A74">
        <w:rPr>
          <w:rFonts w:eastAsia="Calibri"/>
        </w:rPr>
        <w:t xml:space="preserve"> With representatives from state offices of consumer advocates and attorneys general, large industrial and commercial consumers, chambers of commerce, and others, the CLG meets quarterly to address various electricity issues affecting consumers. With the input of CLG members, a Coordinating Committee guides CLG meeting agendas and ideas for special guest speakers and discussion topics.</w:t>
      </w:r>
    </w:p>
    <w:p w:rsidR="00DB3A74" w:rsidRDefault="00DB3A74" w:rsidP="00DB3A74">
      <w:pPr>
        <w:rPr>
          <w:rFonts w:eastAsia="Calibri"/>
        </w:rPr>
      </w:pPr>
      <w:r w:rsidRPr="00DB3A74">
        <w:rPr>
          <w:rFonts w:eastAsia="Calibri"/>
        </w:rPr>
        <w:t xml:space="preserve">The CLG posts meeting materials and summaries on its </w:t>
      </w:r>
      <w:hyperlink r:id="rId345" w:history="1">
        <w:r w:rsidRPr="00C247FD">
          <w:rPr>
            <w:rStyle w:val="Hyperlink"/>
          </w:rPr>
          <w:t>website</w:t>
        </w:r>
      </w:hyperlink>
      <w:r w:rsidRPr="00DB3A74">
        <w:rPr>
          <w:rFonts w:eastAsia="Calibri"/>
        </w:rPr>
        <w:t xml:space="preserve">. On March 10, 2021, the CLG Coordinating Committee (CLGCC) and the ISO issued the </w:t>
      </w:r>
      <w:hyperlink r:id="rId346" w:history="1">
        <w:r w:rsidRPr="00C247FD">
          <w:rPr>
            <w:rStyle w:val="Hyperlink"/>
            <w:i/>
          </w:rPr>
          <w:t>2020 Report of the Consumer Liaison Group</w:t>
        </w:r>
      </w:hyperlink>
      <w:r w:rsidRPr="00DB3A74">
        <w:rPr>
          <w:rFonts w:eastAsia="Calibri"/>
        </w:rPr>
        <w:t xml:space="preserve">, which summarizes the activities of the CLG in 2020. It also provides an update on ISO activities and initiatives, as well as wholesale electricity costs and retail electricity rates. </w:t>
      </w:r>
      <w:bookmarkStart w:id="806" w:name="_Toc490323114"/>
      <w:bookmarkStart w:id="807" w:name="_Toc485367341"/>
      <w:bookmarkStart w:id="808" w:name="_Toc396807699"/>
      <w:bookmarkStart w:id="809" w:name="_Toc365441066"/>
      <w:bookmarkEnd w:id="805"/>
      <w:r w:rsidR="00BE3A44">
        <w:rPr>
          <w:rFonts w:eastAsia="Calibri"/>
        </w:rPr>
        <w:t>Since 2008, retail electricity prices have followed wholesale p</w:t>
      </w:r>
      <w:r w:rsidR="00873B49" w:rsidRPr="00873B49">
        <w:rPr>
          <w:rFonts w:eastAsia="Calibri"/>
        </w:rPr>
        <w:t xml:space="preserve">rices, </w:t>
      </w:r>
      <w:r w:rsidR="00BE3A44">
        <w:rPr>
          <w:rFonts w:eastAsia="Calibri"/>
        </w:rPr>
        <w:t>b</w:t>
      </w:r>
      <w:r w:rsidR="00873B49" w:rsidRPr="00873B49">
        <w:rPr>
          <w:rFonts w:eastAsia="Calibri"/>
        </w:rPr>
        <w:t xml:space="preserve">ut </w:t>
      </w:r>
      <w:r w:rsidR="00BE3A44">
        <w:rPr>
          <w:rFonts w:eastAsia="Calibri"/>
        </w:rPr>
        <w:t>individual state p</w:t>
      </w:r>
      <w:r w:rsidR="00873B49" w:rsidRPr="00873B49">
        <w:rPr>
          <w:rFonts w:eastAsia="Calibri"/>
        </w:rPr>
        <w:t>olicies</w:t>
      </w:r>
      <w:r w:rsidR="00BE3A44">
        <w:rPr>
          <w:rFonts w:eastAsia="Calibri"/>
        </w:rPr>
        <w:t xml:space="preserve"> are influencing retail rates as shown in</w:t>
      </w:r>
      <w:r w:rsidR="00F85CFE">
        <w:rPr>
          <w:rFonts w:eastAsia="Calibri"/>
        </w:rPr>
        <w:t xml:space="preserve"> </w:t>
      </w:r>
      <w:r w:rsidR="00C55CB0" w:rsidRPr="00C247FD">
        <w:rPr>
          <w:rFonts w:eastAsia="Calibri"/>
          <w:color w:val="0070C0"/>
          <w:u w:val="single"/>
        </w:rPr>
        <w:fldChar w:fldCharType="begin"/>
      </w:r>
      <w:r w:rsidR="00C55CB0" w:rsidRPr="00C247FD">
        <w:rPr>
          <w:rFonts w:eastAsia="Calibri"/>
          <w:color w:val="0070C0"/>
          <w:u w:val="single"/>
        </w:rPr>
        <w:instrText xml:space="preserve"> REF _Ref77665396 \h </w:instrText>
      </w:r>
      <w:r w:rsidR="00C55CB0" w:rsidRPr="00C247FD">
        <w:rPr>
          <w:rFonts w:eastAsia="Calibri"/>
          <w:color w:val="0070C0"/>
          <w:u w:val="single"/>
        </w:rPr>
      </w:r>
      <w:r w:rsidR="00C55CB0" w:rsidRPr="00C247FD">
        <w:rPr>
          <w:rFonts w:eastAsia="Calibri"/>
          <w:color w:val="0070C0"/>
          <w:u w:val="single"/>
        </w:rPr>
        <w:fldChar w:fldCharType="separate"/>
      </w:r>
      <w:r w:rsidR="00C55CB0" w:rsidRPr="00C247FD">
        <w:rPr>
          <w:color w:val="0070C0"/>
          <w:u w:val="single"/>
        </w:rPr>
        <w:t xml:space="preserve">Figure </w:t>
      </w:r>
      <w:r w:rsidR="00C55CB0" w:rsidRPr="00C247FD">
        <w:rPr>
          <w:noProof/>
          <w:color w:val="0070C0"/>
          <w:u w:val="single"/>
        </w:rPr>
        <w:t>7</w:t>
      </w:r>
      <w:r w:rsidR="00C55CB0" w:rsidRPr="00C247FD">
        <w:rPr>
          <w:color w:val="0070C0"/>
          <w:u w:val="single"/>
        </w:rPr>
        <w:noBreakHyphen/>
      </w:r>
      <w:r w:rsidR="00C55CB0" w:rsidRPr="00C247FD">
        <w:rPr>
          <w:noProof/>
          <w:color w:val="0070C0"/>
          <w:u w:val="single"/>
        </w:rPr>
        <w:t>1</w:t>
      </w:r>
      <w:r w:rsidR="00C55CB0" w:rsidRPr="00C247FD">
        <w:rPr>
          <w:rFonts w:eastAsia="Calibri"/>
          <w:color w:val="0070C0"/>
          <w:u w:val="single"/>
        </w:rPr>
        <w:fldChar w:fldCharType="end"/>
      </w:r>
      <w:r w:rsidR="00BE3A44">
        <w:rPr>
          <w:rFonts w:eastAsia="Calibri"/>
        </w:rPr>
        <w:t xml:space="preserve"> below.</w:t>
      </w:r>
    </w:p>
    <w:p w:rsidR="00BE3A44" w:rsidRDefault="00BE3A44" w:rsidP="009C1856">
      <w:pPr>
        <w:rPr>
          <w:rFonts w:eastAsia="Calibri"/>
        </w:rPr>
      </w:pPr>
      <w:r w:rsidRPr="00BE3A44">
        <w:rPr>
          <w:noProof/>
        </w:rPr>
        <w:drawing>
          <wp:inline distT="0" distB="0" distL="0" distR="0" wp14:anchorId="507AB776" wp14:editId="0EDCFA6B">
            <wp:extent cx="5288280" cy="267408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304181" cy="2682124"/>
                    </a:xfrm>
                    <a:prstGeom prst="rect">
                      <a:avLst/>
                    </a:prstGeom>
                  </pic:spPr>
                </pic:pic>
              </a:graphicData>
            </a:graphic>
          </wp:inline>
        </w:drawing>
      </w:r>
    </w:p>
    <w:p w:rsidR="00295FB9" w:rsidRPr="00295FB9" w:rsidRDefault="00295FB9" w:rsidP="00295FB9">
      <w:pPr>
        <w:spacing w:after="0" w:line="240" w:lineRule="auto"/>
        <w:rPr>
          <w:rFonts w:eastAsia="Calibri"/>
          <w:sz w:val="12"/>
        </w:rPr>
      </w:pPr>
      <w:r w:rsidRPr="00295FB9">
        <w:rPr>
          <w:rFonts w:eastAsia="Calibri"/>
          <w:bCs/>
          <w:sz w:val="12"/>
        </w:rPr>
        <w:t>Source</w:t>
      </w:r>
      <w:r w:rsidRPr="00295FB9">
        <w:rPr>
          <w:rFonts w:eastAsia="Calibri"/>
          <w:sz w:val="12"/>
        </w:rPr>
        <w:t xml:space="preserve">: U.S. Energy Information Administration, </w:t>
      </w:r>
      <w:r w:rsidRPr="00295FB9">
        <w:rPr>
          <w:rFonts w:eastAsia="Calibri"/>
          <w:i/>
          <w:iCs/>
          <w:sz w:val="12"/>
        </w:rPr>
        <w:t>Electric Power Monthly</w:t>
      </w:r>
      <w:r w:rsidRPr="00295FB9">
        <w:rPr>
          <w:rFonts w:eastAsia="Calibri"/>
          <w:sz w:val="12"/>
        </w:rPr>
        <w:t>, Average Retail Price of Electricity to Ultimate Customers by End-Use Sector, by State (Annual);</w:t>
      </w:r>
    </w:p>
    <w:p w:rsidR="00295FB9" w:rsidRPr="00295FB9" w:rsidRDefault="00D37EB1" w:rsidP="00295FB9">
      <w:pPr>
        <w:spacing w:after="0" w:line="240" w:lineRule="auto"/>
        <w:rPr>
          <w:rFonts w:eastAsia="Calibri"/>
          <w:sz w:val="12"/>
        </w:rPr>
      </w:pPr>
      <w:hyperlink r:id="rId348" w:history="1">
        <w:r w:rsidR="00295FB9" w:rsidRPr="00295FB9">
          <w:rPr>
            <w:rStyle w:val="Hyperlink"/>
            <w:rFonts w:eastAsia="Calibri"/>
            <w:i/>
            <w:iCs/>
            <w:sz w:val="12"/>
          </w:rPr>
          <w:t xml:space="preserve">2020 </w:t>
        </w:r>
      </w:hyperlink>
      <w:hyperlink r:id="rId349" w:history="1">
        <w:r w:rsidR="00295FB9" w:rsidRPr="00295FB9">
          <w:rPr>
            <w:rStyle w:val="Hyperlink"/>
            <w:rFonts w:eastAsia="Calibri"/>
            <w:i/>
            <w:iCs/>
            <w:sz w:val="12"/>
          </w:rPr>
          <w:t>Report of the Consumer Liaison Group</w:t>
        </w:r>
      </w:hyperlink>
      <w:r w:rsidR="00295FB9" w:rsidRPr="00295FB9">
        <w:rPr>
          <w:rFonts w:eastAsia="Calibri"/>
          <w:sz w:val="12"/>
        </w:rPr>
        <w:t xml:space="preserve">, the New England all-in wholesale electricity price is derived by dividing total wholesale electricity costs </w:t>
      </w:r>
      <w:r w:rsidR="00295FB9" w:rsidRPr="00295FB9">
        <w:rPr>
          <w:rFonts w:eastAsia="Calibri"/>
          <w:sz w:val="12"/>
        </w:rPr>
        <w:br/>
        <w:t>by real-time load obligation (presented for illustrative purposes; does not reflect actual charge methodologies)</w:t>
      </w:r>
    </w:p>
    <w:p w:rsidR="00295FB9" w:rsidRDefault="00295FB9" w:rsidP="009C1856">
      <w:pPr>
        <w:spacing w:after="0"/>
        <w:rPr>
          <w:rFonts w:eastAsia="Calibri"/>
          <w:b/>
        </w:rPr>
      </w:pPr>
    </w:p>
    <w:p w:rsidR="00BE3A44" w:rsidRPr="00201B3A" w:rsidRDefault="00F85CFE" w:rsidP="00F85CFE">
      <w:pPr>
        <w:pStyle w:val="Caption"/>
        <w:jc w:val="left"/>
        <w:rPr>
          <w:rFonts w:asciiTheme="minorHAnsi" w:eastAsia="Calibri" w:hAnsiTheme="minorHAnsi" w:cstheme="minorHAnsi"/>
        </w:rPr>
      </w:pPr>
      <w:bookmarkStart w:id="810" w:name="_Ref77665396"/>
      <w:bookmarkStart w:id="811" w:name="_Toc81544622"/>
      <w:r w:rsidRPr="00201B3A">
        <w:t xml:space="preserve">Figure </w:t>
      </w:r>
      <w:fldSimple w:instr=" STYLEREF 1 \s ">
        <w:r w:rsidR="00F85E49">
          <w:rPr>
            <w:noProof/>
          </w:rPr>
          <w:t>7</w:t>
        </w:r>
      </w:fldSimple>
      <w:r w:rsidR="00F85E49">
        <w:noBreakHyphen/>
      </w:r>
      <w:fldSimple w:instr=" SEQ Figure \* ARABIC \s 1 ">
        <w:r w:rsidR="00F85E49">
          <w:rPr>
            <w:noProof/>
          </w:rPr>
          <w:t>1</w:t>
        </w:r>
      </w:fldSimple>
      <w:bookmarkEnd w:id="810"/>
      <w:r w:rsidR="00BE3A44" w:rsidRPr="00201B3A">
        <w:rPr>
          <w:rFonts w:asciiTheme="minorHAnsi" w:eastAsia="Calibri" w:hAnsiTheme="minorHAnsi" w:cstheme="minorHAnsi"/>
        </w:rPr>
        <w:t xml:space="preserve">: Annual </w:t>
      </w:r>
      <w:r w:rsidR="00D2356F">
        <w:rPr>
          <w:rFonts w:asciiTheme="minorHAnsi" w:eastAsia="Calibri" w:hAnsiTheme="minorHAnsi" w:cstheme="minorHAnsi"/>
        </w:rPr>
        <w:t>a</w:t>
      </w:r>
      <w:r w:rsidR="00BE3A44" w:rsidRPr="00201B3A">
        <w:rPr>
          <w:rFonts w:asciiTheme="minorHAnsi" w:eastAsia="Calibri" w:hAnsiTheme="minorHAnsi" w:cstheme="minorHAnsi"/>
        </w:rPr>
        <w:t xml:space="preserve">verage </w:t>
      </w:r>
      <w:r w:rsidR="00D2356F">
        <w:rPr>
          <w:rFonts w:asciiTheme="minorHAnsi" w:eastAsia="Calibri" w:hAnsiTheme="minorHAnsi" w:cstheme="minorHAnsi"/>
        </w:rPr>
        <w:t>r</w:t>
      </w:r>
      <w:r w:rsidR="00BE3A44" w:rsidRPr="00201B3A">
        <w:rPr>
          <w:rFonts w:asciiTheme="minorHAnsi" w:eastAsia="Calibri" w:hAnsiTheme="minorHAnsi" w:cstheme="minorHAnsi"/>
        </w:rPr>
        <w:t xml:space="preserve">etail </w:t>
      </w:r>
      <w:r w:rsidR="00D2356F">
        <w:rPr>
          <w:rFonts w:asciiTheme="minorHAnsi" w:eastAsia="Calibri" w:hAnsiTheme="minorHAnsi" w:cstheme="minorHAnsi"/>
        </w:rPr>
        <w:t>p</w:t>
      </w:r>
      <w:r w:rsidR="00BE3A44" w:rsidRPr="00201B3A">
        <w:rPr>
          <w:rFonts w:asciiTheme="minorHAnsi" w:eastAsia="Calibri" w:hAnsiTheme="minorHAnsi" w:cstheme="minorHAnsi"/>
        </w:rPr>
        <w:t xml:space="preserve">rice of </w:t>
      </w:r>
      <w:r w:rsidR="00D2356F">
        <w:rPr>
          <w:rFonts w:asciiTheme="minorHAnsi" w:eastAsia="Calibri" w:hAnsiTheme="minorHAnsi" w:cstheme="minorHAnsi"/>
        </w:rPr>
        <w:t>e</w:t>
      </w:r>
      <w:r w:rsidR="00BE3A44" w:rsidRPr="00201B3A">
        <w:rPr>
          <w:rFonts w:asciiTheme="minorHAnsi" w:eastAsia="Calibri" w:hAnsiTheme="minorHAnsi" w:cstheme="minorHAnsi"/>
        </w:rPr>
        <w:t xml:space="preserve">lectricity for </w:t>
      </w:r>
      <w:r w:rsidR="00D2356F">
        <w:rPr>
          <w:rFonts w:asciiTheme="minorHAnsi" w:eastAsia="Calibri" w:hAnsiTheme="minorHAnsi" w:cstheme="minorHAnsi"/>
        </w:rPr>
        <w:t>r</w:t>
      </w:r>
      <w:r w:rsidR="00BE3A44" w:rsidRPr="00201B3A">
        <w:rPr>
          <w:rFonts w:asciiTheme="minorHAnsi" w:eastAsia="Calibri" w:hAnsiTheme="minorHAnsi" w:cstheme="minorHAnsi"/>
        </w:rPr>
        <w:t xml:space="preserve">esidential </w:t>
      </w:r>
      <w:r w:rsidR="00D2356F">
        <w:rPr>
          <w:rFonts w:asciiTheme="minorHAnsi" w:eastAsia="Calibri" w:hAnsiTheme="minorHAnsi" w:cstheme="minorHAnsi"/>
        </w:rPr>
        <w:t>c</w:t>
      </w:r>
      <w:r w:rsidR="00BE3A44" w:rsidRPr="00201B3A">
        <w:rPr>
          <w:rFonts w:asciiTheme="minorHAnsi" w:eastAsia="Calibri" w:hAnsiTheme="minorHAnsi" w:cstheme="minorHAnsi"/>
        </w:rPr>
        <w:t xml:space="preserve">ustomers in </w:t>
      </w:r>
      <w:r w:rsidR="00D2356F">
        <w:rPr>
          <w:rFonts w:asciiTheme="minorHAnsi" w:eastAsia="Calibri" w:hAnsiTheme="minorHAnsi" w:cstheme="minorHAnsi"/>
        </w:rPr>
        <w:t>e</w:t>
      </w:r>
      <w:r w:rsidR="00BE3A44" w:rsidRPr="00201B3A">
        <w:rPr>
          <w:rFonts w:asciiTheme="minorHAnsi" w:eastAsia="Calibri" w:hAnsiTheme="minorHAnsi" w:cstheme="minorHAnsi"/>
        </w:rPr>
        <w:t xml:space="preserve">ach New England </w:t>
      </w:r>
      <w:r w:rsidR="00D2356F">
        <w:rPr>
          <w:rFonts w:asciiTheme="minorHAnsi" w:eastAsia="Calibri" w:hAnsiTheme="minorHAnsi" w:cstheme="minorHAnsi"/>
        </w:rPr>
        <w:t>s</w:t>
      </w:r>
      <w:r w:rsidR="00BE3A44" w:rsidRPr="00201B3A">
        <w:rPr>
          <w:rFonts w:asciiTheme="minorHAnsi" w:eastAsia="Calibri" w:hAnsiTheme="minorHAnsi" w:cstheme="minorHAnsi"/>
        </w:rPr>
        <w:t>tate (cents/kWh)</w:t>
      </w:r>
      <w:bookmarkEnd w:id="811"/>
    </w:p>
    <w:p w:rsidR="00DB3A74" w:rsidRPr="00DB3A74" w:rsidRDefault="00DB3A74" w:rsidP="002B2229">
      <w:pPr>
        <w:pStyle w:val="Heading2"/>
        <w:rPr>
          <w:rFonts w:eastAsia="Times New Roman"/>
        </w:rPr>
      </w:pPr>
      <w:bookmarkStart w:id="812" w:name="_Ref16844307"/>
      <w:bookmarkStart w:id="813" w:name="_Ref13137461"/>
      <w:bookmarkStart w:id="814" w:name="_Ref13054996"/>
      <w:bookmarkStart w:id="815" w:name="_Ref12735810"/>
      <w:bookmarkStart w:id="816" w:name="_Toc490323118"/>
      <w:bookmarkStart w:id="817" w:name="_Ref487012046"/>
      <w:bookmarkStart w:id="818" w:name="_Toc485367345"/>
      <w:bookmarkStart w:id="819" w:name="_Toc396807703"/>
      <w:bookmarkStart w:id="820" w:name="_Ref388278661"/>
      <w:bookmarkStart w:id="821" w:name="_Toc365441070"/>
      <w:bookmarkStart w:id="822" w:name="_Ref12103183"/>
      <w:bookmarkStart w:id="823" w:name="_Toc81544597"/>
      <w:bookmarkEnd w:id="806"/>
      <w:bookmarkEnd w:id="807"/>
      <w:bookmarkEnd w:id="808"/>
      <w:bookmarkEnd w:id="809"/>
      <w:r w:rsidRPr="00DB3A74">
        <w:rPr>
          <w:rFonts w:eastAsia="Times New Roman"/>
        </w:rPr>
        <w:t>Individual State Initiatives, Activities, and</w:t>
      </w:r>
      <w:r w:rsidR="007A4A55">
        <w:rPr>
          <w:rFonts w:eastAsia="Times New Roman"/>
        </w:rPr>
        <w:t> </w:t>
      </w:r>
      <w:r w:rsidRPr="00DB3A74">
        <w:rPr>
          <w:rFonts w:eastAsia="Times New Roman"/>
        </w:rPr>
        <w:t>Policies</w:t>
      </w:r>
      <w:bookmarkEnd w:id="812"/>
      <w:bookmarkEnd w:id="813"/>
      <w:bookmarkEnd w:id="814"/>
      <w:bookmarkEnd w:id="815"/>
      <w:bookmarkEnd w:id="816"/>
      <w:bookmarkEnd w:id="817"/>
      <w:bookmarkEnd w:id="818"/>
      <w:bookmarkEnd w:id="819"/>
      <w:bookmarkEnd w:id="820"/>
      <w:bookmarkEnd w:id="821"/>
      <w:bookmarkEnd w:id="823"/>
      <w:r w:rsidRPr="00DB3A74">
        <w:rPr>
          <w:rFonts w:eastAsia="Times New Roman"/>
        </w:rPr>
        <w:t xml:space="preserve"> </w:t>
      </w:r>
      <w:bookmarkEnd w:id="822"/>
    </w:p>
    <w:p w:rsidR="00DB3A74" w:rsidRPr="00DB3A74" w:rsidRDefault="00DB3A74" w:rsidP="00DB3A74">
      <w:pPr>
        <w:rPr>
          <w:rFonts w:eastAsia="Calibri"/>
        </w:rPr>
      </w:pPr>
      <w:r w:rsidRPr="00DB3A74">
        <w:rPr>
          <w:rFonts w:eastAsia="Calibri"/>
        </w:rPr>
        <w:t xml:space="preserve">The New England states have worked together continually to identify, discuss, and address energy issues of common interest. Even with this history of cooperation, each state has a unique set of energy policy objectives and goals. This section builds on the discussion of RPSs and procurement policies discussed in other sections of RSP21 and summarizes additional actions the individual New England states have taken pertaining to regional system planning, including several recently implemented laws, policies, and initiatives. The current trends show an increased focus on offshore wind, </w:t>
      </w:r>
      <w:r w:rsidR="000B4417">
        <w:rPr>
          <w:rFonts w:eastAsia="Calibri"/>
        </w:rPr>
        <w:t>e</w:t>
      </w:r>
      <w:r w:rsidRPr="00DB3A74">
        <w:rPr>
          <w:rFonts w:eastAsia="Calibri"/>
        </w:rPr>
        <w:t xml:space="preserve">nergy </w:t>
      </w:r>
      <w:r w:rsidR="000B4417">
        <w:rPr>
          <w:rFonts w:eastAsia="Calibri"/>
        </w:rPr>
        <w:t>e</w:t>
      </w:r>
      <w:r w:rsidRPr="00DB3A74">
        <w:rPr>
          <w:rFonts w:eastAsia="Calibri"/>
        </w:rPr>
        <w:t>fficiency, and energy-storage deployment, as well as grid-modernization efforts.</w:t>
      </w:r>
    </w:p>
    <w:p w:rsidR="00DB3A74" w:rsidRPr="00DB3A74" w:rsidRDefault="00DB3A74" w:rsidP="002B2229">
      <w:pPr>
        <w:pStyle w:val="Heading3"/>
        <w:rPr>
          <w:rFonts w:eastAsia="Times New Roman"/>
        </w:rPr>
      </w:pPr>
      <w:bookmarkStart w:id="824" w:name="_Ref12737639"/>
      <w:bookmarkStart w:id="825" w:name="_Toc490323120"/>
      <w:bookmarkStart w:id="826" w:name="_Toc485367347"/>
      <w:bookmarkStart w:id="827" w:name="_Toc396807704"/>
      <w:bookmarkStart w:id="828" w:name="_Toc365441071"/>
      <w:bookmarkStart w:id="829" w:name="_Toc81544598"/>
      <w:r w:rsidRPr="00DB3A74">
        <w:rPr>
          <w:rFonts w:eastAsia="Times New Roman"/>
        </w:rPr>
        <w:t>Connecticut</w:t>
      </w:r>
      <w:bookmarkEnd w:id="824"/>
      <w:bookmarkEnd w:id="825"/>
      <w:bookmarkEnd w:id="826"/>
      <w:bookmarkEnd w:id="827"/>
      <w:bookmarkEnd w:id="828"/>
      <w:bookmarkEnd w:id="829"/>
      <w:r w:rsidRPr="00DB3A74">
        <w:rPr>
          <w:rFonts w:eastAsia="Times New Roman"/>
        </w:rPr>
        <w:t xml:space="preserve"> </w:t>
      </w:r>
    </w:p>
    <w:p w:rsidR="00DB3A74" w:rsidRPr="00DB3A74" w:rsidRDefault="00DB3A74" w:rsidP="00DB3A74">
      <w:pPr>
        <w:rPr>
          <w:rFonts w:eastAsia="Calibri"/>
        </w:rPr>
      </w:pPr>
      <w:bookmarkStart w:id="830" w:name="_Toc396807707"/>
      <w:bookmarkStart w:id="831" w:name="_Toc365441074"/>
      <w:bookmarkStart w:id="832" w:name="_Toc396807706"/>
      <w:bookmarkStart w:id="833" w:name="_Toc365441073"/>
      <w:bookmarkStart w:id="834" w:name="_Toc396807705"/>
      <w:bookmarkStart w:id="835" w:name="_Toc365441072"/>
      <w:r w:rsidRPr="00DB3A74">
        <w:rPr>
          <w:rFonts w:eastAsia="Calibri"/>
        </w:rPr>
        <w:t xml:space="preserve">Connecticut state law requires the Connecticut Department of Energy and Environmental Protection (CT DEEP) to periodically prepare a </w:t>
      </w:r>
      <w:hyperlink r:id="rId350" w:history="1">
        <w:r w:rsidRPr="00C247FD">
          <w:rPr>
            <w:rStyle w:val="Hyperlink"/>
          </w:rPr>
          <w:t>comprehensive energy and climate strategy</w:t>
        </w:r>
      </w:hyperlink>
      <w:r w:rsidRPr="00DB3A74">
        <w:rPr>
          <w:rFonts w:eastAsia="Calibri"/>
        </w:rPr>
        <w:t xml:space="preserve">. </w:t>
      </w:r>
      <w:r w:rsidR="00627698" w:rsidRPr="00627698">
        <w:rPr>
          <w:rFonts w:eastAsia="Calibri"/>
        </w:rPr>
        <w:t xml:space="preserve">In 2020, CT DEEP released a draft strategy focused on recommendations for readying the grid with modernized transmission system, </w:t>
      </w:r>
      <w:r w:rsidR="000B4417" w:rsidRPr="00627698">
        <w:rPr>
          <w:rFonts w:eastAsia="Calibri"/>
        </w:rPr>
        <w:t>updat</w:t>
      </w:r>
      <w:r w:rsidR="000B4417">
        <w:rPr>
          <w:rFonts w:eastAsia="Calibri"/>
        </w:rPr>
        <w:t>ing</w:t>
      </w:r>
      <w:r w:rsidR="00627698" w:rsidRPr="00627698">
        <w:rPr>
          <w:rFonts w:eastAsia="Calibri"/>
        </w:rPr>
        <w:t xml:space="preserve"> wholesale markets for clean energy, and promot</w:t>
      </w:r>
      <w:r w:rsidR="000B4417">
        <w:rPr>
          <w:rFonts w:eastAsia="Calibri"/>
        </w:rPr>
        <w:t>ing</w:t>
      </w:r>
      <w:r w:rsidR="00627698" w:rsidRPr="00627698">
        <w:rPr>
          <w:rFonts w:eastAsia="Calibri"/>
        </w:rPr>
        <w:t xml:space="preserve"> energy affordability and equity.</w:t>
      </w:r>
    </w:p>
    <w:p w:rsidR="00B31604" w:rsidRDefault="00DB3A74" w:rsidP="00DB3A74">
      <w:pPr>
        <w:rPr>
          <w:rFonts w:eastAsia="Calibri"/>
        </w:rPr>
      </w:pPr>
      <w:r w:rsidRPr="00DB3A74">
        <w:rPr>
          <w:rFonts w:eastAsia="Calibri"/>
        </w:rPr>
        <w:t xml:space="preserve">The CT DEEP continues to pursue clean energy under its procurement authority. Under the state’s Clean Energy Sources Request </w:t>
      </w:r>
      <w:r w:rsidR="00C247FD">
        <w:rPr>
          <w:rFonts w:eastAsia="Calibri"/>
        </w:rPr>
        <w:t>f</w:t>
      </w:r>
      <w:r w:rsidRPr="00DB3A74">
        <w:rPr>
          <w:rFonts w:eastAsia="Calibri"/>
        </w:rPr>
        <w:t>or Proposal (RFP), Connecticut selected its first-ever offshore wind bid, a 200 MW project from Revolution Wind.</w:t>
      </w:r>
      <w:r w:rsidRPr="00DB3A74">
        <w:rPr>
          <w:rFonts w:eastAsia="Calibri"/>
          <w:vertAlign w:val="superscript"/>
        </w:rPr>
        <w:footnoteReference w:id="146"/>
      </w:r>
      <w:r w:rsidRPr="00DB3A74">
        <w:rPr>
          <w:rFonts w:eastAsia="Calibri"/>
        </w:rPr>
        <w:t xml:space="preserve"> Winners of the Zero-Carbon RFP included Millstone Nuclear, Seabrook Station, solar resources, and an additional 100 MW of offshore wind.</w:t>
      </w:r>
      <w:r w:rsidRPr="00DB3A74">
        <w:rPr>
          <w:rFonts w:eastAsia="Calibri"/>
          <w:vertAlign w:val="superscript"/>
        </w:rPr>
        <w:footnoteReference w:id="147"/>
      </w:r>
      <w:r w:rsidRPr="00DB3A74">
        <w:rPr>
          <w:rFonts w:eastAsia="Calibri"/>
        </w:rPr>
        <w:t xml:space="preserve"> A 2019 bill authorizes DEEP to procure up to another 2,000 MW of offshore wind by 2030, with the first phase of procurements occurring through 2019.</w:t>
      </w:r>
      <w:r w:rsidRPr="00DB3A74">
        <w:rPr>
          <w:rFonts w:eastAsia="Calibri"/>
          <w:vertAlign w:val="superscript"/>
        </w:rPr>
        <w:footnoteReference w:id="148"/>
      </w:r>
    </w:p>
    <w:p w:rsidR="00DB3A74" w:rsidRPr="00DB3A74" w:rsidRDefault="00B31604" w:rsidP="00DB3A74">
      <w:pPr>
        <w:rPr>
          <w:rFonts w:eastAsia="Calibri"/>
        </w:rPr>
      </w:pPr>
      <w:r w:rsidRPr="009C1856">
        <w:t xml:space="preserve">In 2021, Connecticut enacted </w:t>
      </w:r>
      <w:r w:rsidRPr="009C1856">
        <w:rPr>
          <w:i/>
          <w:iCs/>
        </w:rPr>
        <w:t>An Act Concerning Energy Storage</w:t>
      </w:r>
      <w:r w:rsidRPr="009C1856">
        <w:t xml:space="preserve">, which creates energy storage goals for the state of 300 MW by 2025, 650 MW by 2028, and 1,000 MW by 2031. </w:t>
      </w:r>
      <w:r w:rsidR="00627698" w:rsidRPr="00627698">
        <w:t xml:space="preserve">It authorizes the CT Department of Energy and Environmental Protection (DEEP) to issue an RFP for storage projects at the transmission or distribution level (projects may be stand along or paired with Class I resources) and tasked the CT Public Utilities Regulatory Authority (PURA) to develop and implement programs and funding mechanism for storage resources connected to </w:t>
      </w:r>
      <w:r w:rsidR="00761DF6">
        <w:t xml:space="preserve">the </w:t>
      </w:r>
      <w:r w:rsidR="00627698" w:rsidRPr="00627698">
        <w:t>distribution system.</w:t>
      </w:r>
      <w:r w:rsidR="00627698">
        <w:t xml:space="preserve">  </w:t>
      </w:r>
      <w:r w:rsidRPr="009C1856" w:rsidDel="00B8316B">
        <w:rPr>
          <w:rFonts w:eastAsia="Times New Roman"/>
          <w:sz w:val="16"/>
          <w:szCs w:val="16"/>
        </w:rPr>
        <w:t xml:space="preserve"> </w:t>
      </w:r>
      <w:r w:rsidR="00DB3A74" w:rsidRPr="00DB3A74">
        <w:rPr>
          <w:rFonts w:eastAsia="Calibri"/>
        </w:rPr>
        <w:t xml:space="preserve"> </w:t>
      </w:r>
    </w:p>
    <w:p w:rsidR="00DB3A74" w:rsidRPr="00DB3A74" w:rsidRDefault="00DB3A74" w:rsidP="002B2229">
      <w:pPr>
        <w:pStyle w:val="Heading3"/>
        <w:rPr>
          <w:rFonts w:eastAsia="Times New Roman"/>
        </w:rPr>
      </w:pPr>
      <w:bookmarkStart w:id="836" w:name="_Toc81544599"/>
      <w:r w:rsidRPr="00DB3A74">
        <w:rPr>
          <w:rFonts w:eastAsia="Times New Roman"/>
        </w:rPr>
        <w:t>Maine</w:t>
      </w:r>
      <w:bookmarkEnd w:id="836"/>
    </w:p>
    <w:p w:rsidR="00B12B27" w:rsidRDefault="00B12B27" w:rsidP="00B12B27">
      <w:r w:rsidRPr="00913CFE">
        <w:t>Maine con</w:t>
      </w:r>
      <w:r>
        <w:t>tinues to implement policies,</w:t>
      </w:r>
      <w:r w:rsidRPr="00913CFE">
        <w:t xml:space="preserve"> programs</w:t>
      </w:r>
      <w:r>
        <w:t xml:space="preserve">, and </w:t>
      </w:r>
      <w:r w:rsidR="00627698">
        <w:t xml:space="preserve">resource </w:t>
      </w:r>
      <w:r>
        <w:t>procurements</w:t>
      </w:r>
      <w:r w:rsidRPr="00913CFE">
        <w:t xml:space="preserve"> to achieve their goal for 80% of retail sales of electricity to come from renewable resources by 2030 and 100% by 2050</w:t>
      </w:r>
      <w:r>
        <w:t xml:space="preserve"> and </w:t>
      </w:r>
      <w:r w:rsidRPr="006200EB">
        <w:t xml:space="preserve">to decrease greenhouse </w:t>
      </w:r>
      <w:r>
        <w:t>gas emissions by 45% by 2030,</w:t>
      </w:r>
      <w:r w:rsidRPr="006200EB">
        <w:t xml:space="preserve"> 80% by 2050, and achieve carbon neutrality by 2045</w:t>
      </w:r>
      <w:r w:rsidRPr="00913CFE">
        <w:t>.</w:t>
      </w:r>
      <w:r w:rsidRPr="00B66736">
        <w:rPr>
          <w:rStyle w:val="FootnoteReference"/>
        </w:rPr>
        <w:footnoteReference w:id="149"/>
      </w:r>
      <w:r w:rsidRPr="00B66736">
        <w:t xml:space="preserve"> </w:t>
      </w:r>
    </w:p>
    <w:p w:rsidR="00B12B27" w:rsidRPr="00B66736" w:rsidRDefault="00B12B27" w:rsidP="00B12B27">
      <w:r>
        <w:t xml:space="preserve">In 2021, Maine enacted an energy storage target of </w:t>
      </w:r>
      <w:r w:rsidR="006E08FF">
        <w:t xml:space="preserve">300 </w:t>
      </w:r>
      <w:r>
        <w:t>MW by 2025</w:t>
      </w:r>
      <w:r w:rsidR="00627698" w:rsidRPr="00627698">
        <w:t xml:space="preserve"> and 400 MW by 2030</w:t>
      </w:r>
      <w:r>
        <w:t xml:space="preserve">. </w:t>
      </w:r>
      <w:r w:rsidR="00D906C8">
        <w:t xml:space="preserve">While </w:t>
      </w:r>
      <w:r>
        <w:t xml:space="preserve">Maine </w:t>
      </w:r>
      <w:r w:rsidR="00D906C8">
        <w:t xml:space="preserve">in 2021 </w:t>
      </w:r>
      <w:r>
        <w:t xml:space="preserve">passed legislation banning the development of most offshore wind in state waters, the state continues to pursue offshore wind development in federal waters through pilot projects, federal and state grant dollars, and the </w:t>
      </w:r>
      <w:r w:rsidR="00627698" w:rsidRPr="00627698">
        <w:t>Bureau of Ocean Energy Management (</w:t>
      </w:r>
      <w:r>
        <w:t>BOEM</w:t>
      </w:r>
      <w:r w:rsidR="00627698">
        <w:t>)</w:t>
      </w:r>
      <w:r>
        <w:t xml:space="preserve"> Gulf of Maine Taskforce.  </w:t>
      </w:r>
    </w:p>
    <w:p w:rsidR="00DB3A74" w:rsidRDefault="00B12B27" w:rsidP="00DB3A74">
      <w:r w:rsidRPr="00913CFE">
        <w:rPr>
          <w:rFonts w:eastAsia="Calibri" w:cstheme="minorHAnsi"/>
        </w:rPr>
        <w:t>The New England Clean Energy Connect (NECEC) project officially began construction in January 2021 after receiving key remaining local approvals, federal permits</w:t>
      </w:r>
      <w:r w:rsidR="00D906C8">
        <w:rPr>
          <w:rFonts w:eastAsia="Calibri" w:cstheme="minorHAnsi"/>
        </w:rPr>
        <w:t>,</w:t>
      </w:r>
      <w:r w:rsidRPr="00913CFE">
        <w:rPr>
          <w:rFonts w:eastAsia="Calibri" w:cstheme="minorHAnsi"/>
        </w:rPr>
        <w:t xml:space="preserve"> and court approvals to proceed. </w:t>
      </w:r>
      <w:r w:rsidRPr="00913CFE">
        <w:rPr>
          <w:rFonts w:cstheme="minorHAnsi"/>
        </w:rPr>
        <w:t xml:space="preserve">The project schedule has been pushed back from a planned in-service date of December 2022 to May 2023. </w:t>
      </w:r>
      <w:r w:rsidRPr="00913CFE">
        <w:t>This project will bring up to 1,200 MW of large-scale hydropower from Hydro-Québec in eastern Canada to Maine.</w:t>
      </w:r>
      <w:r w:rsidRPr="00913CFE">
        <w:rPr>
          <w:rStyle w:val="FootnoteReference"/>
        </w:rPr>
        <w:footnoteReference w:id="150"/>
      </w:r>
    </w:p>
    <w:p w:rsidR="00296DE5" w:rsidRPr="00B12B27" w:rsidRDefault="00296DE5" w:rsidP="00DB3A74">
      <w:r w:rsidRPr="00296DE5">
        <w:t>Maine is also pursuing the development of resources and transmission originating in Northern Maine (specifically in the Northern Maine Independent System Administrator territory) to be delivered into the ISO New England territory</w:t>
      </w:r>
      <w:r w:rsidR="00761DF6">
        <w:t>.</w:t>
      </w:r>
    </w:p>
    <w:p w:rsidR="00DB3A74" w:rsidRPr="00DB3A74" w:rsidRDefault="00DB3A74" w:rsidP="002B2229">
      <w:pPr>
        <w:pStyle w:val="Heading3"/>
        <w:rPr>
          <w:rFonts w:eastAsia="Times New Roman"/>
        </w:rPr>
      </w:pPr>
      <w:bookmarkStart w:id="837" w:name="_Ref12734244"/>
      <w:bookmarkStart w:id="838" w:name="_Toc81544600"/>
      <w:r w:rsidRPr="00DB3A74">
        <w:rPr>
          <w:rFonts w:eastAsia="Times New Roman"/>
        </w:rPr>
        <w:t>Massachusetts</w:t>
      </w:r>
      <w:bookmarkEnd w:id="837"/>
      <w:bookmarkEnd w:id="838"/>
    </w:p>
    <w:p w:rsidR="00B12B27" w:rsidRDefault="00B12B27" w:rsidP="00B12B27">
      <w:r>
        <w:t xml:space="preserve">In December 2020, the Massachusetts Executive Office of Energy and Environmental Affairs (EEA) released the state’s Interim Clean Energy and Climate Plan for 2030 (2030 CECP) and the Massachusetts 2050 Decarbonization Roadmap (2050 Roadmap). The 2030 CECP provides details on the policies and programs the Commonwealth could undertake through the 2020s to ensure the state achieves its 2030 emissions reductions mandates. The Roadmap is a study to provide the state with an understanding of the near-term and long-term strategies and tradeoffs required to achieve the Commonwealth’s net zero 2050 emissions limit.  </w:t>
      </w:r>
    </w:p>
    <w:p w:rsidR="00B12B27" w:rsidRDefault="00B12B27" w:rsidP="00B12B27">
      <w:r>
        <w:t>In March 2021, the state passed a comprehensive energy and climate bill into law. The legislation requires the state to reduce economy</w:t>
      </w:r>
      <w:r w:rsidR="00036069">
        <w:t>-</w:t>
      </w:r>
      <w:r>
        <w:t>wide emissions by at least 50% by 2030, at least 75% by 2040, and to achieve net zero emissions by 2050. The legislation also requires the state to set sector</w:t>
      </w:r>
      <w:r w:rsidR="00ED7604">
        <w:t>-</w:t>
      </w:r>
      <w:r>
        <w:t>specific reduction goals for six “high priority” sectors including electricity, transportation, commercial and industrial buildings, residential buildings, industrial processes, and natural gas distribution.</w:t>
      </w:r>
    </w:p>
    <w:p w:rsidR="00B12B27" w:rsidRDefault="00B12B27" w:rsidP="00B12B27">
      <w:r>
        <w:t xml:space="preserve">In order to increase the state’s adoption of clean energy generation, the law also increases the state’s renewable portfolio standard to achieve 40% by 2030, increases the amount of offshore wind the state’s electric distribution companies (EDCs) are required to procure by 2027 to 5,600 MW, and creates a renewable energy purchasing requirement for municipal light plants. </w:t>
      </w:r>
    </w:p>
    <w:p w:rsidR="00296DE5" w:rsidRDefault="00CA0298" w:rsidP="00296DE5">
      <w:r w:rsidRPr="00CA0298">
        <w:t>In July of 2021, Massachusetts issued its first Greenhouse Gas</w:t>
      </w:r>
      <w:r w:rsidR="00B63B63">
        <w:t xml:space="preserve"> (GHG)</w:t>
      </w:r>
      <w:r w:rsidRPr="00CA0298">
        <w:t xml:space="preserve"> Emissions reduction requirement for the energy</w:t>
      </w:r>
      <w:r w:rsidR="00B63B63">
        <w:t>-</w:t>
      </w:r>
      <w:r w:rsidRPr="00CA0298">
        <w:t>efficiency</w:t>
      </w:r>
      <w:r w:rsidR="00B63B63">
        <w:t xml:space="preserve"> (EE)</w:t>
      </w:r>
      <w:r w:rsidRPr="00CA0298">
        <w:t xml:space="preserve"> plans</w:t>
      </w:r>
      <w:r w:rsidR="00442CC8">
        <w:t>,</w:t>
      </w:r>
      <w:r w:rsidRPr="00CA0298">
        <w:t xml:space="preserve"> which prioritize </w:t>
      </w:r>
      <w:r w:rsidR="00B63B63">
        <w:t>EE</w:t>
      </w:r>
      <w:r w:rsidRPr="00CA0298">
        <w:t xml:space="preserve"> investments that reduce GHG emissions and are aligned with the Massachusetts 2050 net-zero target.</w:t>
      </w:r>
    </w:p>
    <w:p w:rsidR="00DB3A74" w:rsidRPr="00DB3A74" w:rsidRDefault="00296DE5" w:rsidP="00DB3A74">
      <w:pPr>
        <w:rPr>
          <w:rFonts w:eastAsia="Calibri"/>
        </w:rPr>
      </w:pPr>
      <w:r>
        <w:t>In May 2021, Massachusetts’ EDCs issued the state’s third solicitation for offshore wind generation. The solicitation seeks to procure long-term contracts for a least 400 MW and up to 1</w:t>
      </w:r>
      <w:r w:rsidR="002C7F8B">
        <w:t>,</w:t>
      </w:r>
      <w:r>
        <w:t xml:space="preserve">600 MW of offshore wind generation. Project awards and contracts under this current solicitation are not expected until late 2021 and 2022.  </w:t>
      </w:r>
    </w:p>
    <w:p w:rsidR="00DB3A74" w:rsidRPr="00DB3A74" w:rsidRDefault="00DB3A74" w:rsidP="002B2229">
      <w:pPr>
        <w:pStyle w:val="Heading3"/>
        <w:rPr>
          <w:rFonts w:eastAsia="Times New Roman"/>
        </w:rPr>
      </w:pPr>
      <w:bookmarkStart w:id="839" w:name="_Toc81544601"/>
      <w:r w:rsidRPr="00DB3A74">
        <w:rPr>
          <w:rFonts w:eastAsia="Times New Roman"/>
        </w:rPr>
        <w:t>New Hampshire</w:t>
      </w:r>
      <w:bookmarkEnd w:id="839"/>
    </w:p>
    <w:p w:rsidR="008E4790" w:rsidRDefault="008E4790" w:rsidP="008E4790">
      <w:r w:rsidRPr="00950D85">
        <w:t>Over the 2</w:t>
      </w:r>
      <w:r>
        <w:t>020</w:t>
      </w:r>
      <w:r w:rsidRPr="00AD4D9D">
        <w:t>–</w:t>
      </w:r>
      <w:r w:rsidRPr="00950D85">
        <w:t>20</w:t>
      </w:r>
      <w:r>
        <w:t>21 period</w:t>
      </w:r>
      <w:r w:rsidRPr="00950D85">
        <w:t>, the New Hampshire legislature</w:t>
      </w:r>
      <w:r>
        <w:t xml:space="preserve"> considered many proposals to increase renewable energy deployment in the state</w:t>
      </w:r>
      <w:r w:rsidR="00E21E18">
        <w:t>,</w:t>
      </w:r>
      <w:r>
        <w:t xml:space="preserve"> but the vast majority of those proposals are still under study or have not </w:t>
      </w:r>
      <w:r w:rsidR="00B809FC" w:rsidRPr="00B809FC">
        <w:t>yet been enacted into law</w:t>
      </w:r>
      <w:r w:rsidR="00B809FC">
        <w:t xml:space="preserve">. </w:t>
      </w:r>
      <w:r w:rsidRPr="00950D85">
        <w:t xml:space="preserve">In 2019, the </w:t>
      </w:r>
      <w:r w:rsidRPr="00AD4D9D">
        <w:t>g</w:t>
      </w:r>
      <w:r w:rsidRPr="00950D85">
        <w:t>overnor began work with federal agencies and the Gulf of Maine region to pursue offshore wind development</w:t>
      </w:r>
      <w:r w:rsidR="00ED7604">
        <w:t>.</w:t>
      </w:r>
      <w:r w:rsidRPr="00950D85">
        <w:rPr>
          <w:rStyle w:val="FootnoteReference"/>
        </w:rPr>
        <w:footnoteReference w:id="151"/>
      </w:r>
      <w:r>
        <w:t xml:space="preserve"> </w:t>
      </w:r>
      <w:r w:rsidRPr="00950D85">
        <w:t xml:space="preserve"> </w:t>
      </w:r>
    </w:p>
    <w:p w:rsidR="008E4790" w:rsidRDefault="008E4790" w:rsidP="008E4790">
      <w:pPr>
        <w:rPr>
          <w:rFonts w:eastAsia="Calibri"/>
        </w:rPr>
      </w:pPr>
      <w:r>
        <w:t>Governor Sununu’s proposal to create a state Department of Energy (DOE) through the annual state budget process passed in June along with the biennial budget. This newly</w:t>
      </w:r>
      <w:r w:rsidR="00E21E18">
        <w:t>-</w:t>
      </w:r>
      <w:r>
        <w:t xml:space="preserve">created agency will result in a restructured </w:t>
      </w:r>
      <w:r w:rsidR="00B809FC" w:rsidRPr="00B809FC">
        <w:t>Public Utilities Commission</w:t>
      </w:r>
      <w:r w:rsidR="00B809FC">
        <w:t xml:space="preserve"> (</w:t>
      </w:r>
      <w:r>
        <w:t>PUC</w:t>
      </w:r>
      <w:r w:rsidR="00B809FC">
        <w:t>)</w:t>
      </w:r>
      <w:r>
        <w:t xml:space="preserve">, </w:t>
      </w:r>
      <w:r w:rsidR="00ED7604">
        <w:t xml:space="preserve">consolidating </w:t>
      </w:r>
      <w:r>
        <w:t xml:space="preserve">functions of the Office of Strategic Initiatives, the </w:t>
      </w:r>
      <w:r w:rsidR="00E21E18">
        <w:t>O</w:t>
      </w:r>
      <w:r>
        <w:t xml:space="preserve">ffice of Offshore Wind Development and other energy-related state functions. Complete details on the </w:t>
      </w:r>
      <w:r w:rsidR="00B809FC">
        <w:t xml:space="preserve">new </w:t>
      </w:r>
      <w:r>
        <w:t>agency will likely be finalized over the course of the summer and fall of 2021, although the restructuring process is underway.</w:t>
      </w:r>
    </w:p>
    <w:p w:rsidR="00DB3A74" w:rsidRPr="00DB3A74" w:rsidRDefault="00DB3A74" w:rsidP="002B2229">
      <w:pPr>
        <w:pStyle w:val="Heading3"/>
        <w:rPr>
          <w:rFonts w:eastAsia="Times New Roman"/>
        </w:rPr>
      </w:pPr>
      <w:bookmarkStart w:id="840" w:name="_Toc81544602"/>
      <w:r w:rsidRPr="00DB3A74">
        <w:rPr>
          <w:rFonts w:eastAsia="Times New Roman"/>
        </w:rPr>
        <w:t>Rhode Island</w:t>
      </w:r>
      <w:bookmarkEnd w:id="840"/>
    </w:p>
    <w:p w:rsidR="00004174" w:rsidRPr="000A6E2F" w:rsidRDefault="00004174" w:rsidP="00004174">
      <w:r>
        <w:t>In 2021, Rhode Island enacted a new climate bill that</w:t>
      </w:r>
      <w:r w:rsidRPr="000A6E2F">
        <w:t xml:space="preserve"> builds upon the 2014 Resilient Rhode Island Act, revising </w:t>
      </w:r>
      <w:r>
        <w:t xml:space="preserve">the state’s </w:t>
      </w:r>
      <w:r w:rsidRPr="000A6E2F">
        <w:t>emission reduction targets to reach net-zero emissions by 2050.</w:t>
      </w:r>
    </w:p>
    <w:p w:rsidR="00DB3A74" w:rsidRPr="00DB3A74" w:rsidRDefault="00004174" w:rsidP="00DB3A74">
      <w:pPr>
        <w:rPr>
          <w:rFonts w:eastAsia="Calibri"/>
        </w:rPr>
      </w:pPr>
      <w:r>
        <w:t>In 2020</w:t>
      </w:r>
      <w:r w:rsidR="00E21E18">
        <w:t>,</w:t>
      </w:r>
      <w:r>
        <w:t xml:space="preserve"> </w:t>
      </w:r>
      <w:r w:rsidR="00612735">
        <w:t>then-Governor</w:t>
      </w:r>
      <w:r>
        <w:t xml:space="preserve"> Gina Raimondo called for another 600 MW of offshore wind resources, as part of an executive order to achieve 100% renewable ele</w:t>
      </w:r>
      <w:r w:rsidRPr="0057358E">
        <w:t xml:space="preserve">ctricity by 2030. National Grid is in the midst of conducting a </w:t>
      </w:r>
      <w:r w:rsidR="0057358E" w:rsidRPr="0057358E">
        <w:t>solicitation that</w:t>
      </w:r>
      <w:r w:rsidR="00ED7604" w:rsidRPr="0057358E">
        <w:t xml:space="preserve"> </w:t>
      </w:r>
      <w:r w:rsidRPr="0057358E">
        <w:t xml:space="preserve">may result in the procurement of the additional 600 MW of offshore wind. </w:t>
      </w:r>
    </w:p>
    <w:p w:rsidR="00DB3A74" w:rsidRPr="00DB3A74" w:rsidRDefault="00DB3A74" w:rsidP="002B2229">
      <w:pPr>
        <w:pStyle w:val="Heading3"/>
        <w:rPr>
          <w:rFonts w:eastAsia="Times New Roman"/>
        </w:rPr>
      </w:pPr>
      <w:bookmarkStart w:id="841" w:name="_Toc81544603"/>
      <w:r w:rsidRPr="00DB3A74">
        <w:rPr>
          <w:rFonts w:eastAsia="Times New Roman"/>
        </w:rPr>
        <w:t>Vermont</w:t>
      </w:r>
      <w:bookmarkEnd w:id="841"/>
    </w:p>
    <w:p w:rsidR="00B31604" w:rsidRPr="00993E9C" w:rsidRDefault="00B31604" w:rsidP="00B31604">
      <w:r>
        <w:t>Vermont continues to pursue a clean</w:t>
      </w:r>
      <w:r w:rsidR="00E21E18">
        <w:t>-</w:t>
      </w:r>
      <w:r>
        <w:t>energy and carbon</w:t>
      </w:r>
      <w:r w:rsidR="00E21E18">
        <w:t>-</w:t>
      </w:r>
      <w:r>
        <w:t xml:space="preserve">emissions reduction policy agenda. </w:t>
      </w:r>
      <w:r w:rsidRPr="00993E9C">
        <w:t>In 2020, the legislature made the state’s previously non-binding, economy-wide GHG reduction goals mandatory and more stringent. The new law require</w:t>
      </w:r>
      <w:r w:rsidR="00036069">
        <w:t>s</w:t>
      </w:r>
      <w:r w:rsidRPr="00993E9C">
        <w:t xml:space="preserve"> reductions in statewide emissions in three stages:</w:t>
      </w:r>
      <w:r>
        <w:t xml:space="preserve"> b</w:t>
      </w:r>
      <w:r w:rsidRPr="00993E9C">
        <w:t>y 2025</w:t>
      </w:r>
      <w:r w:rsidR="00D55981">
        <w:t>,</w:t>
      </w:r>
      <w:r w:rsidRPr="00993E9C">
        <w:t xml:space="preserve"> at least 26% below 2005 emiss</w:t>
      </w:r>
      <w:r>
        <w:t>ions; b</w:t>
      </w:r>
      <w:r w:rsidRPr="00993E9C">
        <w:t>y 2030</w:t>
      </w:r>
      <w:r w:rsidR="00D55981">
        <w:t>,</w:t>
      </w:r>
      <w:r w:rsidRPr="00993E9C">
        <w:t xml:space="preserve"> at least 40% below 1990 emissions; and</w:t>
      </w:r>
      <w:r>
        <w:t xml:space="preserve"> b</w:t>
      </w:r>
      <w:r w:rsidRPr="00993E9C">
        <w:t>y 2050</w:t>
      </w:r>
      <w:r w:rsidR="00D55981">
        <w:t>,</w:t>
      </w:r>
      <w:r w:rsidRPr="00993E9C">
        <w:t xml:space="preserve"> at least 80% below 1990 emissions.</w:t>
      </w:r>
    </w:p>
    <w:p w:rsidR="00B31604" w:rsidRDefault="00B31604" w:rsidP="00B31604">
      <w:pPr>
        <w:rPr>
          <w:rFonts w:ascii="Calibri" w:hAnsi="Calibri"/>
        </w:rPr>
      </w:pPr>
      <w:r w:rsidRPr="001D69A5">
        <w:t xml:space="preserve">The state’s </w:t>
      </w:r>
      <w:hyperlink r:id="rId351" w:history="1">
        <w:r w:rsidRPr="001D69A5">
          <w:rPr>
            <w:rStyle w:val="Hyperlink"/>
          </w:rPr>
          <w:t>budget</w:t>
        </w:r>
      </w:hyperlink>
      <w:r w:rsidRPr="001D69A5">
        <w:t xml:space="preserve"> allocated significant funding for climate change mitigation on matters such as weatherization, the state’s Clean Energy Development Fund, and Climate Action Plan implementation. The state’s transportation bill appropriated more than $5 million for decarbonization efforts, including EV infrastructure and incentives for low-emissions vehicles and e-bikes. It also directs the electric distribution utilities to design electric vehicle charging rates for both public and private locations no later than June 30, 2024.</w:t>
      </w:r>
      <w:r>
        <w:t xml:space="preserve"> </w:t>
      </w:r>
    </w:p>
    <w:p w:rsidR="00873B49" w:rsidRPr="00F364E1" w:rsidRDefault="00873B49" w:rsidP="00873B49">
      <w:r w:rsidRPr="00F364E1">
        <w:t xml:space="preserve">Every three years, VELCO publishes a three-year update of its 20-year </w:t>
      </w:r>
      <w:hyperlink r:id="rId352" w:history="1">
        <w:r w:rsidRPr="00873B49">
          <w:rPr>
            <w:rStyle w:val="Hyperlink"/>
          </w:rPr>
          <w:t>Vermont Long-Range Transmission Plan</w:t>
        </w:r>
      </w:hyperlink>
      <w:r w:rsidRPr="00F364E1">
        <w:t xml:space="preserve">. The plan identifies reliability concerns and the transmission alternatives to address those concerns. VELCO filed its </w:t>
      </w:r>
      <w:hyperlink r:id="rId353" w:history="1">
        <w:r w:rsidRPr="00F364E1">
          <w:t>final plan</w:t>
        </w:r>
      </w:hyperlink>
      <w:r w:rsidRPr="00F364E1">
        <w:t xml:space="preserve"> on July 1, 2021. Highlights from the 2021 plan include:</w:t>
      </w:r>
    </w:p>
    <w:p w:rsidR="00873B49" w:rsidRPr="00F364E1" w:rsidRDefault="00873B49" w:rsidP="00873B49">
      <w:pPr>
        <w:numPr>
          <w:ilvl w:val="0"/>
          <w:numId w:val="65"/>
        </w:numPr>
      </w:pPr>
      <w:r w:rsidRPr="00F364E1">
        <w:t>Peak demand is forecast to grow due to the electrification of heating and transportation</w:t>
      </w:r>
    </w:p>
    <w:p w:rsidR="00873B49" w:rsidRPr="00F364E1" w:rsidRDefault="00873B49" w:rsidP="001D69A5">
      <w:pPr>
        <w:numPr>
          <w:ilvl w:val="0"/>
          <w:numId w:val="65"/>
        </w:numPr>
      </w:pPr>
      <w:r w:rsidRPr="00F364E1">
        <w:t xml:space="preserve">The transmission system has sufficient capacity to serve expected future demand for the first </w:t>
      </w:r>
      <w:r w:rsidR="00D55981">
        <w:t>10</w:t>
      </w:r>
      <w:r w:rsidR="00D55981" w:rsidRPr="00F364E1">
        <w:t xml:space="preserve"> </w:t>
      </w:r>
      <w:r w:rsidRPr="00F364E1">
        <w:t xml:space="preserve">years of the </w:t>
      </w:r>
      <w:r w:rsidR="00D55981">
        <w:t>20</w:t>
      </w:r>
      <w:r w:rsidRPr="00F364E1">
        <w:t>-year planning horizon</w:t>
      </w:r>
    </w:p>
    <w:p w:rsidR="00DB3A74" w:rsidRPr="00DB3A74" w:rsidRDefault="00DB3A74" w:rsidP="00977304">
      <w:pPr>
        <w:pStyle w:val="Heading2"/>
        <w:rPr>
          <w:rFonts w:eastAsia="Times New Roman"/>
        </w:rPr>
      </w:pPr>
      <w:bookmarkStart w:id="842" w:name="_Toc490323126"/>
      <w:bookmarkStart w:id="843" w:name="_Toc485367353"/>
      <w:bookmarkStart w:id="844" w:name="_Toc396807711"/>
      <w:bookmarkStart w:id="845" w:name="_Toc365441078"/>
      <w:bookmarkStart w:id="846" w:name="_Toc81544604"/>
      <w:bookmarkEnd w:id="830"/>
      <w:bookmarkEnd w:id="831"/>
      <w:bookmarkEnd w:id="832"/>
      <w:bookmarkEnd w:id="833"/>
      <w:bookmarkEnd w:id="834"/>
      <w:bookmarkEnd w:id="835"/>
      <w:r w:rsidRPr="00DB3A74">
        <w:rPr>
          <w:rFonts w:eastAsia="Times New Roman"/>
        </w:rPr>
        <w:t>Summary of Initiatives</w:t>
      </w:r>
      <w:bookmarkEnd w:id="842"/>
      <w:bookmarkEnd w:id="843"/>
      <w:bookmarkEnd w:id="844"/>
      <w:bookmarkEnd w:id="845"/>
      <w:bookmarkEnd w:id="846"/>
      <w:r w:rsidRPr="00DB3A74">
        <w:rPr>
          <w:rFonts w:eastAsia="Times New Roman"/>
        </w:rPr>
        <w:t xml:space="preserve"> </w:t>
      </w:r>
    </w:p>
    <w:p w:rsidR="00DB3A74" w:rsidRPr="0098444A" w:rsidRDefault="0098444A" w:rsidP="00DB3A74">
      <w:r w:rsidRPr="00A22EB7">
        <w:t xml:space="preserve">The ISO’s planning </w:t>
      </w:r>
      <w:r>
        <w:t xml:space="preserve">and market </w:t>
      </w:r>
      <w:r w:rsidRPr="00A22EB7">
        <w:t xml:space="preserve">activities are closely coordinated among the six New England states, with neighboring systems, across the Eastern Interconnection, and nationally. Each New England state has a unique set of energy policy objectives and goals and continues to implement laws, policies, and initiatives that affect the regional system planning in New England. </w:t>
      </w:r>
      <w:r>
        <w:t>The ISO continues to work closely with the states and their policy prerogatives in a manner that will ensure reliability</w:t>
      </w:r>
      <w:r w:rsidR="00B809FC" w:rsidRPr="00B809FC">
        <w:t xml:space="preserve"> and advance the clean</w:t>
      </w:r>
      <w:r w:rsidR="002C7F8B">
        <w:t>-</w:t>
      </w:r>
      <w:r w:rsidR="00B809FC" w:rsidRPr="00B809FC">
        <w:t>energy transition</w:t>
      </w:r>
      <w:r>
        <w:t>.</w:t>
      </w:r>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35"/>
    <w:bookmarkEnd w:id="436"/>
    <w:bookmarkEnd w:id="437"/>
    <w:bookmarkEnd w:id="438"/>
    <w:p w:rsidR="00496814" w:rsidRPr="00496814" w:rsidRDefault="00496814" w:rsidP="00496814">
      <w:pPr>
        <w:spacing w:after="120" w:line="240" w:lineRule="auto"/>
        <w:rPr>
          <w:color w:val="1795D2" w:themeColor="accent1"/>
          <w:u w:val="single"/>
        </w:rPr>
      </w:pPr>
    </w:p>
    <w:sectPr w:rsidR="00496814" w:rsidRPr="00496814">
      <w:headerReference w:type="default" r:id="rId3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E75" w:rsidRDefault="001A4E75" w:rsidP="00776BA4">
      <w:pPr>
        <w:spacing w:after="0" w:line="240" w:lineRule="auto"/>
      </w:pPr>
      <w:r>
        <w:separator/>
      </w:r>
    </w:p>
  </w:endnote>
  <w:endnote w:type="continuationSeparator" w:id="0">
    <w:p w:rsidR="001A4E75" w:rsidRDefault="001A4E75" w:rsidP="00776BA4">
      <w:pPr>
        <w:spacing w:after="0" w:line="240" w:lineRule="auto"/>
      </w:pPr>
      <w:r>
        <w:continuationSeparator/>
      </w:r>
    </w:p>
  </w:endnote>
  <w:endnote w:type="continuationNotice" w:id="1">
    <w:p w:rsidR="001A4E75" w:rsidRDefault="001A4E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uplicate Ionic Regular">
    <w:altName w:val="Duplicate Ionic Regular"/>
    <w:panose1 w:val="00000000000000000000"/>
    <w:charset w:val="00"/>
    <w:family w:val="roman"/>
    <w:notTrueType/>
    <w:pitch w:val="default"/>
    <w:sig w:usb0="00000003" w:usb1="00000000" w:usb2="00000000" w:usb3="00000000" w:csb0="00000001" w:csb1="00000000"/>
  </w:font>
  <w:font w:name="Duplicate Ionic Bold">
    <w:altName w:val="Duplicate Ionic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NeueHaasGroteskText Std">
    <w:altName w:val="NeueHaasGroteskText Std"/>
    <w:panose1 w:val="00000000000000000000"/>
    <w:charset w:val="00"/>
    <w:family w:val="swiss"/>
    <w:notTrueType/>
    <w:pitch w:val="variable"/>
    <w:sig w:usb0="00000007" w:usb1="00000000" w:usb2="00000000" w:usb3="00000000" w:csb0="00000093" w:csb1="00000000"/>
  </w:font>
  <w:font w:name="Produkt Semibold">
    <w:altName w:val="Produkt Semibold"/>
    <w:panose1 w:val="00000000000000000000"/>
    <w:charset w:val="00"/>
    <w:family w:val="roman"/>
    <w:notTrueType/>
    <w:pitch w:val="default"/>
    <w:sig w:usb0="00000003" w:usb1="00000000" w:usb2="00000000" w:usb3="00000000" w:csb0="00000001" w:csb1="00000000"/>
  </w:font>
  <w:font w:name="Duplicate Ionic">
    <w:altName w:val="Duplicate Ionic"/>
    <w:panose1 w:val="00000000000000000000"/>
    <w:charset w:val="00"/>
    <w:family w:val="roman"/>
    <w:notTrueType/>
    <w:pitch w:val="default"/>
    <w:sig w:usb0="00000003" w:usb1="00000000" w:usb2="00000000" w:usb3="00000000" w:csb0="00000001" w:csb1="00000000"/>
  </w:font>
  <w:font w:name="OpenSans-Bold">
    <w:altName w:val="Open Sans"/>
    <w:charset w:val="00"/>
    <w:family w:val="auto"/>
    <w:pitch w:val="variable"/>
    <w:sig w:usb0="E00002EF" w:usb1="4000205B" w:usb2="00000028"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945B03" w:rsidRDefault="005C5D9A" w:rsidP="00E45D72">
    <w:pPr>
      <w:tabs>
        <w:tab w:val="center" w:pos="4500"/>
        <w:tab w:val="right" w:pos="9360"/>
      </w:tabs>
      <w:spacing w:line="240" w:lineRule="auto"/>
      <w:ind w:right="-360"/>
      <w:jc w:val="center"/>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945B03" w:rsidRDefault="005C5D9A" w:rsidP="00E45D72">
    <w:pPr>
      <w:tabs>
        <w:tab w:val="left" w:pos="0"/>
        <w:tab w:val="center" w:pos="4680"/>
      </w:tabs>
      <w:spacing w:after="0" w:line="240" w:lineRule="auto"/>
      <w:ind w:right="-360"/>
      <w:jc w:val="both"/>
      <w:rPr>
        <w:rFonts w:eastAsia="Times New Roman"/>
        <w:sz w:val="18"/>
        <w:szCs w:val="18"/>
      </w:rPr>
    </w:pPr>
    <w:r>
      <w:rPr>
        <w:rFonts w:eastAsia="Times New Roman"/>
        <w:i/>
        <w:sz w:val="18"/>
        <w:szCs w:val="18"/>
      </w:rPr>
      <w:t>Public Meeting Draft 2019 Regional System Plan</w:t>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16708C">
      <w:rPr>
        <w:rFonts w:eastAsia="Times New Roman"/>
        <w:noProof/>
        <w:sz w:val="18"/>
        <w:szCs w:val="18"/>
      </w:rPr>
      <w:t>iii</w:t>
    </w:r>
    <w:r w:rsidRPr="00945B03">
      <w:rPr>
        <w:rFonts w:eastAsia="Times New Roman"/>
        <w:sz w:val="18"/>
        <w:szCs w:val="18"/>
      </w:rPr>
      <w:fldChar w:fldCharType="end"/>
    </w:r>
  </w:p>
  <w:p w:rsidR="005C5D9A" w:rsidRPr="00945B03" w:rsidRDefault="005C5D9A" w:rsidP="00E45D72">
    <w:pPr>
      <w:tabs>
        <w:tab w:val="center" w:pos="4500"/>
        <w:tab w:val="right" w:pos="9360"/>
      </w:tabs>
      <w:spacing w:line="240" w:lineRule="auto"/>
      <w:ind w:right="-360"/>
      <w:jc w:val="center"/>
      <w:rPr>
        <w:rFonts w:eastAsia="Times New Roman"/>
        <w:sz w:val="18"/>
        <w:szCs w:val="18"/>
      </w:rPr>
    </w:pPr>
    <w:r w:rsidRPr="00AC01DD">
      <w:rPr>
        <w:rFonts w:eastAsia="Calibri"/>
        <w:color w:val="000000"/>
      </w:rPr>
      <w:t>ISO-NE 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3C3269" w:rsidRDefault="005C5D9A" w:rsidP="00E45D72">
    <w:pP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853368"/>
      <w:docPartObj>
        <w:docPartGallery w:val="Page Numbers (Bottom of Page)"/>
        <w:docPartUnique/>
      </w:docPartObj>
    </w:sdtPr>
    <w:sdtEndPr>
      <w:rPr>
        <w:noProof/>
      </w:rPr>
    </w:sdtEndPr>
    <w:sdtContent>
      <w:p w:rsidR="005C5D9A" w:rsidRDefault="005C5D9A">
        <w:pPr>
          <w:pStyle w:val="Footer"/>
          <w:jc w:val="center"/>
        </w:pPr>
        <w:r>
          <w:fldChar w:fldCharType="begin"/>
        </w:r>
        <w:r>
          <w:instrText xml:space="preserve"> PAGE   \* MERGEFORMAT </w:instrText>
        </w:r>
        <w:r>
          <w:fldChar w:fldCharType="separate"/>
        </w:r>
        <w:r w:rsidR="006A7326">
          <w:rPr>
            <w:noProof/>
          </w:rPr>
          <w:t>20</w:t>
        </w:r>
        <w:r>
          <w:rPr>
            <w:noProof/>
          </w:rPr>
          <w:fldChar w:fldCharType="end"/>
        </w:r>
      </w:p>
    </w:sdtContent>
  </w:sdt>
  <w:p w:rsidR="005C5D9A" w:rsidRPr="00B741F0" w:rsidRDefault="005C5D9A" w:rsidP="007B31B4">
    <w:pPr>
      <w:pStyle w:val="Footer"/>
      <w:tabs>
        <w:tab w:val="clear" w:pos="4500"/>
        <w:tab w:val="clear" w:pos="9360"/>
        <w:tab w:val="left" w:pos="0"/>
        <w:tab w:val="center" w:pos="4680"/>
      </w:tabs>
      <w:spacing w:after="0"/>
      <w:ind w:right="0"/>
      <w:jc w:val="center"/>
      <w:rPr>
        <w:color w:val="FF000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E75" w:rsidRDefault="001A4E75" w:rsidP="00776BA4">
      <w:pPr>
        <w:spacing w:after="0" w:line="240" w:lineRule="auto"/>
      </w:pPr>
      <w:r>
        <w:separator/>
      </w:r>
    </w:p>
  </w:footnote>
  <w:footnote w:type="continuationSeparator" w:id="0">
    <w:p w:rsidR="001A4E75" w:rsidRDefault="001A4E75" w:rsidP="00776BA4">
      <w:pPr>
        <w:spacing w:after="0" w:line="240" w:lineRule="auto"/>
      </w:pPr>
      <w:r>
        <w:continuationSeparator/>
      </w:r>
    </w:p>
  </w:footnote>
  <w:footnote w:type="continuationNotice" w:id="1">
    <w:p w:rsidR="001A4E75" w:rsidRDefault="001A4E75">
      <w:pPr>
        <w:spacing w:after="0" w:line="240" w:lineRule="auto"/>
      </w:pPr>
    </w:p>
  </w:footnote>
  <w:footnote w:id="2">
    <w:p w:rsidR="005C5D9A" w:rsidRDefault="005C5D9A">
      <w:pPr>
        <w:pStyle w:val="FootnoteText"/>
      </w:pPr>
      <w:r>
        <w:rPr>
          <w:rStyle w:val="FootnoteReference"/>
        </w:rPr>
        <w:footnoteRef/>
      </w:r>
      <w:r>
        <w:t xml:space="preserve"> </w:t>
      </w:r>
      <w:r w:rsidRPr="00EC5594">
        <w:t xml:space="preserve">The </w:t>
      </w:r>
      <w:hyperlink r:id="rId1" w:history="1">
        <w:r w:rsidRPr="00D476EE">
          <w:rPr>
            <w:rStyle w:val="Hyperlink"/>
            <w:i/>
          </w:rPr>
          <w:t>Regional Electricity Outlook</w:t>
        </w:r>
      </w:hyperlink>
      <w:r>
        <w:t xml:space="preserve"> </w:t>
      </w:r>
      <w:r w:rsidRPr="00EC5594">
        <w:t xml:space="preserve">is </w:t>
      </w:r>
      <w:r>
        <w:t>another way</w:t>
      </w:r>
      <w:r w:rsidRPr="00EC5594">
        <w:t xml:space="preserve"> the ISO keeps stakeholders informed about the current state of the grid, issues affecting its future, and ISO initiatives to ensure a modern, reliable power system for New England</w:t>
      </w:r>
    </w:p>
  </w:footnote>
  <w:footnote w:id="3">
    <w:p w:rsidR="005C5D9A" w:rsidRDefault="005C5D9A" w:rsidP="00A86608">
      <w:pPr>
        <w:pStyle w:val="FootnoteText"/>
      </w:pPr>
      <w:r>
        <w:rPr>
          <w:rStyle w:val="FootnoteReference"/>
        </w:rPr>
        <w:footnoteRef/>
      </w:r>
      <w:r>
        <w:t xml:space="preserve"> </w:t>
      </w:r>
      <w:r w:rsidRPr="00534D54">
        <w:t>Inverter-based technologies</w:t>
      </w:r>
      <w:r>
        <w:t xml:space="preserve"> include </w:t>
      </w:r>
      <w:r w:rsidRPr="00D847C1">
        <w:t>wind, photovoltaic</w:t>
      </w:r>
      <w:r>
        <w:t xml:space="preserve"> resources</w:t>
      </w:r>
      <w:r w:rsidRPr="00D847C1">
        <w:t xml:space="preserve">, </w:t>
      </w:r>
      <w:r w:rsidRPr="000A6959">
        <w:t>high-voltage direct current (HVDC) facilities, battery energy-storage systems, and flexible alternating current transmission system d</w:t>
      </w:r>
      <w:r w:rsidRPr="00D60094">
        <w:t>evices</w:t>
      </w:r>
      <w:r>
        <w:t>. Distributed energy resources (</w:t>
      </w:r>
      <w:r w:rsidRPr="0072751C">
        <w:t>DERs</w:t>
      </w:r>
      <w:r>
        <w:t>)</w:t>
      </w:r>
      <w:r w:rsidRPr="0072751C">
        <w:t xml:space="preserve"> are sources and aggregated sources of electric power not directly connected to </w:t>
      </w:r>
      <w:r>
        <w:t>the electric transmission system</w:t>
      </w:r>
      <w:r w:rsidRPr="0072751C">
        <w:t>. DERs include generators (i.e., distributed generators) and energy-storage technologies capable of exporting active power to an electric power system.</w:t>
      </w:r>
    </w:p>
  </w:footnote>
  <w:footnote w:id="4">
    <w:p w:rsidR="005C5D9A" w:rsidRDefault="005C5D9A">
      <w:pPr>
        <w:pStyle w:val="FootnoteText"/>
      </w:pPr>
      <w:r>
        <w:rPr>
          <w:rStyle w:val="FootnoteReference"/>
        </w:rPr>
        <w:footnoteRef/>
      </w:r>
      <w:r>
        <w:t xml:space="preserve"> </w:t>
      </w:r>
      <w:r w:rsidRPr="00E5027E">
        <w:t>This challenge has been recognized by</w:t>
      </w:r>
      <w:r>
        <w:t xml:space="preserve"> the North American Electric Reliability Corporation</w:t>
      </w:r>
      <w:r w:rsidRPr="00E5027E">
        <w:t xml:space="preserve"> </w:t>
      </w:r>
      <w:r>
        <w:t>(</w:t>
      </w:r>
      <w:r w:rsidRPr="00E5027E">
        <w:t>NERC</w:t>
      </w:r>
      <w:r>
        <w:t xml:space="preserve">), where NERC specifically noted:  </w:t>
      </w:r>
      <w:r w:rsidRPr="00E5027E">
        <w:t>‘A standing concern is whether there will be sufficient electrical energy available to satisfy electricity demand while satisfying operating reserves during an extended cold spell given the existing resource mix and seasonally-constrained, fuel delivery structure.’</w:t>
      </w:r>
      <w:r>
        <w:t xml:space="preserve"> See</w:t>
      </w:r>
      <w:r w:rsidRPr="00E5027E">
        <w:rPr>
          <w:szCs w:val="18"/>
        </w:rPr>
        <w:t xml:space="preserve"> </w:t>
      </w:r>
      <w:r w:rsidRPr="00E5027E">
        <w:rPr>
          <w:i/>
          <w:iCs/>
          <w:color w:val="323232"/>
          <w:szCs w:val="18"/>
        </w:rPr>
        <w:t xml:space="preserve">Power Struggle: Examining the 2021 Texas Grid Failure, Hearings before the Subcommittee on Oversight and Investigations, Committee on Energy and Commerce, </w:t>
      </w:r>
      <w:r w:rsidRPr="00E5027E">
        <w:rPr>
          <w:color w:val="323232"/>
          <w:szCs w:val="18"/>
        </w:rPr>
        <w:t>117th Cong. (</w:t>
      </w:r>
      <w:r w:rsidRPr="002A09B9">
        <w:rPr>
          <w:color w:val="323232"/>
          <w:szCs w:val="18"/>
        </w:rPr>
        <w:t>March 24, 2021</w:t>
      </w:r>
      <w:r w:rsidRPr="00E5027E">
        <w:rPr>
          <w:color w:val="323232"/>
          <w:szCs w:val="18"/>
        </w:rPr>
        <w:t xml:space="preserve">), </w:t>
      </w:r>
      <w:hyperlink r:id="rId2" w:history="1">
        <w:r w:rsidRPr="00D476EE">
          <w:rPr>
            <w:rStyle w:val="Hyperlink"/>
          </w:rPr>
          <w:t>testimony</w:t>
        </w:r>
      </w:hyperlink>
      <w:r w:rsidRPr="00E5027E">
        <w:rPr>
          <w:color w:val="323232"/>
          <w:szCs w:val="18"/>
        </w:rPr>
        <w:t xml:space="preserve"> of James B. Robb</w:t>
      </w:r>
      <w:r w:rsidRPr="00E5027E">
        <w:rPr>
          <w:szCs w:val="18"/>
        </w:rPr>
        <w:t xml:space="preserve">.  </w:t>
      </w:r>
    </w:p>
  </w:footnote>
  <w:footnote w:id="5">
    <w:p w:rsidR="005C5D9A" w:rsidRDefault="005C5D9A" w:rsidP="00430C93">
      <w:pPr>
        <w:pStyle w:val="FootnoteText"/>
      </w:pPr>
      <w:r>
        <w:rPr>
          <w:rStyle w:val="FootnoteReference"/>
        </w:rPr>
        <w:footnoteRef/>
      </w:r>
      <w:r>
        <w:t xml:space="preserve"> On December 20, 2019, the ISO announced its </w:t>
      </w:r>
      <w:r w:rsidRPr="00430C93">
        <w:t>first request for proposal (RFP) for a competitively</w:t>
      </w:r>
      <w:r>
        <w:t>-</w:t>
      </w:r>
      <w:r w:rsidRPr="00430C93">
        <w:t>selected transmission solution to address reliability concerns associated with the upcoming retirement of the Mystic Gener</w:t>
      </w:r>
      <w:r>
        <w:t xml:space="preserve">ating Station in </w:t>
      </w:r>
      <w:r w:rsidRPr="001659AB">
        <w:t>Everett, MA</w:t>
      </w:r>
      <w:r>
        <w:t>. (</w:t>
      </w:r>
      <w:hyperlink r:id="rId3" w:history="1">
        <w:r w:rsidRPr="00D476EE">
          <w:rPr>
            <w:rStyle w:val="Hyperlink"/>
          </w:rPr>
          <w:t>Boston 2028 RFP</w:t>
        </w:r>
      </w:hyperlink>
      <w:r>
        <w:t xml:space="preserve">). This has been the only competitive solicitation to date. </w:t>
      </w:r>
    </w:p>
  </w:footnote>
  <w:footnote w:id="6">
    <w:p w:rsidR="005C5D9A" w:rsidRPr="00294968" w:rsidRDefault="005C5D9A" w:rsidP="00776BA4">
      <w:pPr>
        <w:pStyle w:val="FootnoteText"/>
        <w:rPr>
          <w:szCs w:val="18"/>
        </w:rPr>
      </w:pPr>
      <w:r w:rsidRPr="00FA7507">
        <w:rPr>
          <w:rStyle w:val="FootnoteReference"/>
          <w:szCs w:val="18"/>
        </w:rPr>
        <w:footnoteRef/>
      </w:r>
      <w:r w:rsidRPr="00FA7507">
        <w:rPr>
          <w:szCs w:val="18"/>
        </w:rPr>
        <w:t xml:space="preserve"> A </w:t>
      </w:r>
      <w:r w:rsidRPr="00534D54">
        <w:rPr>
          <w:szCs w:val="18"/>
        </w:rPr>
        <w:t>hybrid grid</w:t>
      </w:r>
      <w:r w:rsidRPr="00FA7507">
        <w:rPr>
          <w:szCs w:val="18"/>
        </w:rPr>
        <w:t xml:space="preserve"> is a</w:t>
      </w:r>
      <w:r w:rsidRPr="00693EF3">
        <w:rPr>
          <w:szCs w:val="18"/>
        </w:rPr>
        <w:t xml:space="preserve"> power system </w:t>
      </w:r>
      <w:r>
        <w:rPr>
          <w:szCs w:val="18"/>
        </w:rPr>
        <w:t>with a combination of</w:t>
      </w:r>
      <w:r w:rsidRPr="00693EF3">
        <w:rPr>
          <w:szCs w:val="18"/>
        </w:rPr>
        <w:t xml:space="preserve"> </w:t>
      </w:r>
      <w:r>
        <w:rPr>
          <w:szCs w:val="18"/>
        </w:rPr>
        <w:t xml:space="preserve">centrally dispatched </w:t>
      </w:r>
      <w:r w:rsidRPr="00693EF3">
        <w:rPr>
          <w:szCs w:val="18"/>
        </w:rPr>
        <w:t>large generators</w:t>
      </w:r>
      <w:r>
        <w:rPr>
          <w:szCs w:val="18"/>
        </w:rPr>
        <w:t xml:space="preserve"> and</w:t>
      </w:r>
      <w:r w:rsidRPr="00A43ABC">
        <w:rPr>
          <w:szCs w:val="18"/>
        </w:rPr>
        <w:t xml:space="preserve"> </w:t>
      </w:r>
      <w:r>
        <w:rPr>
          <w:szCs w:val="18"/>
        </w:rPr>
        <w:t xml:space="preserve">thousands of </w:t>
      </w:r>
      <w:r w:rsidRPr="00A43ABC">
        <w:rPr>
          <w:szCs w:val="18"/>
        </w:rPr>
        <w:t>small</w:t>
      </w:r>
      <w:r>
        <w:rPr>
          <w:szCs w:val="18"/>
        </w:rPr>
        <w:t>,</w:t>
      </w:r>
      <w:r w:rsidRPr="00A43ABC">
        <w:rPr>
          <w:szCs w:val="18"/>
        </w:rPr>
        <w:t xml:space="preserve"> </w:t>
      </w:r>
      <w:r>
        <w:rPr>
          <w:szCs w:val="18"/>
        </w:rPr>
        <w:t>non-dispatchable</w:t>
      </w:r>
      <w:r w:rsidRPr="00A43ABC">
        <w:rPr>
          <w:szCs w:val="18"/>
        </w:rPr>
        <w:t xml:space="preserve"> resources connected “behind the meter” (BTM) directly to retail customer sites or local distribution utilities</w:t>
      </w:r>
      <w:r>
        <w:rPr>
          <w:szCs w:val="18"/>
        </w:rPr>
        <w:t xml:space="preserve">. It also refers to a power system that has both traditional fossil-fueled resources and growing amounts of variable renewable generation. </w:t>
      </w:r>
    </w:p>
  </w:footnote>
  <w:footnote w:id="7">
    <w:p w:rsidR="005C5D9A" w:rsidRDefault="005C5D9A" w:rsidP="00AD5DF1">
      <w:pPr>
        <w:pStyle w:val="FootnoteText"/>
      </w:pPr>
      <w:r w:rsidRPr="00D4150E">
        <w:rPr>
          <w:rStyle w:val="FootnoteReference"/>
        </w:rPr>
        <w:footnoteRef/>
      </w:r>
      <w:r w:rsidRPr="00D4150E">
        <w:t xml:space="preserve"> A </w:t>
      </w:r>
      <w:r w:rsidRPr="00B453E7">
        <w:t>50/50 peak load</w:t>
      </w:r>
      <w:r w:rsidRPr="00D4150E">
        <w:t xml:space="preserve"> has a 50% chance of being exceeded in any peak season because of weather conditions, expected to occur in the summer in New England at a weighted New England-wide temperature at the time of the peak of approximately 91.4 degrees Fahrenheit (°F), and in the winter, approximately 11.6°F. A </w:t>
      </w:r>
      <w:r w:rsidRPr="00B453E7">
        <w:t>90/10 peak load</w:t>
      </w:r>
      <w:r w:rsidRPr="00D4150E">
        <w:t xml:space="preserve"> has a 10% chance of being exceeded in any peak season because of weather conditions, expected to occur in the summer in New England at a weighted New England-wide temperature at the time of the peak of approximately 94.9°F, and in the winter, approximately 5.0°F.</w:t>
      </w:r>
      <w:r>
        <w:t xml:space="preserve"> </w:t>
      </w:r>
      <w:r w:rsidRPr="005700AE">
        <w:t xml:space="preserve">These </w:t>
      </w:r>
      <w:r>
        <w:t>temperature</w:t>
      </w:r>
      <w:r w:rsidRPr="005700AE">
        <w:t xml:space="preserve"> values are based on </w:t>
      </w:r>
      <w:r>
        <w:t>a</w:t>
      </w:r>
      <w:r w:rsidRPr="005700AE">
        <w:t xml:space="preserve"> 25-year historical dataset spanning </w:t>
      </w:r>
      <w:r>
        <w:t xml:space="preserve">1991 through </w:t>
      </w:r>
      <w:r w:rsidRPr="005700AE">
        <w:t>2015</w:t>
      </w:r>
      <w:r>
        <w:t>.</w:t>
      </w:r>
    </w:p>
  </w:footnote>
  <w:footnote w:id="8">
    <w:p w:rsidR="005C5D9A" w:rsidRDefault="005C5D9A">
      <w:pPr>
        <w:pStyle w:val="FootnoteText"/>
      </w:pPr>
      <w:r>
        <w:rPr>
          <w:rStyle w:val="FootnoteReference"/>
        </w:rPr>
        <w:footnoteRef/>
      </w:r>
      <w:r>
        <w:t xml:space="preserve"> </w:t>
      </w:r>
      <w:r w:rsidRPr="00081B7D">
        <w:t>90/10 Load</w:t>
      </w:r>
      <w:r>
        <w:t xml:space="preserve"> Forecast</w:t>
      </w:r>
      <w:r w:rsidRPr="00081B7D">
        <w:t xml:space="preserve">: An annual forecast of the </w:t>
      </w:r>
      <w:r>
        <w:t xml:space="preserve">anticipated </w:t>
      </w:r>
      <w:r w:rsidRPr="00081B7D">
        <w:t>peak electric demand (load) where there is a 10-percent chance that the actual system peak load will exceed the forecasted value in any given year or, stated another way, it is expected that on the average the forecast will be exceeded once every ten years.</w:t>
      </w:r>
      <w:r>
        <w:t xml:space="preserve">  </w:t>
      </w:r>
    </w:p>
  </w:footnote>
  <w:footnote w:id="9">
    <w:p w:rsidR="005C5D9A" w:rsidRDefault="005C5D9A" w:rsidP="00D239A0">
      <w:pPr>
        <w:pStyle w:val="FootnoteText"/>
      </w:pPr>
      <w:r>
        <w:rPr>
          <w:rStyle w:val="FootnoteReference"/>
        </w:rPr>
        <w:footnoteRef/>
      </w:r>
      <w:r>
        <w:t xml:space="preserve"> According to </w:t>
      </w:r>
      <w:hyperlink r:id="rId4" w:history="1">
        <w:r w:rsidRPr="00D476EE">
          <w:rPr>
            <w:rStyle w:val="Hyperlink"/>
          </w:rPr>
          <w:t>NOAA</w:t>
        </w:r>
      </w:hyperlink>
      <w:r>
        <w:t>, “extreme event attribution is challenged by the fact that the events themselves are rare and our observational records are short, that weather events always have multiple contributing causes, and that they occur on regional and local scales that are scientifically and computationally challenging for climate models to handle. Attribution analyses depend on statistical tests for differences, and the fewer events you have, the greater the range of uncertainty about the conclusions. Because extreme events are rare, analyses that depend on observations have a large range of uncertainty.”</w:t>
      </w:r>
    </w:p>
  </w:footnote>
  <w:footnote w:id="10">
    <w:p w:rsidR="005C5D9A" w:rsidRDefault="005C5D9A" w:rsidP="00D239A0">
      <w:pPr>
        <w:pStyle w:val="FootnoteText"/>
      </w:pPr>
      <w:r>
        <w:rPr>
          <w:rStyle w:val="FootnoteReference"/>
        </w:rPr>
        <w:footnoteRef/>
      </w:r>
      <w:r>
        <w:t xml:space="preserve"> </w:t>
      </w:r>
      <w:r w:rsidRPr="00584446">
        <w:t xml:space="preserve">The ISO’s planned work to advance </w:t>
      </w:r>
      <w:hyperlink r:id="rId5" w:history="1">
        <w:r w:rsidRPr="00D476EE">
          <w:rPr>
            <w:rStyle w:val="Hyperlink"/>
          </w:rPr>
          <w:t>Energy Security Improvements</w:t>
        </w:r>
      </w:hyperlink>
      <w:r w:rsidRPr="00584446">
        <w:t xml:space="preserve"> </w:t>
      </w:r>
      <w:r>
        <w:t xml:space="preserve">(ESI) </w:t>
      </w:r>
      <w:r w:rsidRPr="00584446">
        <w:t xml:space="preserve">was contingent on FERC’s response to the ISO’s ESI filing, which </w:t>
      </w:r>
      <w:r>
        <w:t>the Federal Energy Regulatory Committee (</w:t>
      </w:r>
      <w:r w:rsidRPr="00584446">
        <w:t>FERC</w:t>
      </w:r>
      <w:r>
        <w:t>)</w:t>
      </w:r>
      <w:r w:rsidRPr="00584446">
        <w:t xml:space="preserve"> rejected on </w:t>
      </w:r>
      <w:hyperlink r:id="rId6" w:history="1">
        <w:r w:rsidRPr="00D476EE">
          <w:rPr>
            <w:rStyle w:val="Hyperlink"/>
          </w:rPr>
          <w:t>October 30, 2020</w:t>
        </w:r>
      </w:hyperlink>
      <w:r>
        <w:t xml:space="preserve">. The ISO understands FERC’s rejection of ESI was a result of several concerns, including (a) lack of clear continuing evidence of fuel-based reliability risks (esp. in the Impact Analysis); (b) high potential total costs, relative to the benefits; (c) absence of a mitigation proposal and analysis; and (d) absence of a forward procurement component. Consequently, ESI is on hold and </w:t>
      </w:r>
      <w:r w:rsidRPr="00584446">
        <w:t>the ISO will be revisiting solutions in 2022</w:t>
      </w:r>
      <w:r>
        <w:t>.</w:t>
      </w:r>
    </w:p>
  </w:footnote>
  <w:footnote w:id="11">
    <w:p w:rsidR="005C5D9A" w:rsidRDefault="005C5D9A" w:rsidP="00D239A0">
      <w:pPr>
        <w:pStyle w:val="FootnoteText"/>
      </w:pPr>
      <w:r>
        <w:rPr>
          <w:rStyle w:val="FootnoteReference"/>
        </w:rPr>
        <w:footnoteRef/>
      </w:r>
      <w:r>
        <w:t xml:space="preserve"> Very low probability, but very high impact events.</w:t>
      </w:r>
    </w:p>
  </w:footnote>
  <w:footnote w:id="12">
    <w:p w:rsidR="005C5D9A" w:rsidRDefault="005C5D9A" w:rsidP="00C113E8">
      <w:pPr>
        <w:pStyle w:val="FootnoteText"/>
      </w:pPr>
      <w:r w:rsidRPr="00CF2B8B">
        <w:rPr>
          <w:rStyle w:val="FootnoteReference"/>
        </w:rPr>
        <w:footnoteRef/>
      </w:r>
      <w:r w:rsidRPr="00CF2B8B">
        <w:t xml:space="preserve"> </w:t>
      </w:r>
      <w:r>
        <w:t>It is unlikely that a</w:t>
      </w:r>
      <w:r w:rsidRPr="00CF2B8B">
        <w:t xml:space="preserve">ll resources seeking interconnection </w:t>
      </w:r>
      <w:r>
        <w:t xml:space="preserve">will </w:t>
      </w:r>
      <w:r w:rsidRPr="00CF2B8B">
        <w:t>be built. Some projects will withdraw after receiving the interconnection study results or may ch</w:t>
      </w:r>
      <w:r>
        <w:t>o</w:t>
      </w:r>
      <w:r w:rsidRPr="00CF2B8B">
        <w:t>ose not to pursue their project for other reasons, such as financing issues, the need for significant transmission reinforcements</w:t>
      </w:r>
      <w:r w:rsidRPr="00345749">
        <w:t xml:space="preserve">, </w:t>
      </w:r>
      <w:r>
        <w:t>or</w:t>
      </w:r>
      <w:r w:rsidRPr="00345749">
        <w:t xml:space="preserve"> the </w:t>
      </w:r>
      <w:r w:rsidRPr="00CF2B8B">
        <w:t>lack of a state contract. In addition, some projects ch</w:t>
      </w:r>
      <w:r>
        <w:t>o</w:t>
      </w:r>
      <w:r w:rsidRPr="00CF2B8B">
        <w:t xml:space="preserve">ose to submit multiple interconnection requests because they have not decided on a specific interconnection point, which </w:t>
      </w:r>
      <w:r w:rsidRPr="00307E4B">
        <w:t>ultimately will require the withdrawal of the interconnection request</w:t>
      </w:r>
      <w:r>
        <w:t>(s)</w:t>
      </w:r>
      <w:r w:rsidRPr="00307E4B">
        <w:t xml:space="preserve"> not being pursued.</w:t>
      </w:r>
    </w:p>
  </w:footnote>
  <w:footnote w:id="13">
    <w:p w:rsidR="005C5D9A" w:rsidRDefault="005C5D9A" w:rsidP="009D1DB6">
      <w:pPr>
        <w:pStyle w:val="FootnoteText"/>
      </w:pPr>
      <w:r>
        <w:rPr>
          <w:rStyle w:val="FootnoteReference"/>
        </w:rPr>
        <w:footnoteRef/>
      </w:r>
      <w:r>
        <w:t xml:space="preserve"> </w:t>
      </w:r>
      <w:r w:rsidRPr="009D1DB6">
        <w:t xml:space="preserve">Order 2222 describes </w:t>
      </w:r>
      <w:r>
        <w:t xml:space="preserve">DERs </w:t>
      </w:r>
      <w:r w:rsidRPr="009D1DB6">
        <w:t xml:space="preserve">as: “Any resource located on the distribution system, any subsystem thereof or behind a customer meter. These resources may include, but are not limited to, electric storage resources, distributed generation, demand response, </w:t>
      </w:r>
      <w:r>
        <w:t>EE</w:t>
      </w:r>
      <w:r w:rsidRPr="009D1DB6">
        <w:t>, thermal storage, and electric vehicles and their supply equipment</w:t>
      </w:r>
      <w:r>
        <w:t>.</w:t>
      </w:r>
      <w:r w:rsidRPr="009D1DB6">
        <w:t>”</w:t>
      </w:r>
      <w:r>
        <w:t xml:space="preserve"> The ISO does not currently have participation models to allow DERs to participate in the markets using heterogeneous aggregations of DER asset types. ISO is also addressing a number of directives in the Order, including the size and location requirements, metering the telemetry requirements, registration requirements, and coordination among the ISO, distribution utility, DER Aggregator and retail regulatory entities.</w:t>
      </w:r>
    </w:p>
  </w:footnote>
  <w:footnote w:id="14">
    <w:p w:rsidR="005C5D9A" w:rsidRDefault="005C5D9A">
      <w:pPr>
        <w:pStyle w:val="FootnoteText"/>
      </w:pPr>
      <w:r>
        <w:rPr>
          <w:rStyle w:val="FootnoteReference"/>
        </w:rPr>
        <w:footnoteRef/>
      </w:r>
      <w:r>
        <w:t xml:space="preserve"> The </w:t>
      </w:r>
      <w:r w:rsidRPr="00081B7D">
        <w:t>PJM Interconnection is a regional transmission organization (RTO) operating an electric transmission system serving all or parts of Delaware, Illinois, Indiana, Kentucky, Maryland, Michigan, New Jersey, North Carolina, Ohio, Pennsylvania, Tennessee, Virginia, West Virginia, and the District of Columbia.</w:t>
      </w:r>
    </w:p>
  </w:footnote>
  <w:footnote w:id="15">
    <w:p w:rsidR="005C5D9A" w:rsidRDefault="005C5D9A" w:rsidP="002451F2">
      <w:pPr>
        <w:pStyle w:val="FootnoteText"/>
      </w:pPr>
      <w:r>
        <w:rPr>
          <w:rStyle w:val="FootnoteReference"/>
        </w:rPr>
        <w:footnoteRef/>
      </w:r>
      <w:r>
        <w:t xml:space="preserve"> In late 2017, the ISO adopted probabilistic methods to establish assumptions concerning resource unavailability and system transfers in Needs Assessments, which in some cases, yielded less system stress.  In addition, Planning Procedure No. 3 (PP3) was modified, resulting in less stringent criteria for facilities which are not subject to NERC standards and/or NPCC criteria.  </w:t>
      </w:r>
    </w:p>
  </w:footnote>
  <w:footnote w:id="16">
    <w:p w:rsidR="005C5D9A" w:rsidRDefault="005C5D9A" w:rsidP="00776BA4">
      <w:pPr>
        <w:pStyle w:val="FootnoteText"/>
      </w:pPr>
      <w:r w:rsidRPr="00FE2B28">
        <w:rPr>
          <w:rStyle w:val="FootnoteReference"/>
          <w:szCs w:val="18"/>
        </w:rPr>
        <w:footnoteRef/>
      </w:r>
      <w:r w:rsidRPr="00FE2B28">
        <w:rPr>
          <w:szCs w:val="18"/>
        </w:rPr>
        <w:t xml:space="preserve"> NCPC is a make-whole (i.e., </w:t>
      </w:r>
      <w:r w:rsidRPr="00534D54">
        <w:rPr>
          <w:szCs w:val="18"/>
        </w:rPr>
        <w:t>uplift</w:t>
      </w:r>
      <w:r w:rsidRPr="00FE2B28">
        <w:rPr>
          <w:szCs w:val="18"/>
        </w:rPr>
        <w:t>) payment to a supply resource that responded to the ISO’s dispatch instructions but did not fully recover its start-up and operating costs in either the Day-Ahead or Real-Time Energy Markets.</w:t>
      </w:r>
    </w:p>
  </w:footnote>
  <w:footnote w:id="17">
    <w:p w:rsidR="005C5D9A" w:rsidRDefault="005C5D9A">
      <w:pPr>
        <w:pStyle w:val="FootnoteText"/>
      </w:pPr>
      <w:r>
        <w:rPr>
          <w:rStyle w:val="FootnoteReference"/>
        </w:rPr>
        <w:footnoteRef/>
      </w:r>
      <w:r>
        <w:t xml:space="preserve"> See </w:t>
      </w:r>
      <w:hyperlink w:anchor="Table_5_3" w:history="1">
        <w:r w:rsidRPr="00AB43AF">
          <w:rPr>
            <w:rStyle w:val="Hyperlink"/>
          </w:rPr>
          <w:t>Table 5-3</w:t>
        </w:r>
      </w:hyperlink>
      <w:r>
        <w:t xml:space="preserve"> and </w:t>
      </w:r>
      <w:hyperlink w:anchor="Table_5_4" w:history="1">
        <w:r w:rsidRPr="00AB43AF">
          <w:rPr>
            <w:rStyle w:val="Hyperlink"/>
          </w:rPr>
          <w:t>Table 5-4</w:t>
        </w:r>
      </w:hyperlink>
      <w:r>
        <w:t xml:space="preserve"> for additional detail.</w:t>
      </w:r>
    </w:p>
  </w:footnote>
  <w:footnote w:id="18">
    <w:p w:rsidR="005C5D9A" w:rsidRDefault="005C5D9A" w:rsidP="00734A43">
      <w:pPr>
        <w:pStyle w:val="FootnoteText"/>
      </w:pPr>
      <w:r>
        <w:rPr>
          <w:rStyle w:val="FootnoteReference"/>
        </w:rPr>
        <w:footnoteRef/>
      </w:r>
      <w:r>
        <w:t xml:space="preserve"> </w:t>
      </w:r>
      <w:r w:rsidRPr="001E0028">
        <w:rPr>
          <w:szCs w:val="18"/>
        </w:rPr>
        <w:t>The Bunker Hill substation rebuild (</w:t>
      </w:r>
      <w:r w:rsidRPr="00A52C03">
        <w:rPr>
          <w:i/>
          <w:szCs w:val="18"/>
        </w:rPr>
        <w:t>RSP Project List</w:t>
      </w:r>
      <w:r w:rsidRPr="001E0028">
        <w:rPr>
          <w:szCs w:val="18"/>
        </w:rPr>
        <w:t xml:space="preserve"> #1571) and looping the 1990 (Frost Bridge</w:t>
      </w:r>
      <w:r>
        <w:rPr>
          <w:szCs w:val="18"/>
        </w:rPr>
        <w:t>–</w:t>
      </w:r>
      <w:r w:rsidRPr="001E0028">
        <w:rPr>
          <w:szCs w:val="18"/>
        </w:rPr>
        <w:t>Baldwin</w:t>
      </w:r>
      <w:r>
        <w:rPr>
          <w:szCs w:val="18"/>
        </w:rPr>
        <w:t>–</w:t>
      </w:r>
      <w:r w:rsidRPr="001E0028">
        <w:rPr>
          <w:szCs w:val="18"/>
        </w:rPr>
        <w:t>Stevenson) line into Bunker Hill (</w:t>
      </w:r>
      <w:r w:rsidRPr="00A52C03">
        <w:rPr>
          <w:i/>
          <w:szCs w:val="18"/>
        </w:rPr>
        <w:t>RSP Project List</w:t>
      </w:r>
      <w:r w:rsidRPr="001E0028">
        <w:rPr>
          <w:szCs w:val="18"/>
        </w:rPr>
        <w:t xml:space="preserve"> #1569) are no longer necessary due to </w:t>
      </w:r>
      <w:r>
        <w:rPr>
          <w:szCs w:val="18"/>
        </w:rPr>
        <w:t xml:space="preserve">the </w:t>
      </w:r>
      <w:r w:rsidRPr="001E0028">
        <w:rPr>
          <w:szCs w:val="18"/>
        </w:rPr>
        <w:t>Towantic interconnection substation being functionally similar</w:t>
      </w:r>
      <w:r>
        <w:rPr>
          <w:szCs w:val="18"/>
        </w:rPr>
        <w:t>. T</w:t>
      </w:r>
      <w:r w:rsidRPr="001E0028">
        <w:rPr>
          <w:szCs w:val="18"/>
        </w:rPr>
        <w:t xml:space="preserve">he </w:t>
      </w:r>
      <w:r>
        <w:rPr>
          <w:szCs w:val="18"/>
        </w:rPr>
        <w:t>s</w:t>
      </w:r>
      <w:r w:rsidRPr="001E0028">
        <w:rPr>
          <w:szCs w:val="18"/>
        </w:rPr>
        <w:t>eparation of the 3827 (Beseck–East Devon)/1610 (Southington</w:t>
      </w:r>
      <w:r>
        <w:rPr>
          <w:szCs w:val="18"/>
        </w:rPr>
        <w:t>–</w:t>
      </w:r>
      <w:r w:rsidRPr="001E0028">
        <w:rPr>
          <w:szCs w:val="18"/>
        </w:rPr>
        <w:t>Mix Ave.</w:t>
      </w:r>
      <w:r>
        <w:rPr>
          <w:szCs w:val="18"/>
        </w:rPr>
        <w:t>–</w:t>
      </w:r>
      <w:r w:rsidRPr="001E0028">
        <w:rPr>
          <w:szCs w:val="18"/>
        </w:rPr>
        <w:t xml:space="preserve">June St.) </w:t>
      </w:r>
      <w:r>
        <w:rPr>
          <w:szCs w:val="18"/>
        </w:rPr>
        <w:t>Double Circuit Tower (DCT)</w:t>
      </w:r>
      <w:r w:rsidRPr="001E0028">
        <w:rPr>
          <w:szCs w:val="18"/>
        </w:rPr>
        <w:t xml:space="preserve"> (</w:t>
      </w:r>
      <w:r w:rsidRPr="00A52C03">
        <w:rPr>
          <w:i/>
          <w:szCs w:val="18"/>
        </w:rPr>
        <w:t>RSP Project List</w:t>
      </w:r>
      <w:r w:rsidRPr="001E4568">
        <w:rPr>
          <w:szCs w:val="18"/>
        </w:rPr>
        <w:t xml:space="preserve"> </w:t>
      </w:r>
      <w:r w:rsidRPr="001E0028">
        <w:rPr>
          <w:szCs w:val="18"/>
        </w:rPr>
        <w:t>#1579)</w:t>
      </w:r>
      <w:r>
        <w:rPr>
          <w:szCs w:val="18"/>
        </w:rPr>
        <w:t>,</w:t>
      </w:r>
      <w:r w:rsidRPr="001E0028">
        <w:rPr>
          <w:szCs w:val="18"/>
        </w:rPr>
        <w:t xml:space="preserve"> previously recommended to alleviate overloads on </w:t>
      </w:r>
      <w:r>
        <w:rPr>
          <w:szCs w:val="18"/>
        </w:rPr>
        <w:t xml:space="preserve">the </w:t>
      </w:r>
      <w:r w:rsidRPr="001E0028">
        <w:rPr>
          <w:szCs w:val="18"/>
        </w:rPr>
        <w:t>88003A/89003B lines</w:t>
      </w:r>
      <w:r>
        <w:rPr>
          <w:szCs w:val="18"/>
        </w:rPr>
        <w:t xml:space="preserve">, are </w:t>
      </w:r>
      <w:r w:rsidRPr="001E0028">
        <w:rPr>
          <w:szCs w:val="18"/>
        </w:rPr>
        <w:t xml:space="preserve">no longer necessary with </w:t>
      </w:r>
      <w:r>
        <w:rPr>
          <w:szCs w:val="18"/>
        </w:rPr>
        <w:t xml:space="preserve">the </w:t>
      </w:r>
      <w:r w:rsidRPr="001E0028">
        <w:rPr>
          <w:szCs w:val="18"/>
        </w:rPr>
        <w:t>additional generation in the SWCT area</w:t>
      </w:r>
      <w:r>
        <w:rPr>
          <w:szCs w:val="18"/>
        </w:rPr>
        <w:t>.</w:t>
      </w:r>
    </w:p>
  </w:footnote>
  <w:footnote w:id="19">
    <w:p w:rsidR="005C5D9A" w:rsidRDefault="005C5D9A">
      <w:pPr>
        <w:pStyle w:val="FootnoteText"/>
      </w:pPr>
      <w:r>
        <w:rPr>
          <w:rStyle w:val="FootnoteReference"/>
        </w:rPr>
        <w:footnoteRef/>
      </w:r>
      <w:r>
        <w:t xml:space="preserve"> </w:t>
      </w:r>
      <w:r w:rsidRPr="00720190">
        <w:t xml:space="preserve">Economic </w:t>
      </w:r>
      <w:r>
        <w:t>s</w:t>
      </w:r>
      <w:r w:rsidRPr="00720190">
        <w:t xml:space="preserve">tudies </w:t>
      </w:r>
      <w:r>
        <w:t>analyses consider</w:t>
      </w:r>
      <w:r w:rsidRPr="00720190">
        <w:t xml:space="preserve"> both an unconstrained and constrained </w:t>
      </w:r>
      <w:r>
        <w:t xml:space="preserve">New England transmission </w:t>
      </w:r>
      <w:r w:rsidRPr="00720190">
        <w:t xml:space="preserve">system. For unconstrained scenarios, no transmission interfaces </w:t>
      </w:r>
      <w:r>
        <w:t xml:space="preserve">were </w:t>
      </w:r>
      <w:r w:rsidRPr="00720190">
        <w:t xml:space="preserve">modeled. For constrained scenarios, the </w:t>
      </w:r>
      <w:r>
        <w:t xml:space="preserve">transmission </w:t>
      </w:r>
      <w:r w:rsidRPr="00720190">
        <w:t>sys</w:t>
      </w:r>
      <w:r>
        <w:t xml:space="preserve">tem was modeled using the “pipe and </w:t>
      </w:r>
      <w:r w:rsidRPr="00720190">
        <w:t xml:space="preserve">bubble” configuration, with “pipes” representing transmission interfaces that connect the “bubbles,” which represent the </w:t>
      </w:r>
      <w:r>
        <w:t>13</w:t>
      </w:r>
      <w:r w:rsidRPr="00720190">
        <w:t xml:space="preserve"> planning </w:t>
      </w:r>
      <w:r>
        <w:t>sub</w:t>
      </w:r>
      <w:r w:rsidRPr="00720190">
        <w:t>areas.</w:t>
      </w:r>
    </w:p>
  </w:footnote>
  <w:footnote w:id="20">
    <w:p w:rsidR="005C5D9A" w:rsidRPr="00D01C55" w:rsidRDefault="005C5D9A" w:rsidP="00554F3C">
      <w:pPr>
        <w:pStyle w:val="FootnoteText"/>
      </w:pPr>
      <w:r>
        <w:rPr>
          <w:rStyle w:val="FootnoteReference"/>
        </w:rPr>
        <w:footnoteRef/>
      </w:r>
      <w:r>
        <w:t xml:space="preserve"> </w:t>
      </w:r>
      <w:r w:rsidRPr="00554F3C">
        <w:t>The ISO contemplated onshore interconnection points for offshore wind based on the results of several interconnection studies conducted for projects in the ISO Interconnection Request Queue</w:t>
      </w:r>
      <w:r>
        <w:t xml:space="preserve">. The interconnection was studied in accordance with the interconnection process </w:t>
      </w:r>
      <w:r w:rsidRPr="00CF080D">
        <w:t xml:space="preserve"> described in </w:t>
      </w:r>
      <w:hyperlink r:id="rId7" w:history="1">
        <w:r w:rsidRPr="00554F3C">
          <w:rPr>
            <w:rStyle w:val="Hyperlink"/>
          </w:rPr>
          <w:t>Schedule 22</w:t>
        </w:r>
      </w:hyperlink>
      <w:r w:rsidRPr="00CF080D">
        <w:t xml:space="preserve">, </w:t>
      </w:r>
      <w:r w:rsidRPr="00CF080D">
        <w:rPr>
          <w:i/>
          <w:iCs/>
        </w:rPr>
        <w:t>Large Generator Interconnection Procedures</w:t>
      </w:r>
      <w:r w:rsidRPr="00CF080D">
        <w:t xml:space="preserve"> (LGIP), S</w:t>
      </w:r>
      <w:hyperlink r:id="rId8" w:history="1">
        <w:r w:rsidRPr="00554F3C">
          <w:rPr>
            <w:rStyle w:val="Hyperlink"/>
          </w:rPr>
          <w:t>chedule 23</w:t>
        </w:r>
      </w:hyperlink>
      <w:r w:rsidRPr="00CF080D">
        <w:t xml:space="preserve">, </w:t>
      </w:r>
      <w:r w:rsidRPr="00CF080D">
        <w:rPr>
          <w:i/>
          <w:iCs/>
        </w:rPr>
        <w:t>Small Generator Interconnection Procedures</w:t>
      </w:r>
      <w:r w:rsidRPr="00CF080D">
        <w:t xml:space="preserve"> (SGIP), and</w:t>
      </w:r>
      <w:r w:rsidRPr="00CF080D">
        <w:rPr>
          <w:rFonts w:ascii="Arial" w:hAnsi="Arial" w:cs="Arial"/>
          <w:color w:val="4A5E67"/>
          <w:lang w:val="en"/>
        </w:rPr>
        <w:t xml:space="preserve"> </w:t>
      </w:r>
      <w:hyperlink r:id="rId9" w:history="1">
        <w:r w:rsidRPr="00554F3C">
          <w:rPr>
            <w:rStyle w:val="Hyperlink"/>
          </w:rPr>
          <w:t>Schedule 25</w:t>
        </w:r>
      </w:hyperlink>
      <w:r w:rsidRPr="00CF080D">
        <w:t xml:space="preserve">, </w:t>
      </w:r>
      <w:r w:rsidRPr="00CF080D">
        <w:rPr>
          <w:i/>
          <w:iCs/>
        </w:rPr>
        <w:t>Elective Transmission Upgrade Interconnection Procedures</w:t>
      </w:r>
      <w:r w:rsidRPr="00CF080D">
        <w:t xml:space="preserve"> (ETU). </w:t>
      </w:r>
    </w:p>
    <w:p w:rsidR="005C5D9A" w:rsidRDefault="005C5D9A">
      <w:pPr>
        <w:pStyle w:val="FootnoteText"/>
      </w:pPr>
      <w:r>
        <w:t xml:space="preserve"> </w:t>
      </w:r>
    </w:p>
  </w:footnote>
  <w:footnote w:id="21">
    <w:p w:rsidR="005C5D9A" w:rsidRDefault="005C5D9A">
      <w:pPr>
        <w:pStyle w:val="FootnoteText"/>
      </w:pPr>
      <w:r>
        <w:rPr>
          <w:rStyle w:val="FootnoteReference"/>
        </w:rPr>
        <w:footnoteRef/>
      </w:r>
      <w:r>
        <w:t xml:space="preserve"> The ISO’s </w:t>
      </w:r>
      <w:r w:rsidRPr="00F41B5F">
        <w:rPr>
          <w:i/>
        </w:rPr>
        <w:t>Open Access Transmission Tarif</w:t>
      </w:r>
      <w:r>
        <w:rPr>
          <w:i/>
        </w:rPr>
        <w:t>f</w:t>
      </w:r>
      <w:r>
        <w:t xml:space="preserve">, </w:t>
      </w:r>
      <w:hyperlink r:id="rId10" w:history="1">
        <w:r w:rsidRPr="00157D35">
          <w:rPr>
            <w:rStyle w:val="Hyperlink"/>
          </w:rPr>
          <w:t>Attachment N</w:t>
        </w:r>
      </w:hyperlink>
      <w:r>
        <w:t>, addresses transmission-upgrade procedures.</w:t>
      </w:r>
    </w:p>
  </w:footnote>
  <w:footnote w:id="22">
    <w:p w:rsidR="005C5D9A" w:rsidRDefault="005C5D9A">
      <w:pPr>
        <w:pStyle w:val="FootnoteText"/>
      </w:pPr>
      <w:r>
        <w:rPr>
          <w:rStyle w:val="FootnoteReference"/>
        </w:rPr>
        <w:footnoteRef/>
      </w:r>
      <w:r>
        <w:t xml:space="preserve"> The objectives of FGRS Phase 2 study are two-fold.  First, the study will compare</w:t>
      </w:r>
      <w:r w:rsidRPr="00A459B5">
        <w:t xml:space="preserve"> revenues from the existing markets to resource costs by technology type</w:t>
      </w:r>
      <w:r>
        <w:t xml:space="preserve"> to determine if revenues will be sufficient to attract and retain different types of resources.  Second, the study will assess the transmission system to determine if there are thermal and/or voltage overloads associated with the representative FGRS Phase 1 scenarios.   Stability analyses may also be performed. The goal of the transmission assessment is to identify where and what type of transmission enhancements are needed.  </w:t>
      </w:r>
    </w:p>
  </w:footnote>
  <w:footnote w:id="23">
    <w:p w:rsidR="005C5D9A" w:rsidRDefault="005C5D9A">
      <w:pPr>
        <w:pStyle w:val="FootnoteText"/>
      </w:pPr>
      <w:r>
        <w:rPr>
          <w:rStyle w:val="FootnoteReference"/>
        </w:rPr>
        <w:footnoteRef/>
      </w:r>
      <w:r>
        <w:t xml:space="preserve"> For additional information, see the following PAC  presentations:  </w:t>
      </w:r>
      <w:hyperlink r:id="rId11" w:history="1">
        <w:r w:rsidRPr="00C54BA7">
          <w:rPr>
            <w:rStyle w:val="Hyperlink"/>
          </w:rPr>
          <w:t>Transmission Planning for the Clean Energy Transition – Updated Assumptions and Pilot Study Proposal</w:t>
        </w:r>
      </w:hyperlink>
      <w:r>
        <w:t xml:space="preserve"> (</w:t>
      </w:r>
      <w:r w:rsidRPr="00C54BA7">
        <w:t>November 19, 2020</w:t>
      </w:r>
      <w:r>
        <w:t xml:space="preserve">); </w:t>
      </w:r>
      <w:hyperlink r:id="rId12" w:history="1">
        <w:r w:rsidRPr="00C54BA7">
          <w:rPr>
            <w:rStyle w:val="Hyperlink"/>
          </w:rPr>
          <w:t>Transmission Planning for the Clean Energy Transition – System Conditions and Dispatch Assumptions</w:t>
        </w:r>
      </w:hyperlink>
      <w:r>
        <w:t xml:space="preserve"> (</w:t>
      </w:r>
      <w:r w:rsidRPr="00C54BA7">
        <w:t>December 16, 2020</w:t>
      </w:r>
      <w:r>
        <w:t xml:space="preserve">); and </w:t>
      </w:r>
      <w:hyperlink r:id="rId13" w:history="1">
        <w:r w:rsidRPr="00C54BA7">
          <w:rPr>
            <w:rStyle w:val="Hyperlink"/>
          </w:rPr>
          <w:t>Transmission Planning for the Clean Energy Transition – Generation Dispatch Details</w:t>
        </w:r>
      </w:hyperlink>
      <w:r>
        <w:t xml:space="preserve"> (</w:t>
      </w:r>
      <w:r w:rsidRPr="00C54BA7">
        <w:t>January 21, 2021</w:t>
      </w:r>
      <w:r>
        <w:t xml:space="preserve">). </w:t>
      </w:r>
    </w:p>
  </w:footnote>
  <w:footnote w:id="24">
    <w:p w:rsidR="005C5D9A" w:rsidRDefault="005C5D9A" w:rsidP="003B7D3C">
      <w:pPr>
        <w:pStyle w:val="FootnoteText"/>
      </w:pPr>
      <w:r>
        <w:rPr>
          <w:rStyle w:val="FootnoteReference"/>
        </w:rPr>
        <w:footnoteRef/>
      </w:r>
      <w:r>
        <w:t xml:space="preserve"> There was a slight reduction in New England power system CO</w:t>
      </w:r>
      <w:r w:rsidRPr="001922A3">
        <w:rPr>
          <w:vertAlign w:val="subscript"/>
        </w:rPr>
        <w:t>2</w:t>
      </w:r>
      <w:r>
        <w:t xml:space="preserve"> emissions attributed to the COVID-19 pandemic mitigation measures. Roughly, half the total regional decline in CO</w:t>
      </w:r>
      <w:r w:rsidRPr="00346C13">
        <w:rPr>
          <w:vertAlign w:val="subscript"/>
        </w:rPr>
        <w:t>2</w:t>
      </w:r>
      <w:r>
        <w:t xml:space="preserve"> emissions in 2020 reflects temporary declines in surface transportation activities.</w:t>
      </w:r>
    </w:p>
  </w:footnote>
  <w:footnote w:id="25">
    <w:p w:rsidR="005C5D9A" w:rsidRDefault="005C5D9A">
      <w:pPr>
        <w:pStyle w:val="FootnoteText"/>
      </w:pPr>
      <w:r>
        <w:rPr>
          <w:rStyle w:val="FootnoteReference"/>
        </w:rPr>
        <w:footnoteRef/>
      </w:r>
      <w:r>
        <w:t xml:space="preserve"> </w:t>
      </w:r>
      <w:r w:rsidRPr="00830FEE">
        <w:t>ISO Environmental Advisory Group,</w:t>
      </w:r>
      <w:r>
        <w:rPr>
          <w:color w:val="1F497D"/>
        </w:rPr>
        <w:t xml:space="preserve"> </w:t>
      </w:r>
      <w:hyperlink r:id="rId14" w:history="1">
        <w:r>
          <w:rPr>
            <w:rStyle w:val="Hyperlink"/>
          </w:rPr>
          <w:t>Environmental Update</w:t>
        </w:r>
      </w:hyperlink>
      <w:r w:rsidRPr="00830FEE">
        <w:t>, Slide 8 (February 19, 2021), Increasing system emissions between 2019 and 2020 reflect increased native generation from emitting resources in 2020. In 2019 net energy for load was 119,237 GWh while 2020 net energy for load was 116,864 GWh (2% lower than 2019). Nuclear generation declined 14.2% from 2019 29,818 GWh) to 2020 (25,580 GWh) due to the 2019 retirement of Pilgrim Nuclear Station, and natural gas generation made up the difference in 2020, increasing from 47,451 GWh 2019 to 49,868 GWh in 2020 (an increase of 5.1%) while net import increased by 1.4% during the same period.</w:t>
      </w:r>
    </w:p>
  </w:footnote>
  <w:footnote w:id="26">
    <w:p w:rsidR="005C5D9A" w:rsidRDefault="005C5D9A" w:rsidP="00036BDA">
      <w:pPr>
        <w:pStyle w:val="FootnoteText"/>
      </w:pPr>
      <w:r>
        <w:rPr>
          <w:rStyle w:val="FootnoteReference"/>
        </w:rPr>
        <w:footnoteRef/>
      </w:r>
      <w:r>
        <w:t xml:space="preserve"> The New England region was winter peaking during the 1980s through the early 1990s.  </w:t>
      </w:r>
    </w:p>
  </w:footnote>
  <w:footnote w:id="27">
    <w:p w:rsidR="005C5D9A" w:rsidRDefault="005C5D9A" w:rsidP="00496814">
      <w:pPr>
        <w:pStyle w:val="FootnoteText"/>
      </w:pPr>
      <w:r w:rsidRPr="00C512A9">
        <w:rPr>
          <w:rStyle w:val="FootnoteReference"/>
        </w:rPr>
        <w:footnoteRef/>
      </w:r>
      <w:r w:rsidRPr="00C512A9">
        <w:t xml:space="preserve"> Any entity that intends to submit a proposal in response to an ISO-identified need for a reliability transmission upgrade, market-efficiency transmission upgrade, public policy transmission upgrade, or a backstop transmission solution must first be recognized by the ISO as a </w:t>
      </w:r>
      <w:r w:rsidRPr="00C512A9">
        <w:rPr>
          <w:i/>
        </w:rPr>
        <w:t>qualified transmission project sponsor</w:t>
      </w:r>
      <w:r w:rsidRPr="00C512A9">
        <w:t xml:space="preserve">, in accordance with the </w:t>
      </w:r>
      <w:r w:rsidRPr="00DF07CA">
        <w:t>OATT</w:t>
      </w:r>
      <w:r w:rsidRPr="00C512A9">
        <w:t xml:space="preserve">, </w:t>
      </w:r>
      <w:r w:rsidRPr="00B01AC5">
        <w:t>Attachment K, Section 4B.</w:t>
      </w:r>
      <w:r w:rsidRPr="00C512A9">
        <w:t xml:space="preserve"> </w:t>
      </w:r>
    </w:p>
  </w:footnote>
  <w:footnote w:id="28">
    <w:p w:rsidR="005C5D9A" w:rsidRPr="001655D0" w:rsidRDefault="005C5D9A" w:rsidP="00496814">
      <w:pPr>
        <w:spacing w:after="80" w:line="240" w:lineRule="auto"/>
        <w:rPr>
          <w:sz w:val="18"/>
          <w:szCs w:val="18"/>
        </w:rPr>
      </w:pPr>
      <w:r w:rsidRPr="00E83059">
        <w:rPr>
          <w:rStyle w:val="FootnoteReference"/>
          <w:sz w:val="18"/>
          <w:szCs w:val="18"/>
        </w:rPr>
        <w:footnoteRef/>
      </w:r>
      <w:r w:rsidRPr="00E83059">
        <w:rPr>
          <w:sz w:val="18"/>
          <w:szCs w:val="18"/>
        </w:rPr>
        <w:t xml:space="preserve"> Refer to the </w:t>
      </w:r>
      <w:hyperlink r:id="rId15" w:history="1">
        <w:r w:rsidRPr="001A70E3">
          <w:rPr>
            <w:rStyle w:val="Hyperlink"/>
            <w:sz w:val="18"/>
            <w:szCs w:val="18"/>
          </w:rPr>
          <w:t>OATT</w:t>
        </w:r>
      </w:hyperlink>
      <w:r w:rsidRPr="00E83059">
        <w:rPr>
          <w:sz w:val="18"/>
          <w:szCs w:val="18"/>
        </w:rPr>
        <w:t xml:space="preserve">, Attachment K, Section 4.1 and 4.2 for complete definitions for needs assessments and </w:t>
      </w:r>
      <w:r w:rsidRPr="00B01AC5">
        <w:rPr>
          <w:sz w:val="18"/>
          <w:szCs w:val="18"/>
        </w:rPr>
        <w:t>solutions studies</w:t>
      </w:r>
      <w:r>
        <w:rPr>
          <w:sz w:val="18"/>
          <w:szCs w:val="18"/>
        </w:rPr>
        <w:t>.</w:t>
      </w:r>
      <w:r w:rsidRPr="001655D0">
        <w:rPr>
          <w:sz w:val="18"/>
          <w:szCs w:val="18"/>
        </w:rPr>
        <w:t xml:space="preserve"> </w:t>
      </w:r>
    </w:p>
  </w:footnote>
  <w:footnote w:id="29">
    <w:p w:rsidR="005C5D9A" w:rsidRDefault="005C5D9A" w:rsidP="00496814">
      <w:pPr>
        <w:pStyle w:val="FootnoteText"/>
      </w:pPr>
      <w:r>
        <w:rPr>
          <w:rStyle w:val="FootnoteReference"/>
        </w:rPr>
        <w:footnoteRef/>
      </w:r>
      <w:r>
        <w:t xml:space="preserve"> Stakeholder </w:t>
      </w:r>
      <w:hyperlink r:id="rId16" w:history="1">
        <w:r w:rsidRPr="00F66927">
          <w:rPr>
            <w:rStyle w:val="Hyperlink"/>
          </w:rPr>
          <w:t>presentations</w:t>
        </w:r>
      </w:hyperlink>
      <w:r>
        <w:t xml:space="preserve"> to the PAC on the condition and management of key assets are available at the </w:t>
      </w:r>
      <w:r w:rsidRPr="002E655F">
        <w:t>ISO</w:t>
      </w:r>
      <w:r>
        <w:t>-NE’</w:t>
      </w:r>
      <w:r w:rsidRPr="002E655F">
        <w:t>s</w:t>
      </w:r>
      <w:r>
        <w:t xml:space="preserve"> website</w:t>
      </w:r>
      <w:r w:rsidRPr="002E655F">
        <w:t>.</w:t>
      </w:r>
      <w:r>
        <w:t xml:space="preserve">  </w:t>
      </w:r>
    </w:p>
  </w:footnote>
  <w:footnote w:id="30">
    <w:p w:rsidR="005C5D9A" w:rsidRPr="00FF45B8" w:rsidRDefault="005C5D9A" w:rsidP="00FF45B8">
      <w:pPr>
        <w:pStyle w:val="FoonoteText"/>
        <w:spacing w:after="0" w:line="240" w:lineRule="auto"/>
        <w:rPr>
          <w:sz w:val="18"/>
          <w:szCs w:val="18"/>
        </w:rPr>
      </w:pPr>
      <w:r w:rsidRPr="001655D0">
        <w:rPr>
          <w:rStyle w:val="FootnoteReference"/>
          <w:sz w:val="18"/>
          <w:szCs w:val="18"/>
        </w:rPr>
        <w:footnoteRef/>
      </w:r>
      <w:r w:rsidRPr="00FF45B8">
        <w:rPr>
          <w:sz w:val="18"/>
          <w:szCs w:val="18"/>
        </w:rPr>
        <w:t xml:space="preserve"> Stakeholders also can obtain publicly available power flow base cases, maps and diagrams of the transmission system network</w:t>
      </w:r>
      <w:r>
        <w:rPr>
          <w:sz w:val="18"/>
          <w:szCs w:val="18"/>
        </w:rPr>
        <w:t xml:space="preserve"> </w:t>
      </w:r>
      <w:r w:rsidRPr="00FF45B8">
        <w:rPr>
          <w:sz w:val="18"/>
          <w:szCs w:val="18"/>
        </w:rPr>
        <w:t xml:space="preserve"> through the</w:t>
      </w:r>
      <w:r w:rsidRPr="00940083">
        <w:rPr>
          <w:sz w:val="18"/>
          <w:szCs w:val="18"/>
        </w:rPr>
        <w:t xml:space="preserve"> </w:t>
      </w:r>
      <w:hyperlink r:id="rId17" w:history="1">
        <w:r w:rsidRPr="00940083">
          <w:rPr>
            <w:rStyle w:val="Hyperlink"/>
            <w:sz w:val="18"/>
            <w:szCs w:val="18"/>
          </w:rPr>
          <w:t>FERC 715 process</w:t>
        </w:r>
      </w:hyperlink>
      <w:r>
        <w:rPr>
          <w:sz w:val="18"/>
          <w:szCs w:val="18"/>
        </w:rPr>
        <w:t xml:space="preserve">. </w:t>
      </w:r>
      <w:r w:rsidRPr="00FF45B8">
        <w:rPr>
          <w:sz w:val="18"/>
          <w:szCs w:val="18"/>
        </w:rPr>
        <w:t xml:space="preserve"> </w:t>
      </w:r>
      <w:hyperlink r:id="rId18" w:history="1">
        <w:r w:rsidRPr="00FF45B8">
          <w:rPr>
            <w:rStyle w:val="Hyperlink"/>
            <w:sz w:val="18"/>
            <w:szCs w:val="18"/>
          </w:rPr>
          <w:t>ISO New England Information Policy</w:t>
        </w:r>
      </w:hyperlink>
      <w:r w:rsidRPr="00FF45B8">
        <w:rPr>
          <w:sz w:val="18"/>
          <w:szCs w:val="18"/>
        </w:rPr>
        <w:t xml:space="preserve"> (</w:t>
      </w:r>
      <w:r>
        <w:rPr>
          <w:sz w:val="18"/>
          <w:szCs w:val="18"/>
        </w:rPr>
        <w:t>2020</w:t>
      </w:r>
      <w:r w:rsidRPr="00FF45B8">
        <w:rPr>
          <w:sz w:val="18"/>
          <w:szCs w:val="18"/>
        </w:rPr>
        <w:t>) contains the requirements for controlling the disclosure of CEII and confidential information</w:t>
      </w:r>
      <w:r>
        <w:rPr>
          <w:sz w:val="18"/>
          <w:szCs w:val="18"/>
        </w:rPr>
        <w:t>.</w:t>
      </w:r>
    </w:p>
  </w:footnote>
  <w:footnote w:id="31">
    <w:p w:rsidR="005C5D9A" w:rsidRPr="00A1128D" w:rsidRDefault="005C5D9A" w:rsidP="00496814">
      <w:pPr>
        <w:pStyle w:val="FoonoteText"/>
        <w:spacing w:after="80" w:line="240" w:lineRule="auto"/>
        <w:rPr>
          <w:sz w:val="18"/>
          <w:szCs w:val="18"/>
        </w:rPr>
      </w:pPr>
      <w:r w:rsidRPr="0010591A">
        <w:rPr>
          <w:rStyle w:val="FootnoteReference"/>
          <w:sz w:val="18"/>
          <w:szCs w:val="18"/>
        </w:rPr>
        <w:footnoteRef/>
      </w:r>
      <w:r w:rsidRPr="0010591A">
        <w:rPr>
          <w:sz w:val="18"/>
          <w:szCs w:val="18"/>
        </w:rPr>
        <w:t xml:space="preserve"> The ISO is not responsible for portions of northern and eastern Maine. The Northern</w:t>
      </w:r>
      <w:r w:rsidRPr="008B2DCA">
        <w:rPr>
          <w:sz w:val="18"/>
          <w:szCs w:val="18"/>
        </w:rPr>
        <w:t xml:space="preserve"> Maine Independent System </w:t>
      </w:r>
      <w:r w:rsidRPr="009B1328">
        <w:rPr>
          <w:sz w:val="18"/>
          <w:szCs w:val="18"/>
        </w:rPr>
        <w:t>Administrator, Inc. (NMISA) is a nonprofit entity responsible for the administration of the northern Maine transmission system and electric power markets in Aroostook and Washington counties. The peak load forecast for NMISA</w:t>
      </w:r>
      <w:r>
        <w:rPr>
          <w:sz w:val="18"/>
          <w:szCs w:val="18"/>
        </w:rPr>
        <w:t xml:space="preserve"> can be found in the </w:t>
      </w:r>
      <w:hyperlink r:id="rId19" w:history="1">
        <w:r w:rsidRPr="00081A3B">
          <w:rPr>
            <w:rStyle w:val="Hyperlink"/>
            <w:sz w:val="18"/>
            <w:szCs w:val="18"/>
          </w:rPr>
          <w:t>Seven Year Adequacy Outlook</w:t>
        </w:r>
      </w:hyperlink>
      <w:r>
        <w:rPr>
          <w:sz w:val="18"/>
          <w:szCs w:val="18"/>
        </w:rPr>
        <w:t>.</w:t>
      </w:r>
      <w:hyperlink w:history="1"/>
    </w:p>
  </w:footnote>
  <w:footnote w:id="32">
    <w:p w:rsidR="005C5D9A" w:rsidRDefault="005C5D9A" w:rsidP="00496814">
      <w:pPr>
        <w:pStyle w:val="FootnoteText"/>
      </w:pPr>
      <w:r>
        <w:rPr>
          <w:rStyle w:val="FootnoteReference"/>
        </w:rPr>
        <w:footnoteRef/>
      </w:r>
      <w:r>
        <w:t xml:space="preserve"> ISO-NE is responsible for operation of Pool Transmission Facilities (PTF) which include </w:t>
      </w:r>
      <w:r w:rsidRPr="007D367C">
        <w:rPr>
          <w:i/>
        </w:rPr>
        <w:t>bulk electric system</w:t>
      </w:r>
      <w:r>
        <w:t xml:space="preserve"> facilities.</w:t>
      </w:r>
      <w:r w:rsidRPr="00496814">
        <w:t xml:space="preserve"> </w:t>
      </w:r>
      <w:r>
        <w:t xml:space="preserve">This </w:t>
      </w:r>
      <w:r w:rsidRPr="00CF2B8B">
        <w:t>RSP includes both a NERC and an NPCC term to describe the electric power system</w:t>
      </w:r>
      <w:r w:rsidRPr="00FC7F00">
        <w:t>. The</w:t>
      </w:r>
      <w:r w:rsidRPr="007D367C">
        <w:t xml:space="preserve"> NERC term, </w:t>
      </w:r>
      <w:r w:rsidRPr="007D367C">
        <w:rPr>
          <w:i/>
        </w:rPr>
        <w:t>bulk electric system</w:t>
      </w:r>
      <w:r w:rsidRPr="007D367C">
        <w:t xml:space="preserve">, includes transmission elements operated at 100 kilovolts (kV) or higher and real power and reactive power resources connected at 100 kV or higher. </w:t>
      </w:r>
      <w:r>
        <w:t>The</w:t>
      </w:r>
      <w:r w:rsidRPr="007D367C">
        <w:t xml:space="preserve"> </w:t>
      </w:r>
      <w:r w:rsidRPr="007D367C">
        <w:rPr>
          <w:i/>
        </w:rPr>
        <w:t>bulk electric system</w:t>
      </w:r>
      <w:r w:rsidRPr="007D367C">
        <w:t xml:space="preserve"> does not include facilities used in the local distribution of electric energy. The NPCC term, </w:t>
      </w:r>
      <w:r w:rsidRPr="007D367C">
        <w:rPr>
          <w:i/>
        </w:rPr>
        <w:t>bulk power system</w:t>
      </w:r>
      <w:r w:rsidRPr="007D367C">
        <w:t xml:space="preserve">, refers to the interconnected electrical system within northeastern North America comprising system elements on which faults or disturbances can have a significant adverse impact outside of the local area. </w:t>
      </w:r>
      <w:r>
        <w:t xml:space="preserve">This </w:t>
      </w:r>
      <w:r w:rsidRPr="007D367C">
        <w:t xml:space="preserve">RSP describes how the ISO meets NERC and NPCC requirements </w:t>
      </w:r>
      <w:r>
        <w:t xml:space="preserve">through the planning process </w:t>
      </w:r>
      <w:r w:rsidRPr="007D367C">
        <w:t>to ensure compliance with planning and operating standards and criteria.</w:t>
      </w:r>
    </w:p>
  </w:footnote>
  <w:footnote w:id="33">
    <w:p w:rsidR="005C5D9A" w:rsidRDefault="005C5D9A" w:rsidP="00496814">
      <w:pPr>
        <w:pStyle w:val="FootnoteText"/>
      </w:pPr>
      <w:r>
        <w:rPr>
          <w:rStyle w:val="FootnoteReference"/>
        </w:rPr>
        <w:footnoteRef/>
      </w:r>
      <w:r>
        <w:t xml:space="preserve"> Forecast accounting for RSP21, including treatment of all component forecasts in gross and net load forecasts for the region and states, is detailed in the </w:t>
      </w:r>
      <w:hyperlink r:id="rId20" w:history="1">
        <w:r w:rsidRPr="00C2760A">
          <w:rPr>
            <w:rStyle w:val="Hyperlink"/>
          </w:rPr>
          <w:t>2021 Forecast Itemization</w:t>
        </w:r>
      </w:hyperlink>
      <w:r>
        <w:t xml:space="preserve"> spreadsheet. (May 25, 2021) A high-level summary of existing methodology is contained in a Load Forecast Committee presentation </w:t>
      </w:r>
      <w:hyperlink r:id="rId21" w:history="1">
        <w:r w:rsidRPr="00C2760A">
          <w:rPr>
            <w:rStyle w:val="Hyperlink"/>
          </w:rPr>
          <w:t>Long-Term Load Forecast Methodology Overview</w:t>
        </w:r>
      </w:hyperlink>
      <w:r>
        <w:t xml:space="preserve"> (September 25, 2020).  Additional d</w:t>
      </w:r>
      <w:r w:rsidRPr="00C214F9">
        <w:t>etails of the ISO’s gross load forecast methodology and resulting forecasts are located on the ISO’s website, as foll</w:t>
      </w:r>
      <w:r>
        <w:t xml:space="preserve">ows, published annually on the </w:t>
      </w:r>
      <w:hyperlink r:id="rId22" w:history="1">
        <w:r w:rsidRPr="00C2760A">
          <w:rPr>
            <w:rStyle w:val="Hyperlink"/>
          </w:rPr>
          <w:t>Load Forecast</w:t>
        </w:r>
      </w:hyperlink>
      <w:r>
        <w:t xml:space="preserve"> </w:t>
      </w:r>
      <w:r w:rsidRPr="00935AF1">
        <w:t>webpage</w:t>
      </w:r>
      <w:r>
        <w:t xml:space="preserve">. </w:t>
      </w:r>
      <w:r w:rsidRPr="00C214F9">
        <w:t xml:space="preserve">The energy and demand modeling methodology is described in the </w:t>
      </w:r>
      <w:r>
        <w:t xml:space="preserve">2021 </w:t>
      </w:r>
      <w:hyperlink r:id="rId23" w:history="1">
        <w:r w:rsidRPr="00C2760A">
          <w:rPr>
            <w:rStyle w:val="Hyperlink"/>
            <w:i/>
          </w:rPr>
          <w:t>Forecast Modeling Procedure</w:t>
        </w:r>
      </w:hyperlink>
      <w:r w:rsidRPr="00C214F9">
        <w:rPr>
          <w:i/>
        </w:rPr>
        <w:t xml:space="preserve"> </w:t>
      </w:r>
      <w:r w:rsidRPr="00C214F9">
        <w:t>(</w:t>
      </w:r>
      <w:r>
        <w:t>April 29, 2021</w:t>
      </w:r>
      <w:r w:rsidRPr="00C214F9">
        <w:t>)</w:t>
      </w:r>
      <w:r>
        <w:t>.</w:t>
      </w:r>
      <w:r w:rsidRPr="00C214F9">
        <w:t xml:space="preserve"> All final forecast values are published in </w:t>
      </w:r>
      <w:hyperlink r:id="rId24" w:history="1">
        <w:r w:rsidRPr="00C2760A">
          <w:rPr>
            <w:rStyle w:val="Hyperlink"/>
          </w:rPr>
          <w:t>2021 Forecast Data</w:t>
        </w:r>
      </w:hyperlink>
      <w:r w:rsidRPr="00B31FEF">
        <w:t xml:space="preserve"> </w:t>
      </w:r>
      <w:r w:rsidRPr="00F049E2">
        <w:t>spreadsheet</w:t>
      </w:r>
      <w:r>
        <w:t>.</w:t>
      </w:r>
      <w:r w:rsidRPr="00F049E2">
        <w:t xml:space="preserve"> All resulting energy and peak models are documented in a</w:t>
      </w:r>
      <w:r>
        <w:t>n</w:t>
      </w:r>
      <w:r w:rsidRPr="00F049E2">
        <w:t xml:space="preserve"> </w:t>
      </w:r>
      <w:hyperlink r:id="rId25" w:history="1">
        <w:r w:rsidRPr="00C2760A">
          <w:rPr>
            <w:rStyle w:val="Hyperlink"/>
          </w:rPr>
          <w:t>Energy Models</w:t>
        </w:r>
      </w:hyperlink>
      <w:r w:rsidRPr="00B31FEF">
        <w:t xml:space="preserve"> </w:t>
      </w:r>
      <w:r w:rsidRPr="00F049E2">
        <w:t xml:space="preserve">spreadsheet (e.g., </w:t>
      </w:r>
      <w:r>
        <w:t xml:space="preserve">2021 </w:t>
      </w:r>
      <w:r w:rsidRPr="00325531">
        <w:t>Regional and State Energy &amp; Peak Model Details</w:t>
      </w:r>
      <w:r w:rsidRPr="00F049E2">
        <w:t>)</w:t>
      </w:r>
      <w:r w:rsidRPr="00B31FEF">
        <w:t xml:space="preserve"> (</w:t>
      </w:r>
      <w:r>
        <w:t>April 29, 2021</w:t>
      </w:r>
      <w:r w:rsidRPr="00B31FEF">
        <w:t>)</w:t>
      </w:r>
      <w:r>
        <w:t xml:space="preserve">. The </w:t>
      </w:r>
      <w:hyperlink r:id="rId26" w:history="1">
        <w:r w:rsidRPr="00864FDC">
          <w:rPr>
            <w:rStyle w:val="Hyperlink"/>
          </w:rPr>
          <w:t>Load Forecast Materials</w:t>
        </w:r>
      </w:hyperlink>
      <w:r w:rsidRPr="00F049E2">
        <w:t xml:space="preserve"> webpage includes the 10-year hourly forecasts in </w:t>
      </w:r>
      <w:r w:rsidRPr="00B31FEF">
        <w:t>electronic export information (</w:t>
      </w:r>
      <w:r w:rsidRPr="00F049E2">
        <w:t>EEI</w:t>
      </w:r>
      <w:r w:rsidRPr="00B31FEF">
        <w:t>)</w:t>
      </w:r>
      <w:r w:rsidRPr="00F049E2">
        <w:t xml:space="preserve"> format (e.g., hourly </w:t>
      </w:r>
      <w:r>
        <w:t>2021</w:t>
      </w:r>
      <w:r w:rsidRPr="00F049E2">
        <w:t xml:space="preserve"> forecasts for the </w:t>
      </w:r>
      <w:r w:rsidRPr="00B31FEF">
        <w:t>r</w:t>
      </w:r>
      <w:r w:rsidRPr="00F049E2">
        <w:t>egion, RSP</w:t>
      </w:r>
      <w:r w:rsidRPr="00B31FEF">
        <w:t xml:space="preserve"> subareas, and load zones). The</w:t>
      </w:r>
      <w:r w:rsidRPr="00F049E2">
        <w:t xml:space="preserve"> </w:t>
      </w:r>
      <w:hyperlink r:id="rId27" w:history="1">
        <w:r w:rsidRPr="00864FDC">
          <w:rPr>
            <w:rStyle w:val="Hyperlink"/>
          </w:rPr>
          <w:t>Load Forecast Committee</w:t>
        </w:r>
      </w:hyperlink>
      <w:r w:rsidRPr="00B31FEF">
        <w:t xml:space="preserve"> webpage contains materials on</w:t>
      </w:r>
      <w:r w:rsidRPr="00F049E2">
        <w:t xml:space="preserve"> </w:t>
      </w:r>
      <w:r w:rsidRPr="00B31FEF">
        <w:t xml:space="preserve">relevant </w:t>
      </w:r>
      <w:r w:rsidRPr="00F049E2">
        <w:t>stakeholder discussions</w:t>
      </w:r>
      <w:r>
        <w:t xml:space="preserve">.  </w:t>
      </w:r>
    </w:p>
  </w:footnote>
  <w:footnote w:id="34">
    <w:p w:rsidR="005C5D9A" w:rsidRPr="001655D0" w:rsidRDefault="005C5D9A" w:rsidP="00496814">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w:t>
      </w:r>
      <w:r w:rsidRPr="0004609D">
        <w:rPr>
          <w:sz w:val="18"/>
          <w:szCs w:val="18"/>
        </w:rPr>
        <w:t>50/50 peak loads</w:t>
      </w:r>
      <w:r w:rsidRPr="00FA2D5E">
        <w:rPr>
          <w:sz w:val="18"/>
          <w:szCs w:val="18"/>
        </w:rPr>
        <w:t xml:space="preserve"> </w:t>
      </w:r>
      <w:r w:rsidRPr="001655D0">
        <w:rPr>
          <w:sz w:val="18"/>
          <w:szCs w:val="18"/>
        </w:rPr>
        <w:t xml:space="preserve">have a 50% chance of being exceeded </w:t>
      </w:r>
      <w:r>
        <w:rPr>
          <w:sz w:val="18"/>
          <w:szCs w:val="18"/>
        </w:rPr>
        <w:t xml:space="preserve">in any peak season </w:t>
      </w:r>
      <w:r w:rsidRPr="001655D0">
        <w:rPr>
          <w:sz w:val="18"/>
          <w:szCs w:val="18"/>
        </w:rPr>
        <w:t xml:space="preserve">because of weather conditions. The </w:t>
      </w:r>
      <w:r w:rsidRPr="0004609D">
        <w:rPr>
          <w:sz w:val="18"/>
          <w:szCs w:val="18"/>
        </w:rPr>
        <w:t>90/10 peak loads</w:t>
      </w:r>
      <w:r w:rsidRPr="00FA2D5E">
        <w:rPr>
          <w:sz w:val="18"/>
          <w:szCs w:val="18"/>
        </w:rPr>
        <w:t xml:space="preserve"> </w:t>
      </w:r>
      <w:r w:rsidRPr="001655D0">
        <w:rPr>
          <w:sz w:val="18"/>
          <w:szCs w:val="18"/>
        </w:rPr>
        <w:t xml:space="preserve">have a 10% chance of being exceeded </w:t>
      </w:r>
      <w:r>
        <w:rPr>
          <w:sz w:val="18"/>
          <w:szCs w:val="18"/>
        </w:rPr>
        <w:t xml:space="preserve">in any peak season </w:t>
      </w:r>
      <w:r w:rsidRPr="001655D0">
        <w:rPr>
          <w:sz w:val="18"/>
          <w:szCs w:val="18"/>
        </w:rPr>
        <w:t xml:space="preserve">because of weather. </w:t>
      </w:r>
    </w:p>
  </w:footnote>
  <w:footnote w:id="35">
    <w:p w:rsidR="005C5D9A" w:rsidRPr="001655D0" w:rsidRDefault="005C5D9A" w:rsidP="00496814">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is calculated as follows:</w:t>
      </w:r>
    </w:p>
    <w:p w:rsidR="005C5D9A" w:rsidRPr="001655D0" w:rsidRDefault="005C5D9A" w:rsidP="00496814">
      <w:pPr>
        <w:pStyle w:val="FoonoteText"/>
        <w:spacing w:after="80" w:line="240" w:lineRule="auto"/>
        <w:rPr>
          <w:sz w:val="18"/>
          <w:szCs w:val="18"/>
        </w:rPr>
      </w:pPr>
      <w:r w:rsidRPr="001655D0">
        <w:rPr>
          <w:noProof/>
          <w:sz w:val="18"/>
          <w:szCs w:val="18"/>
        </w:rPr>
        <w:drawing>
          <wp:inline distT="0" distB="0" distL="0" distR="0" wp14:anchorId="77572396" wp14:editId="64FD2913">
            <wp:extent cx="3233420" cy="45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36">
    <w:p w:rsidR="005C5D9A" w:rsidRDefault="005C5D9A" w:rsidP="00496814">
      <w:pPr>
        <w:pStyle w:val="FootnoteText"/>
      </w:pPr>
      <w:r>
        <w:rPr>
          <w:rStyle w:val="FootnoteReference"/>
        </w:rPr>
        <w:footnoteRef/>
      </w:r>
      <w:r>
        <w:t xml:space="preserve"> Cited historical ASHP penetration values are estimates based on data provided by EE program administrators. Future values are based on the 2021 ASHP adoption forecast.  </w:t>
      </w:r>
    </w:p>
  </w:footnote>
  <w:footnote w:id="37">
    <w:p w:rsidR="005C5D9A" w:rsidRDefault="005C5D9A" w:rsidP="00496814">
      <w:pPr>
        <w:pStyle w:val="FootnoteText"/>
      </w:pPr>
      <w:r>
        <w:rPr>
          <w:rStyle w:val="FootnoteReference"/>
        </w:rPr>
        <w:footnoteRef/>
      </w:r>
      <w:r>
        <w:t xml:space="preserve"> Cited historical EV penetration values are estimates based on data provided by the New England states. Future 2030 values are based on the 2021 EV adoption forecast.</w:t>
      </w:r>
    </w:p>
  </w:footnote>
  <w:footnote w:id="38">
    <w:p w:rsidR="005C5D9A" w:rsidRPr="00B93787" w:rsidRDefault="005C5D9A" w:rsidP="00496814">
      <w:pPr>
        <w:spacing w:after="80" w:line="240" w:lineRule="auto"/>
        <w:rPr>
          <w:sz w:val="18"/>
          <w:szCs w:val="18"/>
        </w:rPr>
      </w:pPr>
      <w:r w:rsidRPr="0050129F">
        <w:rPr>
          <w:rStyle w:val="FootnoteReference"/>
          <w:sz w:val="18"/>
          <w:szCs w:val="18"/>
        </w:rPr>
        <w:footnoteRef/>
      </w:r>
      <w:r w:rsidRPr="0050129F">
        <w:rPr>
          <w:sz w:val="18"/>
          <w:szCs w:val="18"/>
        </w:rPr>
        <w:t xml:space="preserve"> </w:t>
      </w:r>
      <w:r w:rsidRPr="00864FDC">
        <w:rPr>
          <w:sz w:val="18"/>
          <w:szCs w:val="18"/>
        </w:rPr>
        <w:t>A full explanation of the methodology used for the PV for</w:t>
      </w:r>
      <w:r>
        <w:rPr>
          <w:sz w:val="18"/>
          <w:szCs w:val="18"/>
        </w:rPr>
        <w:t xml:space="preserve">ecast is available in the file </w:t>
      </w:r>
      <w:hyperlink r:id="rId29" w:history="1">
        <w:r w:rsidRPr="00864FDC">
          <w:rPr>
            <w:rStyle w:val="Hyperlink"/>
            <w:sz w:val="18"/>
            <w:szCs w:val="18"/>
          </w:rPr>
          <w:t>Final 2021 PV Forecast</w:t>
        </w:r>
      </w:hyperlink>
      <w:r w:rsidRPr="00864FDC">
        <w:rPr>
          <w:sz w:val="18"/>
          <w:szCs w:val="18"/>
        </w:rPr>
        <w:t xml:space="preserve"> (April 29, 2021).  </w:t>
      </w:r>
      <w:r w:rsidRPr="00935AF1">
        <w:rPr>
          <w:sz w:val="18"/>
          <w:szCs w:val="18"/>
        </w:rPr>
        <w:t xml:space="preserve"> Because PV facilities constitute the vast majority of DG growth throughout New England over the past decade, the ISO’s analysis of DG and the DG forecast focuses exclusively on the growth of photovoltaics. However, the ISO continues to monitor the growth of non-PV DG, including BTM energy-storage facilities, to determine whether separate forecasts of these resources may eventually be warranted.</w:t>
      </w:r>
    </w:p>
  </w:footnote>
  <w:footnote w:id="39">
    <w:p w:rsidR="005C5D9A" w:rsidRDefault="005C5D9A" w:rsidP="00496814">
      <w:pPr>
        <w:pStyle w:val="FootnoteText"/>
      </w:pPr>
      <w:r>
        <w:rPr>
          <w:rStyle w:val="FootnoteReference"/>
        </w:rPr>
        <w:footnoteRef/>
      </w:r>
      <w:r>
        <w:t xml:space="preserve"> </w:t>
      </w:r>
      <w:r w:rsidRPr="0004609D">
        <w:rPr>
          <w:szCs w:val="18"/>
        </w:rPr>
        <w:t xml:space="preserve">Ramping up </w:t>
      </w:r>
      <w:r w:rsidRPr="00E03025">
        <w:rPr>
          <w:szCs w:val="18"/>
        </w:rPr>
        <w:t xml:space="preserve">and </w:t>
      </w:r>
      <w:r w:rsidRPr="0004609D">
        <w:rPr>
          <w:szCs w:val="18"/>
        </w:rPr>
        <w:t>ramping down</w:t>
      </w:r>
      <w:r w:rsidRPr="007235AA">
        <w:rPr>
          <w:szCs w:val="18"/>
        </w:rPr>
        <w:t xml:space="preserve"> refer to generators’ increasing or decreasing output to meet changing load levels, such as in the early morning, which typically involves ramping up, and in the late evening, which typically involves ramping down.</w:t>
      </w:r>
      <w:r>
        <w:rPr>
          <w:szCs w:val="18"/>
        </w:rPr>
        <w:t xml:space="preserve"> </w:t>
      </w:r>
    </w:p>
  </w:footnote>
  <w:footnote w:id="40">
    <w:p w:rsidR="005C5D9A" w:rsidRDefault="005C5D9A" w:rsidP="00496814">
      <w:pPr>
        <w:pStyle w:val="FootnoteText"/>
      </w:pPr>
      <w:r w:rsidRPr="002C6A15">
        <w:rPr>
          <w:rStyle w:val="FootnoteReference"/>
        </w:rPr>
        <w:footnoteRef/>
      </w:r>
      <w:r w:rsidRPr="002C6A15">
        <w:t xml:space="preserve"> The forecast reflects distributed generation PV, which includes projects typically 5 MW or less in nameplate capacity; therefore, the forecast does not include policy drivers for larger-scale projects, which are generally accounted for as part of ISO’s interconnection process and participate in wholesale markets.</w:t>
      </w:r>
      <w:r>
        <w:t xml:space="preserve"> </w:t>
      </w:r>
    </w:p>
  </w:footnote>
  <w:footnote w:id="41">
    <w:p w:rsidR="005C5D9A" w:rsidRPr="008D5D5B" w:rsidRDefault="005C5D9A" w:rsidP="00496814">
      <w:pPr>
        <w:pStyle w:val="FootnoteText"/>
        <w:rPr>
          <w:szCs w:val="18"/>
        </w:rPr>
      </w:pPr>
      <w:r w:rsidRPr="008D5D5B">
        <w:rPr>
          <w:rStyle w:val="FootnoteReference"/>
          <w:sz w:val="18"/>
          <w:szCs w:val="18"/>
        </w:rPr>
        <w:footnoteRef/>
      </w:r>
      <w:r w:rsidRPr="008D5D5B">
        <w:rPr>
          <w:szCs w:val="18"/>
        </w:rPr>
        <w:t xml:space="preserve"> </w:t>
      </w:r>
      <w:r w:rsidRPr="00BC0A58">
        <w:rPr>
          <w:szCs w:val="18"/>
        </w:rPr>
        <w:t xml:space="preserve">Settlement-only resources and non-FCM generators, as defined in </w:t>
      </w:r>
      <w:hyperlink r:id="rId30" w:history="1">
        <w:r w:rsidRPr="003148E9">
          <w:rPr>
            <w:rStyle w:val="Hyperlink"/>
            <w:szCs w:val="18"/>
          </w:rPr>
          <w:t>Operating Procedure No. 14</w:t>
        </w:r>
      </w:hyperlink>
      <w:r w:rsidRPr="00BC0A58">
        <w:rPr>
          <w:szCs w:val="18"/>
        </w:rPr>
        <w:t xml:space="preserve"> (OP</w:t>
      </w:r>
      <w:r>
        <w:rPr>
          <w:szCs w:val="18"/>
        </w:rPr>
        <w:t>-</w:t>
      </w:r>
      <w:r w:rsidRPr="00BC0A58">
        <w:rPr>
          <w:szCs w:val="18"/>
        </w:rPr>
        <w:t xml:space="preserve">14), </w:t>
      </w:r>
      <w:r w:rsidRPr="00BC0A58">
        <w:rPr>
          <w:i/>
          <w:szCs w:val="18"/>
        </w:rPr>
        <w:t>Technical Requirements for Generators, Demand</w:t>
      </w:r>
      <w:r>
        <w:rPr>
          <w:i/>
          <w:szCs w:val="18"/>
        </w:rPr>
        <w:t>-Response</w:t>
      </w:r>
      <w:r w:rsidRPr="00BC0A58">
        <w:rPr>
          <w:i/>
          <w:szCs w:val="18"/>
        </w:rPr>
        <w:t xml:space="preserve">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w:t>
      </w:r>
    </w:p>
  </w:footnote>
  <w:footnote w:id="42">
    <w:p w:rsidR="005C5D9A" w:rsidRDefault="005C5D9A" w:rsidP="00496814">
      <w:pPr>
        <w:pStyle w:val="FootnoteText"/>
      </w:pPr>
      <w:r w:rsidRPr="00D63283">
        <w:rPr>
          <w:rStyle w:val="FootnoteReference"/>
        </w:rPr>
        <w:footnoteRef/>
      </w:r>
      <w:r w:rsidRPr="00D63283">
        <w:t xml:space="preserve"> ISO’s detailed analysis and resulting methodology </w:t>
      </w:r>
      <w:r>
        <w:t>for estimated summer peak load reductions</w:t>
      </w:r>
      <w:r w:rsidRPr="00971C30">
        <w:rPr>
          <w:szCs w:val="18"/>
        </w:rPr>
        <w:t xml:space="preserve"> </w:t>
      </w:r>
      <w:r w:rsidRPr="0050129F">
        <w:rPr>
          <w:szCs w:val="18"/>
        </w:rPr>
        <w:t>is available in the file “</w:t>
      </w:r>
      <w:hyperlink r:id="rId31" w:history="1">
        <w:r w:rsidRPr="00513370">
          <w:rPr>
            <w:rStyle w:val="Hyperlink"/>
            <w:szCs w:val="18"/>
          </w:rPr>
          <w:t>Estimating Summer Peak Demand Reductions from Behind-the-Meter Photovoltaics</w:t>
        </w:r>
      </w:hyperlink>
      <w:r>
        <w:rPr>
          <w:szCs w:val="18"/>
        </w:rPr>
        <w:t>.”</w:t>
      </w:r>
    </w:p>
  </w:footnote>
  <w:footnote w:id="43">
    <w:p w:rsidR="005C5D9A" w:rsidRPr="00A3629D" w:rsidRDefault="005C5D9A" w:rsidP="00496814">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BF7DB8">
        <w:rPr>
          <w:sz w:val="18"/>
          <w:szCs w:val="18"/>
        </w:rPr>
        <w:t>Deterministic analyses</w:t>
      </w:r>
      <w:r w:rsidRPr="005E27D8">
        <w:rPr>
          <w:sz w:val="18"/>
          <w:szCs w:val="18"/>
        </w:rPr>
        <w:t xml:space="preserve"> are snapshots of assumed specific conditions that do not quantify the likelihood that these co</w:t>
      </w:r>
      <w:r w:rsidRPr="00A3629D">
        <w:rPr>
          <w:sz w:val="18"/>
          <w:szCs w:val="18"/>
        </w:rPr>
        <w:t>nditions will actually materialize. The results are based on analyzing the assumed set of conditions representing a specific scenario.</w:t>
      </w:r>
    </w:p>
  </w:footnote>
  <w:footnote w:id="44">
    <w:p w:rsidR="005C5D9A" w:rsidRPr="00711896" w:rsidRDefault="005C5D9A" w:rsidP="00496814">
      <w:pPr>
        <w:pStyle w:val="FootnoteText"/>
      </w:pPr>
      <w:r>
        <w:rPr>
          <w:rStyle w:val="FootnoteReference"/>
        </w:rPr>
        <w:footnoteRef/>
      </w:r>
      <w:r>
        <w:t xml:space="preserve"> </w:t>
      </w:r>
      <w:r w:rsidRPr="001507A3">
        <w:t xml:space="preserve">Established ICR values refer to the </w:t>
      </w:r>
      <w:r>
        <w:t xml:space="preserve">FERC-approved </w:t>
      </w:r>
      <w:r w:rsidRPr="001507A3">
        <w:t xml:space="preserve">values. Representative net ICR values are the representative </w:t>
      </w:r>
      <w:r w:rsidRPr="00D3192F">
        <w:t>ICRs for the region, minus the tie-reliability benefits associated with the Hydro-Québec Interconnection Capability</w:t>
      </w:r>
      <w:r w:rsidRPr="001507A3">
        <w:t xml:space="preserve"> Credits (HQICCs). (As defined in the ISO’s tariff, the HQICC 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w:t>
      </w:r>
      <w:r>
        <w:t>6</w:t>
      </w:r>
      <w:r w:rsidRPr="001507A3">
        <w:t xml:space="preserve"> for the 202</w:t>
      </w:r>
      <w:r>
        <w:t>5-</w:t>
      </w:r>
      <w:r w:rsidRPr="001507A3">
        <w:t>202</w:t>
      </w:r>
      <w:r>
        <w:t>6</w:t>
      </w:r>
      <w:r w:rsidRPr="001507A3">
        <w:t xml:space="preserve"> </w:t>
      </w:r>
      <w:r>
        <w:t>CCP</w:t>
      </w:r>
      <w:r w:rsidRPr="001507A3">
        <w:t xml:space="preserve"> </w:t>
      </w:r>
      <w:r>
        <w:t>will</w:t>
      </w:r>
      <w:r w:rsidRPr="001507A3">
        <w:t xml:space="preserve"> be filed with FERC in November 20</w:t>
      </w:r>
      <w:r>
        <w:t>21</w:t>
      </w:r>
      <w:r w:rsidRPr="001507A3">
        <w:t>.</w:t>
      </w:r>
    </w:p>
  </w:footnote>
  <w:footnote w:id="45">
    <w:p w:rsidR="005C5D9A" w:rsidRPr="00FA3C46" w:rsidRDefault="005C5D9A" w:rsidP="00496814">
      <w:pPr>
        <w:pStyle w:val="FootnoteText"/>
        <w:rPr>
          <w:color w:val="FF0000"/>
          <w:szCs w:val="18"/>
        </w:rPr>
      </w:pPr>
      <w:r w:rsidRPr="00FA3C46">
        <w:rPr>
          <w:rStyle w:val="FootnoteReference"/>
          <w:sz w:val="18"/>
          <w:szCs w:val="18"/>
        </w:rPr>
        <w:footnoteRef/>
      </w:r>
      <w:r w:rsidRPr="00FA3C46">
        <w:rPr>
          <w:szCs w:val="18"/>
        </w:rPr>
        <w:t xml:space="preserve"> ISO New England, </w:t>
      </w:r>
      <w:hyperlink r:id="rId32" w:history="1">
        <w:r w:rsidRPr="00FA3C46">
          <w:rPr>
            <w:rStyle w:val="Hyperlink"/>
            <w:i/>
            <w:szCs w:val="18"/>
          </w:rPr>
          <w:t>Net Installed Capacity Requirements, Representative Future Net ICRs, and Operable-Capacity Analysis for 2021 Regional System Plan</w:t>
        </w:r>
      </w:hyperlink>
      <w:r w:rsidRPr="00FA3C46">
        <w:rPr>
          <w:i/>
          <w:szCs w:val="18"/>
        </w:rPr>
        <w:t xml:space="preserve"> </w:t>
      </w:r>
      <w:r w:rsidRPr="00FA3C46">
        <w:rPr>
          <w:szCs w:val="18"/>
        </w:rPr>
        <w:t>(June 16, 2021).</w:t>
      </w:r>
    </w:p>
  </w:footnote>
  <w:footnote w:id="46">
    <w:p w:rsidR="005C5D9A" w:rsidRPr="00957561" w:rsidRDefault="005C5D9A" w:rsidP="00496814">
      <w:pPr>
        <w:pStyle w:val="FootnoteText"/>
        <w:rPr>
          <w:color w:val="FF0000"/>
        </w:rPr>
      </w:pPr>
      <w:r>
        <w:rPr>
          <w:rStyle w:val="FootnoteReference"/>
        </w:rPr>
        <w:footnoteRef/>
      </w:r>
      <w:r>
        <w:t xml:space="preserve"> </w:t>
      </w:r>
      <w:r w:rsidRPr="001507A3">
        <w:t xml:space="preserve">ISO New England, </w:t>
      </w:r>
      <w:hyperlink r:id="rId33" w:history="1">
        <w:r w:rsidRPr="00E0121F">
          <w:rPr>
            <w:rStyle w:val="Hyperlink"/>
            <w:i/>
          </w:rPr>
          <w:t>2021–2030 Forecast Report of Capacity, Energy, Loads, and Transmission</w:t>
        </w:r>
      </w:hyperlink>
      <w:r w:rsidRPr="001507A3">
        <w:t xml:space="preserve"> (May </w:t>
      </w:r>
      <w:r>
        <w:t xml:space="preserve">1, </w:t>
      </w:r>
      <w:r w:rsidRPr="001507A3">
        <w:t>20</w:t>
      </w:r>
      <w:r>
        <w:t>21</w:t>
      </w:r>
      <w:r w:rsidRPr="001507A3">
        <w:t>)</w:t>
      </w:r>
      <w:r>
        <w:t>.</w:t>
      </w:r>
      <w:r w:rsidRPr="00957561">
        <w:t xml:space="preserve"> </w:t>
      </w:r>
    </w:p>
  </w:footnote>
  <w:footnote w:id="47">
    <w:p w:rsidR="005C5D9A" w:rsidRDefault="005C5D9A" w:rsidP="00496814">
      <w:pPr>
        <w:pStyle w:val="FootnoteText"/>
      </w:pPr>
      <w:r>
        <w:rPr>
          <w:rStyle w:val="FootnoteReference"/>
        </w:rPr>
        <w:footnoteRef/>
      </w:r>
      <w:r>
        <w:t xml:space="preserve"> </w:t>
      </w:r>
      <w:r w:rsidRPr="003749C9">
        <w:t>Resulting reserves are the amount of capacity in excess of the forecast 50/50 peak load. Percentage resulting reserves = [{(Net ICR − 50/50 peak load) ÷ 50/50 peak load} × 100].</w:t>
      </w:r>
    </w:p>
  </w:footnote>
  <w:footnote w:id="48">
    <w:p w:rsidR="005C5D9A" w:rsidRDefault="005C5D9A">
      <w:pPr>
        <w:pStyle w:val="FootnoteText"/>
      </w:pPr>
      <w:r>
        <w:rPr>
          <w:rStyle w:val="FootnoteReference"/>
        </w:rPr>
        <w:footnoteRef/>
      </w:r>
      <w:r>
        <w:t xml:space="preserve"> A contributing factor to why the 2021 CELT forecast is lower than the 2020 CELT forecast is </w:t>
      </w:r>
      <w:r w:rsidRPr="00496814">
        <w:rPr>
          <w:rFonts w:eastAsia="Times New Roman"/>
          <w:szCs w:val="24"/>
        </w:rPr>
        <w:t xml:space="preserve">accounting of passive-demand resources (including EE) in the gross load forecast due to </w:t>
      </w:r>
      <w:hyperlink r:id="rId34" w:history="1">
        <w:r w:rsidRPr="00FA3C46">
          <w:rPr>
            <w:rStyle w:val="Hyperlink"/>
          </w:rPr>
          <w:t>reconstitution methodology changes</w:t>
        </w:r>
      </w:hyperlink>
      <w:r w:rsidRPr="00FA3C46">
        <w:rPr>
          <w:rFonts w:eastAsia="Times New Roman"/>
          <w:szCs w:val="24"/>
        </w:rPr>
        <w:t>.</w:t>
      </w:r>
    </w:p>
  </w:footnote>
  <w:footnote w:id="49">
    <w:p w:rsidR="005C5D9A" w:rsidRDefault="005C5D9A" w:rsidP="00496814">
      <w:pPr>
        <w:pStyle w:val="FootnoteText"/>
      </w:pPr>
      <w:r>
        <w:rPr>
          <w:rStyle w:val="FootnoteReference"/>
        </w:rPr>
        <w:footnoteRef/>
      </w:r>
      <w:r>
        <w:t xml:space="preserve"> </w:t>
      </w:r>
      <w:r w:rsidRPr="001655D0">
        <w:rPr>
          <w:szCs w:val="18"/>
        </w:rPr>
        <w:t xml:space="preserve">LSRs and MCLs are based on network models using transmission facilities that will be in service no later than the first day of the relevant </w:t>
      </w:r>
      <w:r>
        <w:rPr>
          <w:szCs w:val="18"/>
        </w:rPr>
        <w:t>CCP</w:t>
      </w:r>
      <w:r w:rsidRPr="001655D0">
        <w:rPr>
          <w:szCs w:val="18"/>
        </w:rPr>
        <w:t>.</w:t>
      </w:r>
      <w:r>
        <w:rPr>
          <w:szCs w:val="18"/>
        </w:rPr>
        <w:t xml:space="preserve"> </w:t>
      </w:r>
      <w:r>
        <w:t>Capacity zones are dev</w:t>
      </w:r>
      <w:r w:rsidRPr="00BD06A9">
        <w:t xml:space="preserve">eloped pursuant to ISO </w:t>
      </w:r>
      <w:r>
        <w:t>T</w:t>
      </w:r>
      <w:r w:rsidRPr="00BD06A9">
        <w:t xml:space="preserve">ariff, Section III.12.4.  </w:t>
      </w:r>
    </w:p>
  </w:footnote>
  <w:footnote w:id="50">
    <w:p w:rsidR="005C5D9A" w:rsidRPr="00E85649" w:rsidRDefault="005C5D9A" w:rsidP="00496814">
      <w:pPr>
        <w:pStyle w:val="FootnoteText"/>
        <w:rPr>
          <w:szCs w:val="18"/>
        </w:rPr>
      </w:pPr>
      <w:r w:rsidRPr="00C92037">
        <w:rPr>
          <w:rStyle w:val="FootnoteReference"/>
          <w:sz w:val="18"/>
          <w:szCs w:val="18"/>
        </w:rPr>
        <w:footnoteRef/>
      </w:r>
      <w:r>
        <w:rPr>
          <w:rStyle w:val="FootnoteReference"/>
          <w:sz w:val="18"/>
          <w:szCs w:val="18"/>
        </w:rPr>
        <w:t xml:space="preserve"> </w:t>
      </w:r>
      <w:r>
        <w:rPr>
          <w:szCs w:val="18"/>
        </w:rPr>
        <w:t xml:space="preserve">See </w:t>
      </w:r>
      <w:r>
        <w:t>IS</w:t>
      </w:r>
      <w:r w:rsidRPr="00F614B3">
        <w:t>O New England,</w:t>
      </w:r>
      <w:r w:rsidRPr="00E85649">
        <w:rPr>
          <w:szCs w:val="18"/>
        </w:rPr>
        <w:t xml:space="preserve"> </w:t>
      </w:r>
      <w:hyperlink r:id="rId35" w:history="1">
        <w:r w:rsidRPr="00FA0393">
          <w:rPr>
            <w:rStyle w:val="Hyperlink"/>
          </w:rPr>
          <w:t xml:space="preserve">FCA 16 </w:t>
        </w:r>
        <w:r w:rsidRPr="00FA0393">
          <w:rPr>
            <w:rStyle w:val="Hyperlink"/>
            <w:szCs w:val="18"/>
          </w:rPr>
          <w:t>Transmission Transfer Capabilities and Capacity Zone Development</w:t>
        </w:r>
      </w:hyperlink>
      <w:r w:rsidRPr="00F614B3">
        <w:t xml:space="preserve"> presentation (March </w:t>
      </w:r>
      <w:r>
        <w:t>17, 2021</w:t>
      </w:r>
      <w:r w:rsidRPr="00F614B3">
        <w:t>)</w:t>
      </w:r>
      <w:r>
        <w:t xml:space="preserve">.  </w:t>
      </w:r>
    </w:p>
  </w:footnote>
  <w:footnote w:id="51">
    <w:p w:rsidR="005C5D9A" w:rsidRPr="00D613DE" w:rsidRDefault="005C5D9A" w:rsidP="00496814">
      <w:pPr>
        <w:spacing w:after="0" w:line="240" w:lineRule="auto"/>
      </w:pPr>
      <w:r w:rsidRPr="001655D0">
        <w:rPr>
          <w:rStyle w:val="FootnoteReference"/>
          <w:sz w:val="18"/>
          <w:szCs w:val="18"/>
        </w:rPr>
        <w:footnoteRef/>
      </w:r>
      <w:r>
        <w:rPr>
          <w:sz w:val="18"/>
          <w:szCs w:val="18"/>
        </w:rPr>
        <w:t xml:space="preserve"> FERC approved</w:t>
      </w:r>
      <w:r w:rsidRPr="00B15CDF">
        <w:rPr>
          <w:sz w:val="18"/>
          <w:szCs w:val="18"/>
        </w:rPr>
        <w:t xml:space="preserve"> </w:t>
      </w:r>
      <w:r>
        <w:rPr>
          <w:sz w:val="18"/>
          <w:szCs w:val="18"/>
        </w:rPr>
        <w:t xml:space="preserve">ICR and related values </w:t>
      </w:r>
      <w:r w:rsidRPr="00B15CDF">
        <w:rPr>
          <w:sz w:val="18"/>
          <w:szCs w:val="18"/>
        </w:rPr>
        <w:t xml:space="preserve">for </w:t>
      </w:r>
      <w:r>
        <w:rPr>
          <w:sz w:val="18"/>
          <w:szCs w:val="18"/>
        </w:rPr>
        <w:t xml:space="preserve">CCPs </w:t>
      </w:r>
      <w:hyperlink r:id="rId36" w:history="1">
        <w:r w:rsidRPr="00960CA0">
          <w:rPr>
            <w:rStyle w:val="Hyperlink"/>
            <w:sz w:val="18"/>
            <w:szCs w:val="18"/>
          </w:rPr>
          <w:t>2021-2022, 2022-2023 and 2023-2024 Annual Reconfiguration Auctions</w:t>
        </w:r>
      </w:hyperlink>
      <w:r w:rsidRPr="00D613DE">
        <w:rPr>
          <w:sz w:val="18"/>
          <w:szCs w:val="18"/>
        </w:rPr>
        <w:t xml:space="preserve"> </w:t>
      </w:r>
      <w:r>
        <w:rPr>
          <w:sz w:val="18"/>
          <w:szCs w:val="18"/>
        </w:rPr>
        <w:t>and</w:t>
      </w:r>
      <w:r w:rsidRPr="00D613DE">
        <w:rPr>
          <w:sz w:val="18"/>
          <w:szCs w:val="18"/>
        </w:rPr>
        <w:t xml:space="preserve"> for </w:t>
      </w:r>
      <w:r>
        <w:rPr>
          <w:sz w:val="18"/>
          <w:szCs w:val="18"/>
        </w:rPr>
        <w:t xml:space="preserve">the </w:t>
      </w:r>
      <w:hyperlink r:id="rId37" w:history="1">
        <w:r w:rsidRPr="00960CA0">
          <w:rPr>
            <w:rStyle w:val="Hyperlink"/>
            <w:sz w:val="18"/>
            <w:szCs w:val="18"/>
          </w:rPr>
          <w:t>2024-2025 Capacity Commitment Period Forward Capacity Auction</w:t>
        </w:r>
      </w:hyperlink>
      <w:r>
        <w:rPr>
          <w:sz w:val="18"/>
          <w:szCs w:val="18"/>
        </w:rPr>
        <w:t>.</w:t>
      </w:r>
      <w:r w:rsidRPr="00D613DE">
        <w:rPr>
          <w:sz w:val="18"/>
          <w:szCs w:val="18"/>
        </w:rPr>
        <w:t xml:space="preserve"> </w:t>
      </w:r>
      <w:r w:rsidRPr="00B15CDF">
        <w:rPr>
          <w:sz w:val="18"/>
          <w:szCs w:val="18"/>
        </w:rPr>
        <w:t xml:space="preserve"> </w:t>
      </w:r>
      <w:r w:rsidRPr="00D613DE">
        <w:rPr>
          <w:sz w:val="18"/>
          <w:szCs w:val="18"/>
        </w:rPr>
        <w:t xml:space="preserve">  </w:t>
      </w:r>
      <w:r w:rsidRPr="00B15CDF">
        <w:rPr>
          <w:sz w:val="18"/>
          <w:szCs w:val="18"/>
        </w:rPr>
        <w:t xml:space="preserve"> </w:t>
      </w:r>
    </w:p>
  </w:footnote>
  <w:footnote w:id="52">
    <w:p w:rsidR="005C5D9A" w:rsidRDefault="005C5D9A" w:rsidP="00496814">
      <w:pPr>
        <w:pStyle w:val="FootnoteText"/>
      </w:pPr>
      <w:r>
        <w:rPr>
          <w:rStyle w:val="FootnoteReference"/>
        </w:rPr>
        <w:footnoteRef/>
      </w:r>
      <w:r>
        <w:t xml:space="preserve"> During the qualification process for FCA 13, the ISO retained the Mystic 8 and 9 resources (1,413 MW) for fuel security in accordance with Tariff Section III.13.2.5.2.5A. Pursuant to Section II</w:t>
      </w:r>
      <w:r w:rsidRPr="005065B7">
        <w:t xml:space="preserve">I.13.2.5.2.5A (j), </w:t>
      </w:r>
      <w:r w:rsidRPr="00BF7DB8">
        <w:t>the ISO shall retain a resource for reliabil</w:t>
      </w:r>
      <w:r w:rsidRPr="005065B7">
        <w:t>ity should it still be needed</w:t>
      </w:r>
      <w:r w:rsidRPr="00BF7DB8">
        <w:t xml:space="preserve"> for fuel security for the subsequent </w:t>
      </w:r>
      <w:r w:rsidRPr="005065B7">
        <w:t>CCP</w:t>
      </w:r>
      <w:r>
        <w:t xml:space="preserve">. Therefore, in preparation for FCA 14, the ISO performed a reevaluation of the Mystic 8 &amp; 9 fuel security retention, and Mystic 8 &amp; 9 were retained again for fuel security. However, for FCA 15, the ISO determined the Mystic 8 and 9 resources were no longer needed for fuel-security reliability reasons, and both resources will be retired effective June 1, 2024.    </w:t>
      </w:r>
    </w:p>
  </w:footnote>
  <w:footnote w:id="53">
    <w:p w:rsidR="005C5D9A" w:rsidRDefault="005C5D9A" w:rsidP="00496814">
      <w:pPr>
        <w:pStyle w:val="FootnoteText"/>
      </w:pPr>
      <w:r>
        <w:rPr>
          <w:rStyle w:val="FootnoteReference"/>
        </w:rPr>
        <w:footnoteRef/>
      </w:r>
      <w:r>
        <w:t xml:space="preserve"> The three energy-storage projects include: </w:t>
      </w:r>
      <w:r w:rsidRPr="00633C7A">
        <w:t>Medway Grid, LLC</w:t>
      </w:r>
      <w:r>
        <w:t xml:space="preserve"> (250 MW, SEMA Load Zone); </w:t>
      </w:r>
      <w:r w:rsidRPr="00633C7A">
        <w:t>Cranberry Point Battery Energy Storage</w:t>
      </w:r>
      <w:r>
        <w:t xml:space="preserve"> (150 MW, SEMA Load Zone); and </w:t>
      </w:r>
      <w:r w:rsidRPr="00633C7A">
        <w:t>Resource Cross Town</w:t>
      </w:r>
      <w:r>
        <w:t xml:space="preserve"> (175 MW, Maine Load Zone).</w:t>
      </w:r>
    </w:p>
  </w:footnote>
  <w:footnote w:id="54">
    <w:p w:rsidR="005C5D9A" w:rsidRDefault="005C5D9A">
      <w:pPr>
        <w:pStyle w:val="FootnoteText"/>
      </w:pPr>
      <w:r>
        <w:rPr>
          <w:rStyle w:val="FootnoteReference"/>
        </w:rPr>
        <w:footnoteRef/>
      </w:r>
      <w:r>
        <w:t xml:space="preserve"> Tie Benefits are not included in </w:t>
      </w:r>
      <w:r w:rsidRPr="00496814">
        <w:t>operable-capacity analyses</w:t>
      </w:r>
      <w:r>
        <w:t xml:space="preserve">.  Tie Benefits may contribute to reduce capacity deficiencies identified in the </w:t>
      </w:r>
      <w:r w:rsidRPr="00496814">
        <w:t xml:space="preserve">winter </w:t>
      </w:r>
      <w:r>
        <w:t>period.</w:t>
      </w:r>
    </w:p>
  </w:footnote>
  <w:footnote w:id="55">
    <w:p w:rsidR="005C5D9A" w:rsidRPr="00141AE3" w:rsidRDefault="005C5D9A" w:rsidP="00496814">
      <w:pPr>
        <w:pStyle w:val="FoonoteText"/>
        <w:spacing w:after="80" w:line="240" w:lineRule="auto"/>
        <w:rPr>
          <w:sz w:val="18"/>
          <w:szCs w:val="18"/>
        </w:rPr>
      </w:pPr>
      <w:r w:rsidRPr="00141AE3">
        <w:rPr>
          <w:rStyle w:val="FootnoteReference"/>
          <w:sz w:val="18"/>
          <w:szCs w:val="18"/>
        </w:rPr>
        <w:footnoteRef/>
      </w:r>
      <w:r w:rsidRPr="00141AE3">
        <w:rPr>
          <w:sz w:val="18"/>
          <w:szCs w:val="18"/>
        </w:rPr>
        <w:t xml:space="preserve"> A</w:t>
      </w:r>
      <w:r>
        <w:rPr>
          <w:sz w:val="18"/>
          <w:szCs w:val="18"/>
        </w:rPr>
        <w:t>n LOLE analysis</w:t>
      </w:r>
      <w:r w:rsidRPr="00141AE3">
        <w:rPr>
          <w:i/>
          <w:sz w:val="18"/>
          <w:szCs w:val="18"/>
        </w:rPr>
        <w:t xml:space="preserve"> </w:t>
      </w:r>
      <w:r w:rsidRPr="00141AE3">
        <w:rPr>
          <w:sz w:val="18"/>
          <w:szCs w:val="18"/>
        </w:rPr>
        <w:t xml:space="preserve">is a probabilistic analysis used to identify the amount of installed capacity the bulk electric power system needs to meet the NPCC and ISO Resource Adequacy Planning Criterion to not disconnect firm load more than one time in 10 years.  </w:t>
      </w:r>
      <w:hyperlink w:history="1"/>
    </w:p>
  </w:footnote>
  <w:footnote w:id="56">
    <w:p w:rsidR="005C5D9A" w:rsidRDefault="005C5D9A" w:rsidP="00496814">
      <w:pPr>
        <w:pStyle w:val="FootnoteText"/>
      </w:pPr>
      <w:r>
        <w:rPr>
          <w:rStyle w:val="FootnoteReference"/>
        </w:rPr>
        <w:footnoteRef/>
      </w:r>
      <w:r>
        <w:t xml:space="preserve"> </w:t>
      </w:r>
      <w:r w:rsidRPr="00041505">
        <w:t xml:space="preserve">The Hydro-Québec Phase II interconnection is a </w:t>
      </w:r>
      <w:r>
        <w:t>direct current (</w:t>
      </w:r>
      <w:r w:rsidRPr="009455FF">
        <w:t>DC</w:t>
      </w:r>
      <w:r>
        <w:t>)</w:t>
      </w:r>
      <w:r w:rsidRPr="00041505">
        <w:t xml:space="preserve"> tie with equipment ratings of 2,000 MW. Because of the need to protect for the loss of this line 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w:t>
      </w:r>
      <w:hyperlink r:id="rId38" w:history="1">
        <w:r w:rsidRPr="00070CDC">
          <w:rPr>
            <w:rStyle w:val="Hyperlink"/>
          </w:rPr>
          <w:t>Operations Report: Single-Source Contingency</w:t>
        </w:r>
      </w:hyperlink>
      <w:r w:rsidRPr="00041505">
        <w:t xml:space="preserve"> webpage.</w:t>
      </w:r>
    </w:p>
  </w:footnote>
  <w:footnote w:id="57">
    <w:p w:rsidR="005C5D9A" w:rsidRPr="00D87A2A" w:rsidRDefault="005C5D9A" w:rsidP="00496814">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are based on expected future operating conditions, annual market requirements are based on historical data that reflect the actual previous seasonal system conditions, as adjusted for transmission topology changes and resource retirements and additions. </w:t>
      </w:r>
      <w:r>
        <w:rPr>
          <w:sz w:val="18"/>
          <w:szCs w:val="18"/>
        </w:rPr>
        <w:t xml:space="preserve">The </w:t>
      </w:r>
      <w:r w:rsidRPr="00D87A2A">
        <w:rPr>
          <w:sz w:val="18"/>
          <w:szCs w:val="18"/>
        </w:rPr>
        <w:t xml:space="preserve">ISO </w:t>
      </w:r>
      <w:r>
        <w:rPr>
          <w:sz w:val="18"/>
          <w:szCs w:val="18"/>
        </w:rPr>
        <w:t xml:space="preserve">calculates </w:t>
      </w:r>
      <w:r w:rsidRPr="00D87A2A">
        <w:rPr>
          <w:sz w:val="18"/>
          <w:szCs w:val="18"/>
        </w:rPr>
        <w:t>market requirements immediately before each locational FRM procurement period.</w:t>
      </w:r>
    </w:p>
  </w:footnote>
  <w:footnote w:id="58">
    <w:p w:rsidR="005C5D9A" w:rsidRPr="00D87A2A" w:rsidRDefault="005C5D9A" w:rsidP="00496814">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hyperlink r:id="rId39" w:history="1">
        <w:r w:rsidRPr="000751FE">
          <w:rPr>
            <w:rStyle w:val="Hyperlink"/>
            <w:i/>
            <w:sz w:val="18"/>
            <w:szCs w:val="18"/>
          </w:rPr>
          <w:t>Market Rule 1</w:t>
        </w:r>
      </w:hyperlink>
      <w:r w:rsidRPr="004C4E03">
        <w:rPr>
          <w:sz w:val="18"/>
          <w:szCs w:val="18"/>
        </w:rPr>
        <w:t xml:space="preserve"> defines the types of reserves that can meet these requirements</w:t>
      </w:r>
      <w:r>
        <w:rPr>
          <w:sz w:val="18"/>
          <w:szCs w:val="18"/>
        </w:rPr>
        <w:t xml:space="preserve">.  </w:t>
      </w:r>
    </w:p>
  </w:footnote>
  <w:footnote w:id="59">
    <w:p w:rsidR="005C5D9A" w:rsidRPr="00F14DB5" w:rsidRDefault="005C5D9A"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Includes LNG import/export terminals and regional gas LDC liquefaction, vaporization, and storage (peaking) facilities.</w:t>
      </w:r>
    </w:p>
  </w:footnote>
  <w:footnote w:id="60">
    <w:p w:rsidR="005C5D9A" w:rsidRPr="00F14DB5" w:rsidRDefault="005C5D9A"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A grassroots campaign directed against unconventional gas and oil extraction.</w:t>
      </w:r>
    </w:p>
  </w:footnote>
  <w:footnote w:id="61">
    <w:p w:rsidR="005C5D9A" w:rsidRPr="00F14DB5" w:rsidRDefault="005C5D9A"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ESG refers to the three central factors in measuring the sustainability and societal impact of an investment in a company or business.</w:t>
      </w:r>
    </w:p>
  </w:footnote>
  <w:footnote w:id="62">
    <w:p w:rsidR="005C5D9A" w:rsidRPr="00F14DB5" w:rsidRDefault="005C5D9A" w:rsidP="00496814">
      <w:pPr>
        <w:pStyle w:val="FootnoteText"/>
        <w:spacing w:after="0"/>
        <w:rPr>
          <w:rFonts w:eastAsia="Times New Roman"/>
          <w:szCs w:val="18"/>
        </w:rPr>
      </w:pPr>
      <w:r w:rsidRPr="00C82578">
        <w:rPr>
          <w:rFonts w:eastAsia="Times New Roman"/>
          <w:szCs w:val="18"/>
          <w:vertAlign w:val="superscript"/>
        </w:rPr>
        <w:footnoteRef/>
      </w:r>
      <w:r w:rsidRPr="00C82578">
        <w:rPr>
          <w:rFonts w:eastAsia="Times New Roman"/>
          <w:szCs w:val="18"/>
        </w:rPr>
        <w:t xml:space="preserve"> </w:t>
      </w:r>
      <w:r w:rsidRPr="00F14DB5">
        <w:rPr>
          <w:rFonts w:eastAsia="Times New Roman"/>
          <w:szCs w:val="18"/>
        </w:rPr>
        <w:t>This also includes similar type projects proposed by the liquid</w:t>
      </w:r>
      <w:r>
        <w:rPr>
          <w:rFonts w:eastAsia="Times New Roman"/>
          <w:szCs w:val="18"/>
        </w:rPr>
        <w:t>-</w:t>
      </w:r>
      <w:r w:rsidRPr="00F14DB5">
        <w:rPr>
          <w:rFonts w:eastAsia="Times New Roman"/>
          <w:szCs w:val="18"/>
        </w:rPr>
        <w:t>fuels sector.</w:t>
      </w:r>
    </w:p>
  </w:footnote>
  <w:footnote w:id="63">
    <w:p w:rsidR="005C5D9A" w:rsidRPr="00F14DB5" w:rsidRDefault="005C5D9A" w:rsidP="00496814">
      <w:pPr>
        <w:pStyle w:val="FootnoteText"/>
        <w:spacing w:after="0"/>
        <w:rPr>
          <w:rFonts w:eastAsia="Times New Roman"/>
          <w:szCs w:val="18"/>
        </w:rPr>
      </w:pPr>
      <w:r w:rsidRPr="00C82578">
        <w:rPr>
          <w:rFonts w:eastAsia="Times New Roman"/>
          <w:szCs w:val="18"/>
          <w:vertAlign w:val="superscript"/>
        </w:rPr>
        <w:footnoteRef/>
      </w:r>
      <w:r w:rsidRPr="00C82578">
        <w:rPr>
          <w:rFonts w:eastAsia="Times New Roman"/>
          <w:szCs w:val="18"/>
          <w:vertAlign w:val="superscript"/>
        </w:rPr>
        <w:t xml:space="preserve"> </w:t>
      </w:r>
      <w:r w:rsidRPr="00F14DB5">
        <w:rPr>
          <w:rFonts w:eastAsia="Times New Roman"/>
          <w:szCs w:val="18"/>
        </w:rPr>
        <w:t xml:space="preserve">This list of projects can be found on the </w:t>
      </w:r>
      <w:hyperlink r:id="rId40" w:history="1">
        <w:r w:rsidRPr="00A24240">
          <w:rPr>
            <w:rStyle w:val="Hyperlink"/>
            <w:rFonts w:eastAsia="Times New Roman"/>
            <w:szCs w:val="18"/>
          </w:rPr>
          <w:t>NGA</w:t>
        </w:r>
      </w:hyperlink>
      <w:r w:rsidRPr="00F14DB5">
        <w:rPr>
          <w:rFonts w:eastAsia="Times New Roman"/>
          <w:szCs w:val="18"/>
        </w:rPr>
        <w:t xml:space="preserve"> webpage</w:t>
      </w:r>
      <w:r>
        <w:rPr>
          <w:rFonts w:eastAsia="Times New Roman"/>
          <w:szCs w:val="18"/>
        </w:rPr>
        <w:t>.</w:t>
      </w:r>
      <w:r w:rsidRPr="00F14DB5">
        <w:rPr>
          <w:rFonts w:eastAsia="Times New Roman"/>
          <w:szCs w:val="18"/>
        </w:rPr>
        <w:t xml:space="preserve"> </w:t>
      </w:r>
    </w:p>
  </w:footnote>
  <w:footnote w:id="64">
    <w:p w:rsidR="005C5D9A" w:rsidRDefault="005C5D9A" w:rsidP="00496814">
      <w:pPr>
        <w:pStyle w:val="FootnoteText"/>
      </w:pPr>
      <w:r>
        <w:rPr>
          <w:rStyle w:val="FootnoteReference"/>
        </w:rPr>
        <w:footnoteRef/>
      </w:r>
      <w:r>
        <w:t xml:space="preserve"> </w:t>
      </w:r>
      <w:r w:rsidRPr="00E5027E">
        <w:t>This challenge has been recognized by NERC</w:t>
      </w:r>
      <w:r>
        <w:t>, where NERC specifically noted:  ”</w:t>
      </w:r>
      <w:r w:rsidRPr="00E5027E">
        <w:t>A standing concern is whether there will be sufficient electrical energy available to satisfy electricity demand while satisfying operating reserves during an extended cold spell given the existing resource mix and seasonally-constrained, fuel delivery structure.</w:t>
      </w:r>
      <w:r>
        <w:t>” See</w:t>
      </w:r>
      <w:r w:rsidRPr="00E5027E">
        <w:rPr>
          <w:szCs w:val="18"/>
        </w:rPr>
        <w:t xml:space="preserve"> </w:t>
      </w:r>
      <w:r w:rsidRPr="00E5027E">
        <w:rPr>
          <w:i/>
          <w:iCs/>
          <w:color w:val="323232"/>
          <w:szCs w:val="18"/>
        </w:rPr>
        <w:t xml:space="preserve">Power Struggle: Examining the 2021 Texas Grid Failure, Hearings before the Subcommittee on Oversight and Investigations, Committee on Energy and Commerce, </w:t>
      </w:r>
      <w:r w:rsidRPr="00E5027E">
        <w:rPr>
          <w:color w:val="323232"/>
          <w:szCs w:val="18"/>
        </w:rPr>
        <w:t>117th Cong. (Mar</w:t>
      </w:r>
      <w:r>
        <w:rPr>
          <w:color w:val="323232"/>
          <w:szCs w:val="18"/>
        </w:rPr>
        <w:t>ch</w:t>
      </w:r>
      <w:r w:rsidRPr="00E5027E">
        <w:rPr>
          <w:color w:val="323232"/>
          <w:szCs w:val="18"/>
        </w:rPr>
        <w:t xml:space="preserve"> 24, 2021), </w:t>
      </w:r>
      <w:hyperlink r:id="rId41" w:history="1">
        <w:r w:rsidRPr="00E5027E">
          <w:rPr>
            <w:rStyle w:val="Hyperlink"/>
            <w:szCs w:val="18"/>
          </w:rPr>
          <w:t>testimony</w:t>
        </w:r>
      </w:hyperlink>
      <w:r w:rsidRPr="00E5027E">
        <w:rPr>
          <w:color w:val="323232"/>
          <w:szCs w:val="18"/>
        </w:rPr>
        <w:t xml:space="preserve"> of James B. Robb</w:t>
      </w:r>
      <w:r w:rsidRPr="00E5027E">
        <w:rPr>
          <w:szCs w:val="18"/>
        </w:rPr>
        <w:t xml:space="preserve">.  </w:t>
      </w:r>
    </w:p>
  </w:footnote>
  <w:footnote w:id="65">
    <w:p w:rsidR="005C5D9A" w:rsidRDefault="005C5D9A">
      <w:pPr>
        <w:pStyle w:val="FootnoteText"/>
      </w:pPr>
      <w:r>
        <w:rPr>
          <w:rStyle w:val="FootnoteReference"/>
        </w:rPr>
        <w:footnoteRef/>
      </w:r>
      <w:r>
        <w:t xml:space="preserve"> See the </w:t>
      </w:r>
      <w:hyperlink r:id="rId42" w:history="1">
        <w:r w:rsidRPr="0058675F">
          <w:rPr>
            <w:rStyle w:val="Hyperlink"/>
          </w:rPr>
          <w:t>Annual Work Plan</w:t>
        </w:r>
      </w:hyperlink>
      <w:r>
        <w:t>, slide 9. (May 6, 2021).</w:t>
      </w:r>
    </w:p>
  </w:footnote>
  <w:footnote w:id="66">
    <w:p w:rsidR="005C5D9A" w:rsidRDefault="005C5D9A" w:rsidP="00DB3A74">
      <w:pPr>
        <w:spacing w:after="80" w:line="240" w:lineRule="auto"/>
        <w:rPr>
          <w:sz w:val="18"/>
          <w:szCs w:val="18"/>
        </w:rPr>
      </w:pPr>
      <w:r>
        <w:rPr>
          <w:rStyle w:val="FootnoteReference"/>
          <w:sz w:val="18"/>
          <w:szCs w:val="18"/>
        </w:rPr>
        <w:footnoteRef/>
      </w:r>
      <w:r>
        <w:rPr>
          <w:sz w:val="18"/>
          <w:szCs w:val="18"/>
        </w:rPr>
        <w:t xml:space="preserve"> The ISO provides monthly updates on the status of active generation interconnection requests,</w:t>
      </w:r>
      <w:r>
        <w:rPr>
          <w:i/>
          <w:sz w:val="18"/>
          <w:szCs w:val="18"/>
        </w:rPr>
        <w:t xml:space="preserve"> NEPOOL Participant Committee Chief Operating Officer (COO) Report for Monthly Updates </w:t>
      </w:r>
      <w:r>
        <w:rPr>
          <w:sz w:val="18"/>
          <w:szCs w:val="18"/>
        </w:rPr>
        <w:t xml:space="preserve">(Monthly COO Report). For an example, see the </w:t>
      </w:r>
      <w:hyperlink r:id="rId43" w:history="1">
        <w:r>
          <w:rPr>
            <w:rStyle w:val="Hyperlink"/>
            <w:sz w:val="18"/>
            <w:szCs w:val="18"/>
          </w:rPr>
          <w:t>April 2021 monthly COO Report</w:t>
        </w:r>
      </w:hyperlink>
      <w:r>
        <w:rPr>
          <w:sz w:val="18"/>
          <w:szCs w:val="18"/>
        </w:rPr>
        <w:t xml:space="preserve">. </w:t>
      </w:r>
    </w:p>
  </w:footnote>
  <w:footnote w:id="67">
    <w:p w:rsidR="005C5D9A" w:rsidRDefault="005C5D9A" w:rsidP="00DB3A74">
      <w:pPr>
        <w:pStyle w:val="FootnoteText"/>
      </w:pPr>
      <w:r>
        <w:rPr>
          <w:rStyle w:val="FootnoteReference"/>
        </w:rPr>
        <w:footnoteRef/>
      </w:r>
      <w:r>
        <w:t xml:space="preserve"> Distribution system facilities are low-voltage electric power lines (typically &lt; 69 kV); which can be either FERC jurisdictional or state jurisdictional.  The state interconnection process will apply if a DER is interconnecting to a FERC non-jurisdictional facility.</w:t>
      </w:r>
    </w:p>
  </w:footnote>
  <w:footnote w:id="68">
    <w:p w:rsidR="005C5D9A" w:rsidRDefault="005C5D9A" w:rsidP="00DB3A74">
      <w:pPr>
        <w:pStyle w:val="FootnoteText"/>
      </w:pPr>
      <w:r>
        <w:rPr>
          <w:rStyle w:val="FootnoteReference"/>
        </w:rPr>
        <w:footnoteRef/>
      </w:r>
      <w:r>
        <w:t xml:space="preserve"> All interconnection requests require a System Impact Study, which is an engineering study that evaluates the impact of the proposed interconnection on the safety and reliability of the transmission system. If a proposed project is eligible for study in a cluster, the ISO will inform the project sponsor accordingly. At the discretion of the ISO, clustering is triggered when both of the following conditions exist: (1) There’s a backlog of two or more interconnection requests in the same part of the transmission system and (2) The ISO has determined that none of proposed projects in that part of the transmission system are able to interconnect, either individually or in a cluster, without the use of common significant new transmission line infrastructure.</w:t>
      </w:r>
    </w:p>
  </w:footnote>
  <w:footnote w:id="69">
    <w:p w:rsidR="005C5D9A" w:rsidRDefault="005C5D9A" w:rsidP="00DB3A74">
      <w:pPr>
        <w:pStyle w:val="FootnoteText"/>
      </w:pPr>
      <w:r>
        <w:rPr>
          <w:rStyle w:val="FootnoteReference"/>
        </w:rPr>
        <w:footnoteRef/>
      </w:r>
      <w:r>
        <w:t xml:space="preserve"> Interconnections for offshore wind have also been proposed to Boston, Plymouth and Somerset in Massachusetts, eastern Rhode Island and southern Connecticut. </w:t>
      </w:r>
    </w:p>
  </w:footnote>
  <w:footnote w:id="70">
    <w:p w:rsidR="005C5D9A" w:rsidRDefault="005C5D9A" w:rsidP="00DB3A74">
      <w:pPr>
        <w:pStyle w:val="FootnoteText"/>
      </w:pPr>
      <w:r>
        <w:rPr>
          <w:rStyle w:val="FootnoteReference"/>
        </w:rPr>
        <w:footnoteRef/>
      </w:r>
      <w:r>
        <w:t xml:space="preserve"> IEEE Standard 1547, </w:t>
      </w:r>
      <w:hyperlink r:id="rId44" w:history="1">
        <w:r>
          <w:rPr>
            <w:rStyle w:val="Hyperlink"/>
            <w:i/>
          </w:rPr>
          <w:t>Standard for Interconnection and Interoperability of Distributed Energy Resources with Associated Electric Power Systems Interfaces</w:t>
        </w:r>
      </w:hyperlink>
      <w:r>
        <w:rPr>
          <w:i/>
        </w:rPr>
        <w:t xml:space="preserve">, </w:t>
      </w:r>
      <w:r>
        <w:t xml:space="preserve">establishes criteria and requirements for the interconnection of distributed resources with electric power systems. </w:t>
      </w:r>
    </w:p>
  </w:footnote>
  <w:footnote w:id="71">
    <w:p w:rsidR="005C5D9A" w:rsidRDefault="005C5D9A" w:rsidP="00DB3A74">
      <w:pPr>
        <w:pStyle w:val="FootnoteText"/>
      </w:pPr>
      <w:r>
        <w:rPr>
          <w:rStyle w:val="FootnoteReference"/>
        </w:rPr>
        <w:footnoteRef/>
      </w:r>
      <w:r>
        <w:t xml:space="preserve"> According to t</w:t>
      </w:r>
      <w:r>
        <w:rPr>
          <w:szCs w:val="18"/>
        </w:rPr>
        <w:t>he</w:t>
      </w:r>
      <w:r>
        <w:rPr>
          <w:rFonts w:eastAsia="Times New Roman"/>
          <w:szCs w:val="24"/>
        </w:rPr>
        <w:t xml:space="preserve"> Institute of Electrical and Electronics Engineers</w:t>
      </w:r>
      <w:r>
        <w:rPr>
          <w:szCs w:val="18"/>
        </w:rPr>
        <w:t xml:space="preserve"> (IEEE), FACTS incorporates power-electronics-based controllers and other static controllers to enhance controllability and power-transfer capability in power systems. See the </w:t>
      </w:r>
      <w:hyperlink r:id="rId45" w:history="1">
        <w:r>
          <w:rPr>
            <w:rStyle w:val="Hyperlink"/>
            <w:szCs w:val="18"/>
          </w:rPr>
          <w:t>IEEE’s Power and Energy Society’s</w:t>
        </w:r>
      </w:hyperlink>
      <w:r>
        <w:rPr>
          <w:szCs w:val="18"/>
        </w:rPr>
        <w:t xml:space="preserve"> webpage. </w:t>
      </w:r>
    </w:p>
  </w:footnote>
  <w:footnote w:id="72">
    <w:p w:rsidR="005C5D9A" w:rsidRDefault="005C5D9A" w:rsidP="00F36181">
      <w:pPr>
        <w:pStyle w:val="FootnoteText"/>
      </w:pPr>
      <w:r>
        <w:rPr>
          <w:rStyle w:val="FootnoteReference"/>
        </w:rPr>
        <w:footnoteRef/>
      </w:r>
      <w:r>
        <w:t xml:space="preserve"> </w:t>
      </w:r>
      <w:r w:rsidRPr="00F821CD">
        <w:t>The ELCC of a generating resource is a measurement of that resource’s ability to produce energy when the grid is most likely to experience electricity shortfalls.</w:t>
      </w:r>
    </w:p>
  </w:footnote>
  <w:footnote w:id="73">
    <w:p w:rsidR="005C5D9A" w:rsidRDefault="005C5D9A" w:rsidP="00DB3A74">
      <w:pPr>
        <w:pStyle w:val="FootnoteText"/>
      </w:pPr>
      <w:r>
        <w:rPr>
          <w:rStyle w:val="FootnoteReference"/>
        </w:rPr>
        <w:footnoteRef/>
      </w:r>
      <w:r>
        <w:t xml:space="preserve"> Ratios under 3.0, as is the case in much of Maine, pose particular technical challenges for establishing acceptable control system performance of the interconnecting inverter-based resources.</w:t>
      </w:r>
    </w:p>
  </w:footnote>
  <w:footnote w:id="74">
    <w:p w:rsidR="005C5D9A" w:rsidRDefault="005C5D9A" w:rsidP="00DB3A74">
      <w:pPr>
        <w:pStyle w:val="FootnoteText"/>
      </w:pPr>
      <w:r>
        <w:rPr>
          <w:rStyle w:val="FootnoteReference"/>
        </w:rPr>
        <w:footnoteRef/>
      </w:r>
      <w:r>
        <w:t xml:space="preserve"> Standard for Interconnection and Interoperability of Distributed Energy Resources with Associated Electric Power Systems</w:t>
      </w:r>
    </w:p>
  </w:footnote>
  <w:footnote w:id="75">
    <w:p w:rsidR="005C5D9A" w:rsidRDefault="005C5D9A" w:rsidP="00DB3A74">
      <w:pPr>
        <w:pStyle w:val="FootnoteText"/>
      </w:pPr>
      <w:r>
        <w:rPr>
          <w:rStyle w:val="FootnoteReference"/>
        </w:rPr>
        <w:footnoteRef/>
      </w:r>
      <w:r>
        <w:t xml:space="preserve"> </w:t>
      </w:r>
      <w:hyperlink r:id="rId46" w:history="1">
        <w:r>
          <w:rPr>
            <w:rStyle w:val="Hyperlink"/>
          </w:rPr>
          <w:t>Studies</w:t>
        </w:r>
      </w:hyperlink>
      <w:r>
        <w:t xml:space="preserve"> include the Future Grid Reliability Study, Pathways to the Future Grid, Transmission Planning for the Clean Energy Transition (TPCET) Pilot Study, and the New England states’ 2050 Transmission Study.</w:t>
      </w:r>
    </w:p>
  </w:footnote>
  <w:footnote w:id="76">
    <w:p w:rsidR="005C5D9A" w:rsidRDefault="005C5D9A" w:rsidP="00DB3A74">
      <w:pPr>
        <w:spacing w:after="80" w:line="240" w:lineRule="auto"/>
      </w:pPr>
      <w:r>
        <w:rPr>
          <w:rStyle w:val="FootnoteReference"/>
          <w:sz w:val="18"/>
          <w:szCs w:val="18"/>
        </w:rPr>
        <w:footnoteRef/>
      </w:r>
      <w:r>
        <w:rPr>
          <w:sz w:val="18"/>
          <w:szCs w:val="18"/>
        </w:rPr>
        <w:t xml:space="preserve"> The </w:t>
      </w:r>
      <w:r w:rsidRPr="008D35DE">
        <w:rPr>
          <w:i/>
          <w:sz w:val="18"/>
          <w:szCs w:val="18"/>
        </w:rPr>
        <w:t>2026 Southeastern Massachusetts/Rhode Island Solution Study</w:t>
      </w:r>
      <w:r>
        <w:rPr>
          <w:sz w:val="18"/>
          <w:szCs w:val="18"/>
        </w:rPr>
        <w:t xml:space="preserve"> (see </w:t>
      </w:r>
      <w:hyperlink w:anchor="_Transmission_System_Performance" w:history="1">
        <w:r w:rsidRPr="00931233">
          <w:rPr>
            <w:rStyle w:val="Hyperlink"/>
            <w:sz w:val="18"/>
            <w:szCs w:val="18"/>
          </w:rPr>
          <w:t>Chapter 5</w:t>
        </w:r>
      </w:hyperlink>
      <w:r>
        <w:rPr>
          <w:sz w:val="18"/>
          <w:szCs w:val="18"/>
        </w:rPr>
        <w:t>) used cloud-computing systems to evaluate various transmission solutions in a very short period.</w:t>
      </w:r>
    </w:p>
  </w:footnote>
  <w:footnote w:id="77">
    <w:p w:rsidR="005C5D9A" w:rsidRDefault="005C5D9A" w:rsidP="00DB3A74">
      <w:pPr>
        <w:pStyle w:val="FootnoteText"/>
      </w:pPr>
      <w:r>
        <w:rPr>
          <w:rStyle w:val="FootnoteReference"/>
        </w:rPr>
        <w:footnoteRef/>
      </w:r>
      <w:r>
        <w:t xml:space="preserve"> A severe oscillation on the Eastern Interconnection occurred on January 11, 2019. The source of the 0.25 Hz oscillation was identified as a failed control signal to a plant in Florida, which resulted in a local 200 MW power swing and 50 MW in New England.</w:t>
      </w:r>
    </w:p>
  </w:footnote>
  <w:footnote w:id="78">
    <w:p w:rsidR="005C5D9A" w:rsidRDefault="005C5D9A" w:rsidP="00DB3A74">
      <w:pPr>
        <w:pStyle w:val="FootnoteText"/>
        <w:rPr>
          <w:szCs w:val="18"/>
        </w:rPr>
      </w:pPr>
      <w:r>
        <w:rPr>
          <w:rStyle w:val="FootnoteReference"/>
          <w:szCs w:val="18"/>
        </w:rPr>
        <w:footnoteRef/>
      </w:r>
      <w:r>
        <w:rPr>
          <w:szCs w:val="18"/>
        </w:rPr>
        <w:t xml:space="preserve"> See ISO New England, Operating Procedure No. 22 (</w:t>
      </w:r>
      <w:hyperlink r:id="rId47" w:history="1">
        <w:r>
          <w:rPr>
            <w:rStyle w:val="Hyperlink"/>
            <w:szCs w:val="18"/>
          </w:rPr>
          <w:t>OP-22</w:t>
        </w:r>
      </w:hyperlink>
      <w:r>
        <w:rPr>
          <w:szCs w:val="18"/>
        </w:rPr>
        <w:t>),</w:t>
      </w:r>
      <w:r>
        <w:rPr>
          <w:i/>
          <w:szCs w:val="18"/>
        </w:rPr>
        <w:t xml:space="preserve"> Disturbance Monitoring Requirements.</w:t>
      </w:r>
      <w:r>
        <w:rPr>
          <w:szCs w:val="18"/>
        </w:rPr>
        <w:t xml:space="preserve"> The region is expected to get 10 more PMUs, increasing from 46 units as of May 1, 2019, to 56 units.</w:t>
      </w:r>
    </w:p>
  </w:footnote>
  <w:footnote w:id="79">
    <w:p w:rsidR="005C5D9A" w:rsidRDefault="005C5D9A" w:rsidP="00DB3A74">
      <w:pPr>
        <w:pStyle w:val="FootnoteText"/>
      </w:pPr>
      <w:r>
        <w:rPr>
          <w:rStyle w:val="FootnoteReference"/>
        </w:rPr>
        <w:footnoteRef/>
      </w:r>
      <w:r>
        <w:t xml:space="preserve"> The Economic Studies Reference Guide and past Economic Study results reports can be accessed from the </w:t>
      </w:r>
      <w:hyperlink r:id="rId48" w:history="1">
        <w:r>
          <w:rPr>
            <w:rStyle w:val="Hyperlink"/>
          </w:rPr>
          <w:t>Economic Studies</w:t>
        </w:r>
      </w:hyperlink>
      <w:r>
        <w:t xml:space="preserve"> webpage.  </w:t>
      </w:r>
    </w:p>
  </w:footnote>
  <w:footnote w:id="80">
    <w:p w:rsidR="005C5D9A" w:rsidRDefault="005C5D9A">
      <w:pPr>
        <w:pStyle w:val="FootnoteText"/>
      </w:pPr>
      <w:r>
        <w:rPr>
          <w:rStyle w:val="FootnoteReference"/>
        </w:rPr>
        <w:footnoteRef/>
      </w:r>
      <w:r>
        <w:t xml:space="preserve"> The study included offshore wind projects under development (1,000 MW) at the time of the NESCOE request, including Vineyard Wind (800 MW) and Revolution Wind (200 MW), and considered an additional 7,000 MW of offshore wind strategically placed.</w:t>
      </w:r>
    </w:p>
  </w:footnote>
  <w:footnote w:id="81">
    <w:p w:rsidR="005C5D9A" w:rsidRDefault="005C5D9A" w:rsidP="00DB3A74">
      <w:pPr>
        <w:pStyle w:val="FootnoteText"/>
      </w:pPr>
      <w:r>
        <w:rPr>
          <w:rStyle w:val="FootnoteReference"/>
        </w:rPr>
        <w:footnoteRef/>
      </w:r>
      <w:r>
        <w:t xml:space="preserve"> National Grid provided estimation of state carbon dioxide (CO</w:t>
      </w:r>
      <w:r>
        <w:rPr>
          <w:vertAlign w:val="subscript"/>
        </w:rPr>
        <w:t xml:space="preserve">2) </w:t>
      </w:r>
      <w:r>
        <w:t>emission goals, and it excludes CO</w:t>
      </w:r>
      <w:r>
        <w:rPr>
          <w:vertAlign w:val="subscript"/>
        </w:rPr>
        <w:t>2</w:t>
      </w:r>
      <w:r>
        <w:t xml:space="preserve"> emissions from biomass and municipal solid waste that are exempt from the goals.</w:t>
      </w:r>
    </w:p>
  </w:footnote>
  <w:footnote w:id="82">
    <w:p w:rsidR="005C5D9A" w:rsidRDefault="005C5D9A" w:rsidP="00DB3A74">
      <w:pPr>
        <w:pStyle w:val="FootnoteText"/>
      </w:pPr>
      <w:r>
        <w:rPr>
          <w:rStyle w:val="FootnoteReference"/>
        </w:rPr>
        <w:footnoteRef/>
      </w:r>
      <w:r>
        <w:t xml:space="preserve"> Presentations on assumptions for the 2021 Economic Study went to PAC in </w:t>
      </w:r>
      <w:hyperlink r:id="rId49" w:history="1">
        <w:r>
          <w:rPr>
            <w:rStyle w:val="Hyperlink"/>
          </w:rPr>
          <w:t>April</w:t>
        </w:r>
      </w:hyperlink>
      <w:r>
        <w:t xml:space="preserve">, </w:t>
      </w:r>
      <w:hyperlink r:id="rId50" w:history="1">
        <w:r>
          <w:rPr>
            <w:rStyle w:val="Hyperlink"/>
          </w:rPr>
          <w:t>May</w:t>
        </w:r>
      </w:hyperlink>
      <w:r>
        <w:t xml:space="preserve">, and </w:t>
      </w:r>
      <w:hyperlink r:id="rId51" w:history="1">
        <w:r>
          <w:rPr>
            <w:rStyle w:val="Hyperlink"/>
          </w:rPr>
          <w:t>June</w:t>
        </w:r>
      </w:hyperlink>
      <w:r>
        <w:t xml:space="preserve"> of 2021.</w:t>
      </w:r>
    </w:p>
  </w:footnote>
  <w:footnote w:id="83">
    <w:p w:rsidR="005C5D9A" w:rsidRDefault="005C5D9A" w:rsidP="00DB3A74">
      <w:pPr>
        <w:pStyle w:val="FootnoteText"/>
      </w:pPr>
      <w:r>
        <w:rPr>
          <w:rStyle w:val="FootnoteReference"/>
        </w:rPr>
        <w:footnoteRef/>
      </w:r>
      <w:r>
        <w:t xml:space="preserve"> </w:t>
      </w:r>
      <w:r>
        <w:rPr>
          <w:rFonts w:eastAsia="Times New Roman"/>
          <w:color w:val="000000"/>
        </w:rPr>
        <w:t>Interconnecting different time zones provide additional diversity. The Atlantic time zone used by the Maritime provinces is an hour later than the Eastern Time Zone use by New England.</w:t>
      </w:r>
    </w:p>
  </w:footnote>
  <w:footnote w:id="84">
    <w:p w:rsidR="005C5D9A" w:rsidRDefault="005C5D9A" w:rsidP="00DB3A74">
      <w:pPr>
        <w:pStyle w:val="FootnoteText"/>
      </w:pPr>
      <w:r>
        <w:rPr>
          <w:rStyle w:val="FootnoteReference"/>
        </w:rPr>
        <w:footnoteRef/>
      </w:r>
      <w:r>
        <w:t xml:space="preserve"> See EIPC, </w:t>
      </w:r>
      <w:hyperlink r:id="rId52" w:history="1">
        <w:r>
          <w:rPr>
            <w:rStyle w:val="Hyperlink"/>
            <w:i/>
          </w:rPr>
          <w:t>State of the Eastern Interconnection</w:t>
        </w:r>
      </w:hyperlink>
      <w:r>
        <w:t xml:space="preserve"> report and </w:t>
      </w:r>
      <w:hyperlink r:id="rId53" w:history="1">
        <w:r>
          <w:rPr>
            <w:rStyle w:val="Hyperlink"/>
          </w:rPr>
          <w:t>Eastern Interconnection Planning Collaborative Completes Report on the State of the Eastern Interconnection</w:t>
        </w:r>
      </w:hyperlink>
      <w:r>
        <w:t xml:space="preserve"> press release.</w:t>
      </w:r>
    </w:p>
  </w:footnote>
  <w:footnote w:id="85">
    <w:p w:rsidR="005C5D9A" w:rsidRDefault="005C5D9A" w:rsidP="00DB3A74">
      <w:pPr>
        <w:pStyle w:val="FootnoteText"/>
        <w:rPr>
          <w:szCs w:val="18"/>
        </w:rPr>
      </w:pPr>
      <w:r>
        <w:rPr>
          <w:rStyle w:val="FootnoteReference"/>
          <w:szCs w:val="18"/>
        </w:rPr>
        <w:footnoteRef/>
      </w:r>
      <w:r>
        <w:rPr>
          <w:szCs w:val="18"/>
        </w:rPr>
        <w:t xml:space="preserve"> The </w:t>
      </w:r>
      <w:r>
        <w:t>final reports</w:t>
      </w:r>
      <w:r>
        <w:rPr>
          <w:szCs w:val="18"/>
        </w:rPr>
        <w:t xml:space="preserve"> from work undertaken with the support of DOE is available on the </w:t>
      </w:r>
      <w:hyperlink r:id="rId54" w:history="1">
        <w:r>
          <w:rPr>
            <w:rStyle w:val="Hyperlink"/>
            <w:szCs w:val="18"/>
          </w:rPr>
          <w:t>EIPC</w:t>
        </w:r>
      </w:hyperlink>
      <w:r>
        <w:rPr>
          <w:szCs w:val="18"/>
        </w:rPr>
        <w:t xml:space="preserve"> webpage. </w:t>
      </w:r>
    </w:p>
  </w:footnote>
  <w:footnote w:id="86">
    <w:p w:rsidR="005C5D9A" w:rsidRDefault="005C5D9A" w:rsidP="00DB3A74">
      <w:pPr>
        <w:pStyle w:val="FootnoteText"/>
      </w:pPr>
      <w:r>
        <w:rPr>
          <w:rStyle w:val="FootnoteReference"/>
        </w:rPr>
        <w:footnoteRef/>
      </w:r>
      <w:r>
        <w:t xml:space="preserve"> See EIPC </w:t>
      </w:r>
      <w:hyperlink r:id="rId55" w:history="1">
        <w:r>
          <w:rPr>
            <w:rStyle w:val="Hyperlink"/>
            <w:i/>
          </w:rPr>
          <w:t>Frequency Response Working Group 2020 Final Report</w:t>
        </w:r>
      </w:hyperlink>
      <w:r>
        <w:rPr>
          <w:i/>
        </w:rPr>
        <w:t xml:space="preserve">, </w:t>
      </w:r>
      <w:r>
        <w:t xml:space="preserve">Public Version </w:t>
      </w:r>
    </w:p>
  </w:footnote>
  <w:footnote w:id="87">
    <w:p w:rsidR="005C5D9A" w:rsidRDefault="005C5D9A" w:rsidP="00DB3A74">
      <w:pPr>
        <w:spacing w:after="80" w:line="240" w:lineRule="auto"/>
        <w:rPr>
          <w:sz w:val="18"/>
          <w:szCs w:val="18"/>
        </w:rPr>
      </w:pPr>
      <w:r>
        <w:rPr>
          <w:rStyle w:val="FootnoteReference"/>
          <w:sz w:val="18"/>
          <w:szCs w:val="18"/>
        </w:rPr>
        <w:footnoteRef/>
      </w:r>
      <w:r>
        <w:rPr>
          <w:sz w:val="18"/>
          <w:szCs w:val="18"/>
        </w:rPr>
        <w:t xml:space="preserve"> The six NERC regional entities are: the NPCC, Southeastern Reliability Corporation (SERC), ReliabilityFirst (RF), Midwest Reliability Organization (MRO), Texas Reliability Entity (TRE), and Western Electricity Coordinating Council (WECC).</w:t>
      </w:r>
    </w:p>
  </w:footnote>
  <w:footnote w:id="88">
    <w:p w:rsidR="005C5D9A" w:rsidRDefault="005C5D9A" w:rsidP="00DB3A74">
      <w:pPr>
        <w:pStyle w:val="FootnoteText"/>
      </w:pPr>
      <w:r>
        <w:rPr>
          <w:rStyle w:val="FootnoteReference"/>
        </w:rPr>
        <w:footnoteRef/>
      </w:r>
      <w:r>
        <w:t xml:space="preserve"> In 2018, ISO New England participated in the NPCC Internal Control Evaluation investigation. Based on demonstrated ISO-NE internal controls, NERC removed the planning standards from the scope of its June 2018 on-site audit of ISO-NE.</w:t>
      </w:r>
    </w:p>
  </w:footnote>
  <w:footnote w:id="89">
    <w:p w:rsidR="005C5D9A" w:rsidRDefault="005C5D9A" w:rsidP="00DB3A74">
      <w:pPr>
        <w:pStyle w:val="FootnoteText"/>
        <w:spacing w:after="0"/>
      </w:pPr>
      <w:r>
        <w:rPr>
          <w:rStyle w:val="FootnoteReference"/>
        </w:rPr>
        <w:footnoteRef/>
      </w:r>
      <w:r>
        <w:t xml:space="preserve"> See ISO New England </w:t>
      </w:r>
      <w:hyperlink r:id="rId56" w:history="1">
        <w:r>
          <w:rPr>
            <w:rStyle w:val="Hyperlink"/>
          </w:rPr>
          <w:t>Interregional Planning Stakeholder Advisory Committee</w:t>
        </w:r>
      </w:hyperlink>
      <w:r>
        <w:t xml:space="preserve"> webpage </w:t>
      </w:r>
    </w:p>
  </w:footnote>
  <w:footnote w:id="90">
    <w:p w:rsidR="005C5D9A" w:rsidRDefault="005C5D9A" w:rsidP="00DB3A74">
      <w:pPr>
        <w:pStyle w:val="FootnoteText"/>
        <w:spacing w:after="0"/>
      </w:pPr>
      <w:r>
        <w:rPr>
          <w:rStyle w:val="FootnoteReference"/>
        </w:rPr>
        <w:footnoteRef/>
      </w:r>
      <w:r>
        <w:t xml:space="preserve"> See ISO New England, NYISO, and PJM, </w:t>
      </w:r>
      <w:hyperlink r:id="rId57" w:history="1">
        <w:r>
          <w:rPr>
            <w:rStyle w:val="Hyperlink"/>
            <w:i/>
          </w:rPr>
          <w:t>Amended and Restated Northeastern ISO/RTO Planning Coordination Protocol</w:t>
        </w:r>
      </w:hyperlink>
      <w:r>
        <w:t xml:space="preserve"> </w:t>
      </w:r>
      <w:hyperlink w:history="1"/>
    </w:p>
  </w:footnote>
  <w:footnote w:id="91">
    <w:p w:rsidR="005C5D9A" w:rsidRDefault="005C5D9A" w:rsidP="00DB3A74">
      <w:pPr>
        <w:pStyle w:val="FootnoteText"/>
      </w:pPr>
      <w:r>
        <w:rPr>
          <w:rStyle w:val="FootnoteReference"/>
        </w:rPr>
        <w:footnoteRef/>
      </w:r>
      <w:r>
        <w:t xml:space="preserve"> The PJM Interconnection is a regional transmission organization (RTO) operating an electric transmission system serving all or parts of Delaware, Illinois, Indiana, Kentucky, Maryland, Michigan, New Jersey, North Carolina, Ohio, Pennsylvania, Tennessee, Virginia, West Virginia, and the District of Columbia.</w:t>
      </w:r>
    </w:p>
  </w:footnote>
  <w:footnote w:id="92">
    <w:p w:rsidR="005C5D9A" w:rsidRDefault="005C5D9A" w:rsidP="00DB3A74">
      <w:pPr>
        <w:pStyle w:val="FoonoteText"/>
        <w:spacing w:after="80" w:line="240" w:lineRule="auto"/>
        <w:rPr>
          <w:sz w:val="18"/>
          <w:szCs w:val="18"/>
        </w:rPr>
      </w:pPr>
      <w:r>
        <w:rPr>
          <w:rStyle w:val="FootnoteReference"/>
          <w:sz w:val="18"/>
          <w:szCs w:val="18"/>
        </w:rPr>
        <w:footnoteRef/>
      </w:r>
      <w:r>
        <w:rPr>
          <w:sz w:val="18"/>
          <w:szCs w:val="18"/>
        </w:rPr>
        <w:t xml:space="preserve"> For further details about individual transmission projects, refer to the latest </w:t>
      </w:r>
      <w:hyperlink r:id="rId58" w:history="1">
        <w:r>
          <w:rPr>
            <w:rStyle w:val="Hyperlink"/>
            <w:i/>
            <w:sz w:val="18"/>
            <w:szCs w:val="18"/>
          </w:rPr>
          <w:t>RSP Project List</w:t>
        </w:r>
        <w:r>
          <w:rPr>
            <w:rStyle w:val="Hyperlink"/>
            <w:sz w:val="18"/>
            <w:szCs w:val="18"/>
          </w:rPr>
          <w:t xml:space="preserve"> or </w:t>
        </w:r>
        <w:r>
          <w:rPr>
            <w:rStyle w:val="Hyperlink"/>
            <w:i/>
            <w:sz w:val="18"/>
            <w:szCs w:val="18"/>
          </w:rPr>
          <w:t>Asset Condition List</w:t>
        </w:r>
      </w:hyperlink>
      <w:r>
        <w:rPr>
          <w:i/>
          <w:sz w:val="18"/>
          <w:szCs w:val="18"/>
        </w:rPr>
        <w:t>.</w:t>
      </w:r>
      <w:r>
        <w:rPr>
          <w:sz w:val="18"/>
          <w:szCs w:val="18"/>
        </w:rPr>
        <w:t xml:space="preserve"> </w:t>
      </w:r>
    </w:p>
  </w:footnote>
  <w:footnote w:id="93">
    <w:p w:rsidR="005C5D9A" w:rsidRDefault="005C5D9A" w:rsidP="00DB3A74">
      <w:pPr>
        <w:pStyle w:val="FootnoteText"/>
      </w:pPr>
      <w:r>
        <w:rPr>
          <w:rStyle w:val="FootnoteReference"/>
        </w:rPr>
        <w:footnoteRef/>
      </w:r>
      <w:r>
        <w:t xml:space="preserve"> Peak loads can vary from month to month, day to day and hour to hour. Values cited are seasonal approximations for 2020. </w:t>
      </w:r>
    </w:p>
  </w:footnote>
  <w:footnote w:id="94">
    <w:p w:rsidR="005C5D9A" w:rsidRDefault="005C5D9A" w:rsidP="00DB3A74">
      <w:pPr>
        <w:pStyle w:val="FootnoteText"/>
      </w:pPr>
      <w:r w:rsidRPr="001A74E2">
        <w:rPr>
          <w:rStyle w:val="FootnoteReference"/>
        </w:rPr>
        <w:footnoteRef/>
      </w:r>
      <w:r w:rsidRPr="001A74E2">
        <w:t xml:space="preserve"> </w:t>
      </w:r>
      <w:r w:rsidRPr="00D524EB">
        <w:t xml:space="preserve">See </w:t>
      </w:r>
      <w:hyperlink r:id="rId59" w:history="1">
        <w:r w:rsidRPr="00D524EB">
          <w:rPr>
            <w:rStyle w:val="Hyperlink"/>
          </w:rPr>
          <w:t>historical flow estimates</w:t>
        </w:r>
      </w:hyperlink>
      <w:r w:rsidRPr="00D524EB">
        <w:t xml:space="preserve"> of the hourly flows and limits on New England's thermal interfaces for additional detail.</w:t>
      </w:r>
    </w:p>
  </w:footnote>
  <w:footnote w:id="95">
    <w:p w:rsidR="005C5D9A" w:rsidRDefault="005C5D9A" w:rsidP="00DB3A74">
      <w:pPr>
        <w:pStyle w:val="FoonoteText"/>
        <w:spacing w:after="80" w:line="240" w:lineRule="auto"/>
        <w:rPr>
          <w:sz w:val="18"/>
          <w:szCs w:val="18"/>
        </w:rPr>
      </w:pPr>
      <w:r>
        <w:rPr>
          <w:rStyle w:val="FootnoteReference"/>
          <w:sz w:val="18"/>
          <w:szCs w:val="18"/>
        </w:rPr>
        <w:footnoteRef/>
      </w:r>
      <w:r>
        <w:rPr>
          <w:sz w:val="18"/>
          <w:szCs w:val="18"/>
        </w:rPr>
        <w:t xml:space="preserve"> One exception is that Aroostook County and part of Washington County in Maine receive electricity service from New Brunswick.</w:t>
      </w:r>
    </w:p>
  </w:footnote>
  <w:footnote w:id="96">
    <w:p w:rsidR="005C5D9A" w:rsidRDefault="005C5D9A" w:rsidP="00DB3A74">
      <w:pPr>
        <w:pStyle w:val="FootnoteText"/>
      </w:pPr>
      <w:r>
        <w:rPr>
          <w:rStyle w:val="FootnoteReference"/>
        </w:rPr>
        <w:footnoteRef/>
      </w:r>
      <w:r>
        <w:t xml:space="preserve"> See NESCOE </w:t>
      </w:r>
      <w:hyperlink r:id="rId60" w:history="1">
        <w:r>
          <w:rPr>
            <w:rStyle w:val="Hyperlink"/>
          </w:rPr>
          <w:t>Submission Regarding Transmission Needs Driven by State and Federal Public Policy Requirements</w:t>
        </w:r>
      </w:hyperlink>
      <w:r>
        <w:t xml:space="preserve"> (May 1, 2020) and NESCOE </w:t>
      </w:r>
      <w:hyperlink r:id="rId61" w:history="1">
        <w:r>
          <w:rPr>
            <w:rStyle w:val="Hyperlink"/>
          </w:rPr>
          <w:t>Submission Regarding Transmission Needs Driven by State and Federal Public Policy Requirements</w:t>
        </w:r>
      </w:hyperlink>
      <w:r>
        <w:t xml:space="preserve"> (May 1, 2017).</w:t>
      </w:r>
    </w:p>
  </w:footnote>
  <w:footnote w:id="97">
    <w:p w:rsidR="005C5D9A" w:rsidRDefault="005C5D9A" w:rsidP="00DB3A74">
      <w:pPr>
        <w:pStyle w:val="FootnoteText"/>
      </w:pPr>
      <w:r>
        <w:rPr>
          <w:rStyle w:val="FootnoteReference"/>
        </w:rPr>
        <w:footnoteRef/>
      </w:r>
      <w:r>
        <w:t xml:space="preserve"> See ISO New England</w:t>
      </w:r>
      <w:r>
        <w:rPr>
          <w:sz w:val="20"/>
        </w:rPr>
        <w:t xml:space="preserve"> </w:t>
      </w:r>
      <w:hyperlink r:id="rId62" w:history="1">
        <w:r>
          <w:rPr>
            <w:rStyle w:val="Hyperlink"/>
            <w:i/>
          </w:rPr>
          <w:t>2020 Public Policy Transmission Upgrade Process</w:t>
        </w:r>
      </w:hyperlink>
      <w:r>
        <w:t xml:space="preserve"> presentation (June 17, 2020) and </w:t>
      </w:r>
      <w:hyperlink r:id="rId63" w:history="1">
        <w:r>
          <w:rPr>
            <w:rStyle w:val="Hyperlink"/>
            <w:i/>
          </w:rPr>
          <w:t>2017 Public Policy Transmission Upgrade Process</w:t>
        </w:r>
      </w:hyperlink>
      <w:r>
        <w:t xml:space="preserve"> presentation (June 21, 2017).</w:t>
      </w:r>
    </w:p>
  </w:footnote>
  <w:footnote w:id="98">
    <w:p w:rsidR="005C5D9A" w:rsidRDefault="005C5D9A" w:rsidP="00DB3A74">
      <w:pPr>
        <w:pStyle w:val="FootnoteText"/>
      </w:pPr>
      <w:r>
        <w:rPr>
          <w:rStyle w:val="FootnoteReference"/>
        </w:rPr>
        <w:footnoteRef/>
      </w:r>
      <w:r>
        <w:t xml:space="preserve"> </w:t>
      </w:r>
      <w:r>
        <w:rPr>
          <w:szCs w:val="18"/>
        </w:rPr>
        <w:t>The Bunker Hill substation rebuild (</w:t>
      </w:r>
      <w:r w:rsidRPr="00A52C03">
        <w:rPr>
          <w:i/>
          <w:szCs w:val="18"/>
        </w:rPr>
        <w:t>RSP Project List</w:t>
      </w:r>
      <w:r>
        <w:rPr>
          <w:szCs w:val="18"/>
        </w:rPr>
        <w:t xml:space="preserve"> #1571) and looping the 1990 (Frost Bridge–Baldwin–Stevenson) line into Bunker Hill (</w:t>
      </w:r>
      <w:r w:rsidRPr="00A52C03">
        <w:rPr>
          <w:i/>
          <w:szCs w:val="18"/>
        </w:rPr>
        <w:t>RSP Project List</w:t>
      </w:r>
      <w:r>
        <w:rPr>
          <w:szCs w:val="18"/>
        </w:rPr>
        <w:t xml:space="preserve"> #1569) are no longer necessary due to the Towantic interconnection substation being functionally similar. The separation of the 3827 (Beseck–East Devon)/1610 (Southington–Mix Ave.–June St.) DCT (</w:t>
      </w:r>
      <w:r w:rsidRPr="00A52C03">
        <w:rPr>
          <w:i/>
          <w:szCs w:val="18"/>
        </w:rPr>
        <w:t>RSP Project List</w:t>
      </w:r>
      <w:r>
        <w:rPr>
          <w:szCs w:val="18"/>
        </w:rPr>
        <w:t xml:space="preserve"> #1579), previously recommended to alleviate overloads on the 88003A/89003B lines, are no longer necessary with the additional generation in the SWCT area.</w:t>
      </w:r>
    </w:p>
  </w:footnote>
  <w:footnote w:id="99">
    <w:p w:rsidR="005C5D9A" w:rsidRDefault="005C5D9A" w:rsidP="00DB3A74">
      <w:pPr>
        <w:pStyle w:val="FootnoteText"/>
      </w:pPr>
      <w:r>
        <w:rPr>
          <w:rStyle w:val="FootnoteReference"/>
        </w:rPr>
        <w:footnoteRef/>
      </w:r>
      <w:r>
        <w:t xml:space="preserve"> A STATCOM is another type of flexible alternating-current transmission system device.</w:t>
      </w:r>
    </w:p>
  </w:footnote>
  <w:footnote w:id="100">
    <w:p w:rsidR="005C5D9A" w:rsidRDefault="005C5D9A" w:rsidP="00DB3A74">
      <w:pPr>
        <w:pStyle w:val="FootnoteText"/>
      </w:pPr>
      <w:r>
        <w:rPr>
          <w:rStyle w:val="FootnoteReference"/>
        </w:rPr>
        <w:footnoteRef/>
      </w:r>
      <w:r>
        <w:t xml:space="preserve"> Transmission planning studies also reflect PV forecasts for energy-only resources and Forward Capacity Market (FCM) resources under 5 MW. Studies also model larger PV plants.</w:t>
      </w:r>
    </w:p>
  </w:footnote>
  <w:footnote w:id="101">
    <w:p w:rsidR="005C5D9A" w:rsidRDefault="005C5D9A" w:rsidP="00DB3A74">
      <w:pPr>
        <w:pStyle w:val="FootnoteText"/>
      </w:pPr>
      <w:r>
        <w:rPr>
          <w:rStyle w:val="FootnoteReference"/>
        </w:rPr>
        <w:footnoteRef/>
      </w:r>
      <w:r>
        <w:t xml:space="preserve"> See ISO New England </w:t>
      </w:r>
      <w:hyperlink r:id="rId64" w:history="1">
        <w:r>
          <w:rPr>
            <w:rStyle w:val="Hyperlink"/>
            <w:i/>
          </w:rPr>
          <w:t>Updating Needs Assessments to Reflect Latest Forecasts</w:t>
        </w:r>
      </w:hyperlink>
      <w:r>
        <w:t xml:space="preserve"> presentation (April 26, 2018).</w:t>
      </w:r>
    </w:p>
  </w:footnote>
  <w:footnote w:id="102">
    <w:p w:rsidR="005C5D9A" w:rsidRDefault="005C5D9A" w:rsidP="00DB3A74">
      <w:pPr>
        <w:pStyle w:val="FootnoteText"/>
      </w:pPr>
      <w:r>
        <w:rPr>
          <w:rStyle w:val="FootnoteReference"/>
        </w:rPr>
        <w:footnoteRef/>
      </w:r>
      <w:r>
        <w:t xml:space="preserve"> See ISO New England </w:t>
      </w:r>
      <w:hyperlink r:id="rId65" w:history="1">
        <w:r>
          <w:rPr>
            <w:rStyle w:val="Hyperlink"/>
            <w:i/>
          </w:rPr>
          <w:t>Updating Needs Assessments to Reflect Latest Assumptions</w:t>
        </w:r>
      </w:hyperlink>
      <w:r>
        <w:t xml:space="preserve"> presentation (March 21, 2019).</w:t>
      </w:r>
    </w:p>
  </w:footnote>
  <w:footnote w:id="103">
    <w:p w:rsidR="005C5D9A" w:rsidRDefault="005C5D9A" w:rsidP="00DB3A74">
      <w:pPr>
        <w:pStyle w:val="FootnoteText"/>
      </w:pPr>
      <w:r>
        <w:rPr>
          <w:rStyle w:val="FootnoteReference"/>
        </w:rPr>
        <w:footnoteRef/>
      </w:r>
      <w:r>
        <w:t xml:space="preserve"> Eversource Energy, </w:t>
      </w:r>
      <w:hyperlink r:id="rId66" w:history="1">
        <w:r>
          <w:rPr>
            <w:rStyle w:val="Hyperlink"/>
            <w:i/>
          </w:rPr>
          <w:t>Glenbrook Station STATCOM Asset Condition Replacement</w:t>
        </w:r>
      </w:hyperlink>
      <w:r>
        <w:rPr>
          <w:i/>
        </w:rPr>
        <w:t>,</w:t>
      </w:r>
      <w:r>
        <w:t xml:space="preserve"> presentation (July 22, 2020). </w:t>
      </w:r>
    </w:p>
  </w:footnote>
  <w:footnote w:id="104">
    <w:p w:rsidR="005C5D9A" w:rsidRDefault="005C5D9A" w:rsidP="00DB3A74">
      <w:pPr>
        <w:pStyle w:val="FootnoteText"/>
      </w:pPr>
      <w:r>
        <w:rPr>
          <w:rStyle w:val="FootnoteReference"/>
        </w:rPr>
        <w:footnoteRef/>
      </w:r>
      <w:r>
        <w:t xml:space="preserve"> See ISO New England, </w:t>
      </w:r>
      <w:hyperlink r:id="rId67" w:history="1">
        <w:r>
          <w:rPr>
            <w:rStyle w:val="Hyperlink"/>
            <w:i/>
          </w:rPr>
          <w:t>Updating Needs Assessments to Reflect Latest Forecasts</w:t>
        </w:r>
      </w:hyperlink>
      <w:r>
        <w:t xml:space="preserve">, presentation (April 26, 2018). </w:t>
      </w:r>
    </w:p>
  </w:footnote>
  <w:footnote w:id="105">
    <w:p w:rsidR="005C5D9A" w:rsidRDefault="005C5D9A" w:rsidP="00DB3A74">
      <w:pPr>
        <w:pStyle w:val="FootnoteText"/>
      </w:pPr>
      <w:r>
        <w:rPr>
          <w:rStyle w:val="FootnoteReference"/>
        </w:rPr>
        <w:footnoteRef/>
      </w:r>
      <w:r>
        <w:t xml:space="preserve"> Since the DER projects have not cleared in a FCA, have not been selected in, and are not contractually bound by a state-sponsored RFP, or do not have a financially binding obligation pursuant to a contract, the DER projects would not be relied upon to address transmission system needs. </w:t>
      </w:r>
    </w:p>
  </w:footnote>
  <w:footnote w:id="106">
    <w:p w:rsidR="005C5D9A" w:rsidRDefault="005C5D9A" w:rsidP="00DB3A74">
      <w:pPr>
        <w:pStyle w:val="FootnoteText"/>
      </w:pPr>
      <w:r>
        <w:rPr>
          <w:rStyle w:val="FootnoteReference"/>
        </w:rPr>
        <w:footnoteRef/>
      </w:r>
      <w:r>
        <w:t xml:space="preserve"> See “</w:t>
      </w:r>
      <w:hyperlink r:id="rId68" w:history="1">
        <w:r>
          <w:rPr>
            <w:rStyle w:val="Hyperlink"/>
          </w:rPr>
          <w:t>Notice of Initiation of the Western and Central Massachusetts (WCMA) 2029 Solutions Study</w:t>
        </w:r>
      </w:hyperlink>
      <w:r>
        <w:t xml:space="preserve">,” (February 24, 2021). </w:t>
      </w:r>
    </w:p>
  </w:footnote>
  <w:footnote w:id="107">
    <w:p w:rsidR="005C5D9A" w:rsidRDefault="005C5D9A">
      <w:pPr>
        <w:pStyle w:val="FootnoteText"/>
      </w:pPr>
      <w:r>
        <w:rPr>
          <w:rStyle w:val="FootnoteReference"/>
        </w:rPr>
        <w:footnoteRef/>
      </w:r>
      <w:r>
        <w:t xml:space="preserve"> </w:t>
      </w:r>
      <w:r w:rsidRPr="0035205B">
        <w:t>A number of ongoing studies outside of the Needs Assessment framework have identified the potential for post-contingency overloads on the 345 kV cables feeding into the Boston area from Stoughton, due to the increased development of offshore wind interconnecting on and near Cape Cod. Due to the criteria for inclusion of future generation projects in Needs Assessments</w:t>
      </w:r>
      <w:r>
        <w:t>,</w:t>
      </w:r>
      <w:r w:rsidRPr="0035205B">
        <w:t xml:space="preserve"> and due to the reduced output of offshore wind assumed under peak</w:t>
      </w:r>
      <w:r>
        <w:t>-</w:t>
      </w:r>
      <w:r w:rsidRPr="0035205B">
        <w:t>load conditions, these overloads did not appear in the Boston 2028 Needs Assessment. Furthermore, had these overloads appeared, they would not be considered needs and solutions to address them would not be pursued, since any overloads related to generation export conditions can be addressed by reducing generation in the exporting area.</w:t>
      </w:r>
    </w:p>
  </w:footnote>
  <w:footnote w:id="108">
    <w:p w:rsidR="005C5D9A" w:rsidRDefault="005C5D9A" w:rsidP="00DB3A74">
      <w:pPr>
        <w:pStyle w:val="FootnoteText"/>
      </w:pPr>
      <w:r>
        <w:rPr>
          <w:rStyle w:val="FootnoteReference"/>
        </w:rPr>
        <w:footnoteRef/>
      </w:r>
      <w:r>
        <w:t xml:space="preserve"> The retirement of the Mystic 8 and 9 resources would delay or inhibit the Boston 345 kV cable and load restoration without replacement of the generators’ dynamic reactive capability. Due to the confidentiality of the system restoration plan under the ISO’s Information Policy, the ISO can only report the size and location of the needed dynamic reactive device.</w:t>
      </w:r>
    </w:p>
  </w:footnote>
  <w:footnote w:id="109">
    <w:p w:rsidR="005C5D9A" w:rsidRDefault="005C5D9A" w:rsidP="00DB3A74">
      <w:pPr>
        <w:pStyle w:val="FootnoteText"/>
      </w:pPr>
      <w:r>
        <w:rPr>
          <w:rStyle w:val="FootnoteReference"/>
        </w:rPr>
        <w:footnoteRef/>
      </w:r>
      <w:r>
        <w:t xml:space="preserve"> ISO New England,</w:t>
      </w:r>
      <w:r>
        <w:rPr>
          <w:i/>
          <w:szCs w:val="18"/>
        </w:rPr>
        <w:t xml:space="preserve"> </w:t>
      </w:r>
      <w:hyperlink r:id="rId69" w:history="1">
        <w:r>
          <w:rPr>
            <w:rStyle w:val="Hyperlink"/>
            <w:i/>
          </w:rPr>
          <w:t>Southeastern Massachusetts and Rhode Island Area Needs Assessment (N-1)</w:t>
        </w:r>
      </w:hyperlink>
      <w:r>
        <w:t>, presentation</w:t>
      </w:r>
      <w:r>
        <w:rPr>
          <w:i/>
        </w:rPr>
        <w:t xml:space="preserve"> </w:t>
      </w:r>
      <w:r>
        <w:t>(October 17, 2012)</w:t>
      </w:r>
      <w:r>
        <w:rPr>
          <w:rStyle w:val="Hyperlink"/>
        </w:rPr>
        <w:t xml:space="preserve">; </w:t>
      </w:r>
      <w:hyperlink r:id="rId70" w:history="1">
        <w:r>
          <w:rPr>
            <w:rStyle w:val="Hyperlink"/>
            <w:i/>
          </w:rPr>
          <w:t>Southeastern Massachusetts and Rhode Island (SEMA/RI) Area Needs Assessment (N-1)</w:t>
        </w:r>
      </w:hyperlink>
      <w:r>
        <w:t>, presentation</w:t>
      </w:r>
      <w:r>
        <w:rPr>
          <w:i/>
        </w:rPr>
        <w:t xml:space="preserve"> </w:t>
      </w:r>
      <w:r>
        <w:t xml:space="preserve">(February 19, 2014); and </w:t>
      </w:r>
      <w:hyperlink r:id="rId71" w:history="1">
        <w:r>
          <w:rPr>
            <w:rStyle w:val="Hyperlink"/>
            <w:i/>
          </w:rPr>
          <w:t>Southeastern Massachusetts and Rhode Island Area Needs Assessment (N-1-1)</w:t>
        </w:r>
      </w:hyperlink>
      <w:r>
        <w:t>, presentation</w:t>
      </w:r>
      <w:r>
        <w:rPr>
          <w:i/>
        </w:rPr>
        <w:t xml:space="preserve"> </w:t>
      </w:r>
      <w:r>
        <w:t>(July 15, 2014).</w:t>
      </w:r>
    </w:p>
  </w:footnote>
  <w:footnote w:id="110">
    <w:p w:rsidR="005C5D9A" w:rsidRDefault="005C5D9A" w:rsidP="00DB3A74">
      <w:pPr>
        <w:pStyle w:val="FootnoteText"/>
      </w:pPr>
      <w:r>
        <w:rPr>
          <w:rStyle w:val="FootnoteReference"/>
        </w:rPr>
        <w:footnoteRef/>
      </w:r>
      <w:r>
        <w:t xml:space="preserve"> See ISO New England </w:t>
      </w:r>
      <w:hyperlink r:id="rId72" w:history="1">
        <w:r>
          <w:rPr>
            <w:rStyle w:val="Hyperlink"/>
            <w:i/>
          </w:rPr>
          <w:t>Updating Needs Assessments</w:t>
        </w:r>
      </w:hyperlink>
      <w:r>
        <w:rPr>
          <w:i/>
        </w:rPr>
        <w:t xml:space="preserve"> </w:t>
      </w:r>
      <w:r>
        <w:t xml:space="preserve">presentation (March 2019). </w:t>
      </w:r>
    </w:p>
  </w:footnote>
  <w:footnote w:id="111">
    <w:p w:rsidR="005C5D9A" w:rsidRDefault="005C5D9A" w:rsidP="00DB3A74">
      <w:pPr>
        <w:pStyle w:val="FootnoteText"/>
      </w:pPr>
      <w:r>
        <w:rPr>
          <w:rStyle w:val="FootnoteReference"/>
        </w:rPr>
        <w:footnoteRef/>
      </w:r>
      <w:r>
        <w:t xml:space="preserve"> See ISO New England </w:t>
      </w:r>
      <w:hyperlink r:id="rId73" w:history="1">
        <w:r>
          <w:rPr>
            <w:rStyle w:val="Hyperlink"/>
            <w:i/>
          </w:rPr>
          <w:t>Southeastern Massachusetts and Rhode Island (SEMA/RI) 2030 Minimum Load Needs Assessment Scope of Work</w:t>
        </w:r>
      </w:hyperlink>
      <w:r>
        <w:t xml:space="preserve"> (April 14, 2021).</w:t>
      </w:r>
    </w:p>
  </w:footnote>
  <w:footnote w:id="112">
    <w:p w:rsidR="005C5D9A" w:rsidRDefault="005C5D9A" w:rsidP="00DB3A74">
      <w:pPr>
        <w:pStyle w:val="FootnoteText"/>
      </w:pPr>
      <w:r>
        <w:rPr>
          <w:rStyle w:val="FootnoteReference"/>
        </w:rPr>
        <w:footnoteRef/>
      </w:r>
      <w:r>
        <w:t xml:space="preserve"> See ISO New England </w:t>
      </w:r>
      <w:hyperlink r:id="rId74" w:history="1">
        <w:r>
          <w:rPr>
            <w:rStyle w:val="Hyperlink"/>
            <w:i/>
          </w:rPr>
          <w:t>Southeastern Massachusetts and Rhode Island (SEMA/RI) 2030 Minimum Load Needs Assessment Scope of Work</w:t>
        </w:r>
      </w:hyperlink>
      <w:r>
        <w:t xml:space="preserve"> (April 2021). </w:t>
      </w:r>
    </w:p>
  </w:footnote>
  <w:footnote w:id="113">
    <w:p w:rsidR="005C5D9A" w:rsidRDefault="005C5D9A" w:rsidP="00DB3A74">
      <w:pPr>
        <w:pStyle w:val="FootnoteText"/>
      </w:pPr>
      <w:r>
        <w:rPr>
          <w:rStyle w:val="FootnoteReference"/>
        </w:rPr>
        <w:footnoteRef/>
      </w:r>
      <w:r>
        <w:t xml:space="preserve">See ISO New England </w:t>
      </w:r>
      <w:hyperlink r:id="rId75" w:history="1">
        <w:r>
          <w:rPr>
            <w:rStyle w:val="Hyperlink"/>
            <w:i/>
          </w:rPr>
          <w:t>Eastern Connecticut 2027 Needs Assessment Scope of Work</w:t>
        </w:r>
      </w:hyperlink>
      <w:r>
        <w:t xml:space="preserve"> (March 2018) and </w:t>
      </w:r>
      <w:hyperlink r:id="rId76" w:history="1">
        <w:r>
          <w:rPr>
            <w:rStyle w:val="Hyperlink"/>
            <w:i/>
          </w:rPr>
          <w:t>Eastern Connecticut 2027 Needs Assessment</w:t>
        </w:r>
      </w:hyperlink>
      <w:r>
        <w:t xml:space="preserve"> (May 2018).  </w:t>
      </w:r>
    </w:p>
  </w:footnote>
  <w:footnote w:id="114">
    <w:p w:rsidR="005C5D9A" w:rsidRDefault="005C5D9A" w:rsidP="00DB3A74">
      <w:pPr>
        <w:pStyle w:val="FootnoteText"/>
      </w:pPr>
      <w:r>
        <w:rPr>
          <w:rStyle w:val="FootnoteReference"/>
        </w:rPr>
        <w:footnoteRef/>
      </w:r>
      <w:r>
        <w:t xml:space="preserve"> See ISO New England </w:t>
      </w:r>
      <w:hyperlink r:id="rId77" w:history="1">
        <w:r>
          <w:rPr>
            <w:rStyle w:val="Hyperlink"/>
          </w:rPr>
          <w:t>Looking Forward:  Dynamic Reactive Device Technologies, Power Electronic Devices vs. Synchronous Condensers</w:t>
        </w:r>
      </w:hyperlink>
      <w:r>
        <w:t xml:space="preserve"> presentation (February 17, 2021). </w:t>
      </w:r>
    </w:p>
  </w:footnote>
  <w:footnote w:id="115">
    <w:p w:rsidR="005C5D9A" w:rsidRDefault="005C5D9A" w:rsidP="00DB3A74">
      <w:pPr>
        <w:pStyle w:val="FootnoteText"/>
      </w:pPr>
      <w:r>
        <w:rPr>
          <w:rStyle w:val="FootnoteReference"/>
        </w:rPr>
        <w:footnoteRef/>
      </w:r>
      <w:r>
        <w:t xml:space="preserve"> The data are based on the June 2021 </w:t>
      </w:r>
      <w:r>
        <w:rPr>
          <w:i/>
        </w:rPr>
        <w:t>Regional System Plan Project List</w:t>
      </w:r>
      <w:r>
        <w:t xml:space="preserve">. </w:t>
      </w:r>
    </w:p>
  </w:footnote>
  <w:footnote w:id="116">
    <w:p w:rsidR="005C5D9A" w:rsidRDefault="005C5D9A" w:rsidP="00DB3A74">
      <w:pPr>
        <w:pStyle w:val="FootnoteText"/>
      </w:pPr>
      <w:r>
        <w:rPr>
          <w:rStyle w:val="FootnoteReference"/>
        </w:rPr>
        <w:footnoteRef/>
      </w:r>
      <w:r>
        <w:t xml:space="preserve"> Unlike traditional generators that run at the same frequency as the power system (i.e., synchronously), inverter-based technologies, such as wind, PV, and HVDC facilities, use power electronics to control the generator, converting between AC frequencies and between AC and DC frequencies (i.e., asynchronously with the AC power system).</w:t>
      </w:r>
    </w:p>
  </w:footnote>
  <w:footnote w:id="117">
    <w:p w:rsidR="005C5D9A" w:rsidRDefault="005C5D9A" w:rsidP="00DB3A74">
      <w:pPr>
        <w:pStyle w:val="FootnoteText"/>
      </w:pPr>
      <w:r>
        <w:rPr>
          <w:rStyle w:val="FootnoteReference"/>
        </w:rPr>
        <w:footnoteRef/>
      </w:r>
      <w:r>
        <w:t xml:space="preserve"> A PAC presentation is required for all asset-condition-related work where the cost estimate is greater than or equal to $5 million. </w:t>
      </w:r>
    </w:p>
  </w:footnote>
  <w:footnote w:id="118">
    <w:p w:rsidR="005C5D9A" w:rsidRDefault="005C5D9A" w:rsidP="00DB3A74">
      <w:pPr>
        <w:pStyle w:val="FootnoteText"/>
      </w:pPr>
      <w:r>
        <w:rPr>
          <w:rStyle w:val="FootnoteReference"/>
        </w:rPr>
        <w:footnoteRef/>
      </w:r>
      <w:r>
        <w:t xml:space="preserve"> Projects under the status of “concept” are not included.</w:t>
      </w:r>
    </w:p>
  </w:footnote>
  <w:footnote w:id="119">
    <w:p w:rsidR="005C5D9A" w:rsidRDefault="005C5D9A" w:rsidP="00DB3A74">
      <w:pPr>
        <w:pStyle w:val="FootnoteText"/>
      </w:pPr>
      <w:r>
        <w:rPr>
          <w:rStyle w:val="FootnoteReference"/>
        </w:rPr>
        <w:footnoteRef/>
      </w:r>
      <w:r>
        <w:t xml:space="preserve"> Links to the most recent LSPs are included on the ISO’s </w:t>
      </w:r>
      <w:hyperlink r:id="rId78" w:history="1">
        <w:r w:rsidRPr="004433A3">
          <w:rPr>
            <w:rStyle w:val="Hyperlink"/>
            <w:i/>
          </w:rPr>
          <w:t>RSP Project List</w:t>
        </w:r>
      </w:hyperlink>
      <w:r>
        <w:t>.</w:t>
      </w:r>
    </w:p>
  </w:footnote>
  <w:footnote w:id="120">
    <w:p w:rsidR="005C5D9A" w:rsidRDefault="005C5D9A" w:rsidP="006B6C9D">
      <w:pPr>
        <w:pStyle w:val="FoonoteText"/>
        <w:spacing w:after="80" w:line="240" w:lineRule="auto"/>
        <w:rPr>
          <w:sz w:val="18"/>
          <w:szCs w:val="18"/>
        </w:rPr>
      </w:pPr>
      <w:r>
        <w:rPr>
          <w:rStyle w:val="FootnoteReference"/>
        </w:rPr>
        <w:footnoteRef/>
      </w:r>
      <w:r>
        <w:rPr>
          <w:sz w:val="18"/>
          <w:szCs w:val="18"/>
        </w:rPr>
        <w:t xml:space="preserve"> Regional transmission service is comprised of regional network service (RNS) and through-or-out (TOUT) service.</w:t>
      </w:r>
      <w:r>
        <w:rPr>
          <w:i/>
          <w:sz w:val="18"/>
          <w:szCs w:val="18"/>
        </w:rPr>
        <w:t xml:space="preserve"> </w:t>
      </w:r>
      <w:r>
        <w:rPr>
          <w:sz w:val="18"/>
          <w:szCs w:val="18"/>
        </w:rPr>
        <w:t xml:space="preserve">RNS is the transmission service the ISO provides over the PTFs, described in the OATT, Part II.B, that network customers use to serve load within the New England Control Area. The ISO’s TOUT service over the PTFs allows a real-time market transaction to be exported out of or “wheeled through” the New England area, including services used for network resources or regional network load not physically interconnected with a PTF. </w:t>
      </w:r>
    </w:p>
  </w:footnote>
  <w:footnote w:id="121">
    <w:p w:rsidR="005C5D9A" w:rsidRDefault="005C5D9A" w:rsidP="00DB3A74">
      <w:pPr>
        <w:pStyle w:val="FootnoteText"/>
        <w:rPr>
          <w:szCs w:val="18"/>
        </w:rPr>
      </w:pPr>
      <w:r>
        <w:rPr>
          <w:rStyle w:val="FootnoteReference"/>
          <w:szCs w:val="18"/>
        </w:rPr>
        <w:footnoteRef/>
      </w:r>
      <w:r>
        <w:rPr>
          <w:szCs w:val="18"/>
        </w:rPr>
        <w:t xml:space="preserve"> NCPC is a payment to a supply resource that responded to the ISO’s dispatch instructions but did not fully recover its start-up and operating costs in either the Day-Ahead Energy Market or Real-Time Energy Market.</w:t>
      </w:r>
    </w:p>
  </w:footnote>
  <w:footnote w:id="122">
    <w:p w:rsidR="005C5D9A" w:rsidRDefault="005C5D9A" w:rsidP="00DB3A74">
      <w:pPr>
        <w:pStyle w:val="FootnoteText"/>
      </w:pPr>
      <w:r>
        <w:rPr>
          <w:rStyle w:val="FootnoteReference"/>
        </w:rPr>
        <w:footnoteRef/>
      </w:r>
      <w:r>
        <w:t xml:space="preserve"> A Hub is a specific set of predefined pricing nodes for which locational marginal prices are calculated and which are used to establish reference prices for electric energy purchases, the transfer of day-ahead and real-time adjusted load obligations and the designation of Financial Transmission Rights.</w:t>
      </w:r>
    </w:p>
  </w:footnote>
  <w:footnote w:id="123">
    <w:p w:rsidR="005C5D9A" w:rsidRDefault="005C5D9A" w:rsidP="00DB3A74">
      <w:pPr>
        <w:pStyle w:val="CommentText"/>
        <w:spacing w:after="80"/>
        <w:rPr>
          <w:sz w:val="18"/>
          <w:szCs w:val="18"/>
        </w:rPr>
      </w:pPr>
      <w:r>
        <w:rPr>
          <w:rStyle w:val="FootnoteReference"/>
          <w:sz w:val="18"/>
          <w:szCs w:val="18"/>
        </w:rPr>
        <w:footnoteRef/>
      </w:r>
      <w:r>
        <w:rPr>
          <w:sz w:val="18"/>
          <w:szCs w:val="18"/>
        </w:rPr>
        <w:t xml:space="preserve"> See ISO-NE’s</w:t>
      </w:r>
      <w:r>
        <w:rPr>
          <w:i/>
          <w:sz w:val="18"/>
          <w:szCs w:val="18"/>
        </w:rPr>
        <w:t xml:space="preserve"> </w:t>
      </w:r>
      <w:hyperlink r:id="rId79" w:history="1">
        <w:r>
          <w:rPr>
            <w:rStyle w:val="Hyperlink"/>
            <w:rFonts w:eastAsiaTheme="majorEastAsia"/>
            <w:sz w:val="18"/>
            <w:szCs w:val="18"/>
          </w:rPr>
          <w:t>Real-Time and Historical Data for Informed Market Decisions</w:t>
        </w:r>
      </w:hyperlink>
      <w:r>
        <w:rPr>
          <w:sz w:val="18"/>
          <w:szCs w:val="18"/>
        </w:rPr>
        <w:t xml:space="preserve"> webpage.</w:t>
      </w:r>
    </w:p>
  </w:footnote>
  <w:footnote w:id="124">
    <w:p w:rsidR="005C5D9A" w:rsidRDefault="005C5D9A" w:rsidP="00DB3A74">
      <w:pPr>
        <w:pStyle w:val="FootnoteText"/>
      </w:pPr>
      <w:r>
        <w:rPr>
          <w:rStyle w:val="FootnoteReference"/>
        </w:rPr>
        <w:footnoteRef/>
      </w:r>
      <w:r>
        <w:t xml:space="preserve"> These agencies include the Council on Environmental Quality (CEQ), Department of Agriculture (Forest Service, Natural Resources Conservation Service, Office of Environmental Markets), Department of Commerce (National Oceanic and Atmospheric Administration, National Marine Fisheries Service), Department of Energy, Department of Interior (Bureau of Ocean Energy Management, Bureau of Land Management, Bureau of Reclamation, National Park Service, US Fish and Wildlife Service), and the EPA.</w:t>
      </w:r>
    </w:p>
  </w:footnote>
  <w:footnote w:id="125">
    <w:p w:rsidR="005C5D9A" w:rsidRDefault="005C5D9A" w:rsidP="00DB3A74">
      <w:pPr>
        <w:pStyle w:val="FootnoteText"/>
        <w:rPr>
          <w:szCs w:val="18"/>
        </w:rPr>
      </w:pPr>
      <w:r>
        <w:rPr>
          <w:rStyle w:val="FootnoteReference"/>
          <w:szCs w:val="18"/>
        </w:rPr>
        <w:footnoteRef/>
      </w:r>
      <w:r>
        <w:rPr>
          <w:szCs w:val="18"/>
        </w:rPr>
        <w:t xml:space="preserve"> Energy Information Administration, </w:t>
      </w:r>
      <w:hyperlink r:id="rId80" w:history="1">
        <w:r>
          <w:rPr>
            <w:rStyle w:val="Hyperlink"/>
            <w:szCs w:val="18"/>
          </w:rPr>
          <w:t>2019 Thermoelectric cooling water data</w:t>
        </w:r>
      </w:hyperlink>
      <w:r>
        <w:rPr>
          <w:szCs w:val="18"/>
        </w:rPr>
        <w:t>, (latest available, accessed March 2021).</w:t>
      </w:r>
    </w:p>
  </w:footnote>
  <w:footnote w:id="126">
    <w:p w:rsidR="005C5D9A" w:rsidRDefault="005C5D9A" w:rsidP="00DB3A74">
      <w:pPr>
        <w:pStyle w:val="FootnoteText"/>
      </w:pPr>
      <w:r>
        <w:rPr>
          <w:rStyle w:val="FootnoteReference"/>
        </w:rPr>
        <w:footnoteRef/>
      </w:r>
      <w:r>
        <w:t xml:space="preserve"> A natural gas or oil-fired combined cycle 2 x 1 configuration equipped with dry or recirculating cooling system consume between 130 to 530 gallons/MWh for cooling needs while a steam thermal boiler (nuclear, oil, coal or refuse) equipped with once-through cooling may consume between 550 and 1,100 gallons/MWh. Thomas J. Feeley III et al., </w:t>
      </w:r>
      <w:hyperlink r:id="rId81" w:history="1">
        <w:r>
          <w:rPr>
            <w:rStyle w:val="Hyperlink"/>
            <w:i/>
          </w:rPr>
          <w:t>Water: A Critical Resource in the Thermoelectric Power Industry</w:t>
        </w:r>
      </w:hyperlink>
      <w:r>
        <w:t>, Energy (January 2018).</w:t>
      </w:r>
    </w:p>
  </w:footnote>
  <w:footnote w:id="127">
    <w:p w:rsidR="005C5D9A" w:rsidRDefault="005C5D9A" w:rsidP="00DB3A74">
      <w:pPr>
        <w:pStyle w:val="FootnoteText"/>
        <w:rPr>
          <w:szCs w:val="18"/>
        </w:rPr>
      </w:pPr>
      <w:r>
        <w:rPr>
          <w:rStyle w:val="FootnoteReference"/>
          <w:szCs w:val="18"/>
        </w:rPr>
        <w:footnoteRef/>
      </w:r>
      <w:r>
        <w:rPr>
          <w:szCs w:val="18"/>
        </w:rPr>
        <w:t xml:space="preserve"> The water intensity of power generation is the average amount of water withdrawn per unit of total net electricity generated.</w:t>
      </w:r>
    </w:p>
  </w:footnote>
  <w:footnote w:id="128">
    <w:p w:rsidR="005C5D9A" w:rsidRDefault="005C5D9A" w:rsidP="00DB3A74">
      <w:pPr>
        <w:pStyle w:val="FootnoteText"/>
      </w:pPr>
      <w:r>
        <w:rPr>
          <w:rStyle w:val="FootnoteReference"/>
        </w:rPr>
        <w:footnoteRef/>
      </w:r>
      <w:r>
        <w:t xml:space="preserve"> </w:t>
      </w:r>
      <w:r>
        <w:rPr>
          <w:szCs w:val="18"/>
        </w:rPr>
        <w:t xml:space="preserve">EPA, </w:t>
      </w:r>
      <w:hyperlink r:id="rId82" w:history="1">
        <w:r>
          <w:rPr>
            <w:rStyle w:val="Hyperlink"/>
            <w:i/>
            <w:szCs w:val="18"/>
          </w:rPr>
          <w:t>National Ambient Air Quality Standards for Criteria Air Pollutants (Carbon Monoxide; Lead; Nitrogen Dioxide; Ozone; Particulate Matter; and, Sulfur Dioxide</w:t>
        </w:r>
      </w:hyperlink>
      <w:r>
        <w:rPr>
          <w:i/>
          <w:szCs w:val="18"/>
        </w:rPr>
        <w:t>)</w:t>
      </w:r>
      <w:r>
        <w:rPr>
          <w:szCs w:val="18"/>
        </w:rPr>
        <w:t xml:space="preserve">, and for more detailed information about specific rules impacting the power sector, see the current </w:t>
      </w:r>
      <w:hyperlink r:id="rId83" w:history="1">
        <w:r>
          <w:rPr>
            <w:rStyle w:val="Hyperlink"/>
            <w:szCs w:val="18"/>
          </w:rPr>
          <w:t>ISO environmental quarterly report</w:t>
        </w:r>
      </w:hyperlink>
      <w:r>
        <w:rPr>
          <w:szCs w:val="18"/>
        </w:rPr>
        <w:t xml:space="preserve"> and Energy Advisory Group (EAG) environmental update.</w:t>
      </w:r>
    </w:p>
  </w:footnote>
  <w:footnote w:id="129">
    <w:p w:rsidR="005C5D9A" w:rsidRDefault="005C5D9A" w:rsidP="00DB3A74">
      <w:pPr>
        <w:pStyle w:val="FootnoteText"/>
      </w:pPr>
      <w:r>
        <w:rPr>
          <w:rStyle w:val="FootnoteReference"/>
        </w:rPr>
        <w:footnoteRef/>
      </w:r>
      <w:r>
        <w:t xml:space="preserve"> On January 20, 2021, President Biden rejoined the Paris Agreement, and on February 19, the U.S. officially became a participating party. On April 22, 2021, the Biden Administration issued an updated Nationally Determined Contribution (NDC) of 50% by 2030. In 2005, U.S. net GHG emissions were 7,423 MMT, the 2030 target is 3,711 MMT. For comparison 2019 U.S. net GHG emissions were 6,558 MMT (U.S. power sector 2019 GHG emissions were 1,648 MMT) and 2020 U.S. net GHG emissions were 5,160 MMT (U.S. power sector 2020 GHG emissions were 1,488 MMT). EPA, </w:t>
      </w:r>
      <w:hyperlink r:id="rId84" w:history="1">
        <w:r>
          <w:rPr>
            <w:rStyle w:val="Hyperlink"/>
          </w:rPr>
          <w:t>Inventory of U.S. Greenhouse Gas Emissions and Sinks</w:t>
        </w:r>
      </w:hyperlink>
      <w:r>
        <w:t xml:space="preserve"> (1990-2019 (latest available)). </w:t>
      </w:r>
    </w:p>
  </w:footnote>
  <w:footnote w:id="130">
    <w:p w:rsidR="005C5D9A" w:rsidRDefault="005C5D9A" w:rsidP="00C41FDD">
      <w:pPr>
        <w:pStyle w:val="FootnoteText"/>
      </w:pPr>
      <w:r>
        <w:rPr>
          <w:rStyle w:val="FootnoteReference"/>
        </w:rPr>
        <w:footnoteRef/>
      </w:r>
      <w:r>
        <w:t xml:space="preserve"> State of Maine Executive Order 10, </w:t>
      </w:r>
      <w:hyperlink r:id="rId85" w:history="1">
        <w:r w:rsidRPr="00130666">
          <w:rPr>
            <w:rStyle w:val="Hyperlink"/>
            <w:i/>
          </w:rPr>
          <w:t>An Order to Strengthen Maine’s Economy and Achieve Carbon Neutrality By 2045</w:t>
        </w:r>
      </w:hyperlink>
      <w:r>
        <w:t xml:space="preserve"> (September 23, 2019). </w:t>
      </w:r>
    </w:p>
  </w:footnote>
  <w:footnote w:id="131">
    <w:p w:rsidR="005C5D9A" w:rsidRDefault="005C5D9A" w:rsidP="00C41FDD">
      <w:pPr>
        <w:pStyle w:val="FootnoteText"/>
      </w:pPr>
      <w:r>
        <w:rPr>
          <w:rStyle w:val="FootnoteReference"/>
        </w:rPr>
        <w:footnoteRef/>
      </w:r>
      <w:r>
        <w:t xml:space="preserve"> </w:t>
      </w:r>
      <w:r w:rsidRPr="00F300A2">
        <w:rPr>
          <w:szCs w:val="18"/>
        </w:rPr>
        <w:t xml:space="preserve">State of Massachusetts, </w:t>
      </w:r>
      <w:hyperlink r:id="rId86" w:history="1">
        <w:r w:rsidRPr="001332DA">
          <w:rPr>
            <w:rStyle w:val="Hyperlink"/>
            <w:i/>
          </w:rPr>
          <w:t>An Act Creating a Next-Generation Roadmap for Massachusetts Climate Policy</w:t>
        </w:r>
      </w:hyperlink>
      <w:r w:rsidRPr="001332DA">
        <w:t>, (S. 9). The Act includes</w:t>
      </w:r>
      <w:r w:rsidRPr="00B00E9C">
        <w:t xml:space="preserve"> </w:t>
      </w:r>
      <w:r w:rsidRPr="00B00E9C">
        <w:rPr>
          <w:rStyle w:val="Hyperlink"/>
          <w:color w:val="auto"/>
          <w:u w:val="none"/>
        </w:rPr>
        <w:t>an interim 2040 emissions limit of at least 75%, also increases RPS requirements, and directs the procurement of an additional 2,400 MW of offshore wind by 2027. (Signed on March 26, 2021).</w:t>
      </w:r>
    </w:p>
  </w:footnote>
  <w:footnote w:id="132">
    <w:p w:rsidR="005C5D9A" w:rsidRDefault="005C5D9A" w:rsidP="00DB3A74">
      <w:pPr>
        <w:pStyle w:val="FootnoteText"/>
      </w:pPr>
      <w:r>
        <w:rPr>
          <w:rStyle w:val="FootnoteReference"/>
        </w:rPr>
        <w:footnoteRef/>
      </w:r>
      <w:r>
        <w:t xml:space="preserve"> See National Conference of State Legislatures, </w:t>
      </w:r>
      <w:hyperlink r:id="rId87" w:history="1">
        <w:r>
          <w:rPr>
            <w:rStyle w:val="Hyperlink"/>
          </w:rPr>
          <w:t>Greenhouse Gas Emissions Reduction Targets and Market-based Policies</w:t>
        </w:r>
      </w:hyperlink>
      <w:r>
        <w:t xml:space="preserve"> (last updated March 11, 2021).</w:t>
      </w:r>
    </w:p>
  </w:footnote>
  <w:footnote w:id="133">
    <w:p w:rsidR="005C5D9A" w:rsidRDefault="005C5D9A" w:rsidP="00DB3A74">
      <w:pPr>
        <w:pStyle w:val="FootnoteText"/>
      </w:pPr>
      <w:r>
        <w:rPr>
          <w:rStyle w:val="FootnoteReference"/>
        </w:rPr>
        <w:footnoteRef/>
      </w:r>
      <w:r>
        <w:t xml:space="preserve"> In 2021, the participating RGGI states include: Connecticut, Delaware, Maine, Maryland, Massachusetts, New Hampshire, New Jersey, New York, Rhode Island, Vermont, and Virginia. </w:t>
      </w:r>
      <w:hyperlink r:id="rId88" w:history="1">
        <w:r>
          <w:rPr>
            <w:rStyle w:val="Hyperlink"/>
          </w:rPr>
          <w:t xml:space="preserve">RGGI, </w:t>
        </w:r>
        <w:r>
          <w:rPr>
            <w:rStyle w:val="Hyperlink"/>
            <w:i/>
          </w:rPr>
          <w:t>Elements of RGGI</w:t>
        </w:r>
      </w:hyperlink>
      <w:r>
        <w:t xml:space="preserve">. </w:t>
      </w:r>
    </w:p>
  </w:footnote>
  <w:footnote w:id="134">
    <w:p w:rsidR="005C5D9A" w:rsidRDefault="005C5D9A" w:rsidP="00DB3A74">
      <w:pPr>
        <w:pStyle w:val="FootnoteText"/>
      </w:pPr>
      <w:r>
        <w:rPr>
          <w:rStyle w:val="FootnoteReference"/>
        </w:rPr>
        <w:footnoteRef/>
      </w:r>
      <w:r>
        <w:t xml:space="preserve"> For most recent developments on RGGI, review the current quarterly </w:t>
      </w:r>
      <w:hyperlink r:id="rId89" w:history="1">
        <w:r>
          <w:rPr>
            <w:rStyle w:val="Hyperlink"/>
          </w:rPr>
          <w:t>Environmental Working Group</w:t>
        </w:r>
      </w:hyperlink>
      <w:r>
        <w:t xml:space="preserve"> GHG update.</w:t>
      </w:r>
    </w:p>
  </w:footnote>
  <w:footnote w:id="135">
    <w:p w:rsidR="005C5D9A" w:rsidRDefault="005C5D9A" w:rsidP="00DB3A74">
      <w:pPr>
        <w:pStyle w:val="FootnoteText"/>
      </w:pPr>
      <w:r>
        <w:rPr>
          <w:rStyle w:val="FootnoteReference"/>
        </w:rPr>
        <w:footnoteRef/>
      </w:r>
      <w:r>
        <w:t xml:space="preserve"> RGGI, Inc., </w:t>
      </w:r>
      <w:hyperlink r:id="rId90" w:history="1">
        <w:r>
          <w:rPr>
            <w:rStyle w:val="Hyperlink"/>
            <w:i/>
          </w:rPr>
          <w:t>Third Adjustment for Banked Allowances Announcement</w:t>
        </w:r>
      </w:hyperlink>
      <w:r>
        <w:rPr>
          <w:i/>
        </w:rPr>
        <w:t xml:space="preserve"> </w:t>
      </w:r>
      <w:r>
        <w:t xml:space="preserve">(March 15, 2021). </w:t>
      </w:r>
    </w:p>
  </w:footnote>
  <w:footnote w:id="136">
    <w:p w:rsidR="005C5D9A" w:rsidRDefault="005C5D9A" w:rsidP="007267D2">
      <w:pPr>
        <w:pStyle w:val="FootnoteText"/>
      </w:pPr>
      <w:r>
        <w:rPr>
          <w:rStyle w:val="FootnoteReference"/>
        </w:rPr>
        <w:footnoteRef/>
      </w:r>
      <w:r>
        <w:t xml:space="preserve"> ISO Internal Market Monitor, </w:t>
      </w:r>
      <w:hyperlink r:id="rId91" w:history="1">
        <w:r w:rsidRPr="0033779D">
          <w:rPr>
            <w:rStyle w:val="Hyperlink"/>
          </w:rPr>
          <w:t>2020 Annual Markets Report</w:t>
        </w:r>
      </w:hyperlink>
      <w:r>
        <w:t xml:space="preserve"> (June 9, 2021).</w:t>
      </w:r>
    </w:p>
  </w:footnote>
  <w:footnote w:id="137">
    <w:p w:rsidR="005C5D9A" w:rsidRDefault="005C5D9A" w:rsidP="00DB3A74">
      <w:pPr>
        <w:pStyle w:val="FootnoteText"/>
      </w:pPr>
      <w:r>
        <w:rPr>
          <w:rStyle w:val="FootnoteReference"/>
        </w:rPr>
        <w:footnoteRef/>
      </w:r>
      <w:r>
        <w:t xml:space="preserve"> The states that participated in the TCI planning process included Connecticut, Delaware, Maine, Maryland, Massachusetts, New Hampshire, New Jersey, New York, Pennsylvania, Rhode Island, Vermont, and Virginia. More information about the TCI is available at the “</w:t>
      </w:r>
      <w:hyperlink r:id="rId92" w:history="1">
        <w:r>
          <w:rPr>
            <w:rStyle w:val="Hyperlink"/>
          </w:rPr>
          <w:t>Transportation and Climate Initiative</w:t>
        </w:r>
      </w:hyperlink>
      <w:r>
        <w:t>,” webpage.</w:t>
      </w:r>
    </w:p>
  </w:footnote>
  <w:footnote w:id="138">
    <w:p w:rsidR="005C5D9A" w:rsidRDefault="005C5D9A" w:rsidP="007267D2">
      <w:pPr>
        <w:pStyle w:val="FootnoteText"/>
      </w:pPr>
      <w:r>
        <w:rPr>
          <w:rStyle w:val="FootnoteReference"/>
        </w:rPr>
        <w:footnoteRef/>
      </w:r>
      <w:r>
        <w:t xml:space="preserve"> Transportation and Climate Initiative, </w:t>
      </w:r>
      <w:hyperlink r:id="rId93" w:history="1">
        <w:r w:rsidRPr="00FC030A">
          <w:rPr>
            <w:rStyle w:val="Hyperlink"/>
          </w:rPr>
          <w:t>Summary of TCI-P Model Rule</w:t>
        </w:r>
      </w:hyperlink>
      <w:r>
        <w:t>, (June, 10, 2021). The 2023 starting budget (41.3 million allowances) equals</w:t>
      </w:r>
      <w:r w:rsidRPr="0033779D">
        <w:t xml:space="preserve"> roughly 72% of carbon emissions from </w:t>
      </w:r>
      <w:r>
        <w:t xml:space="preserve">the </w:t>
      </w:r>
      <w:r w:rsidRPr="0033779D">
        <w:t>motor gasoline consumed annually in all of New England</w:t>
      </w:r>
      <w:r>
        <w:t xml:space="preserve"> (~6.5 billion gallons, 2019 data, latest available). A TCI allowance would equal 1 metric ton of CO</w:t>
      </w:r>
      <w:r w:rsidRPr="00E90DAD">
        <w:rPr>
          <w:vertAlign w:val="subscript"/>
        </w:rPr>
        <w:t>2</w:t>
      </w:r>
      <w:r>
        <w:t>.</w:t>
      </w:r>
    </w:p>
  </w:footnote>
  <w:footnote w:id="139">
    <w:p w:rsidR="005C5D9A" w:rsidRDefault="005C5D9A" w:rsidP="00DB3A74">
      <w:pPr>
        <w:pStyle w:val="FootnoteText"/>
      </w:pPr>
      <w:r>
        <w:rPr>
          <w:rStyle w:val="FootnoteReference"/>
        </w:rPr>
        <w:footnoteRef/>
      </w:r>
      <w:r>
        <w:t xml:space="preserve"> The ISO-NE Internal Market Monitor noted in the Spring 2020 Quarterly Market Report (August 2020) that temperature fluctuations typically drive differences in monthly average load, but this temperature-load relationship unraveled in April and May 2020 when regional responses to the COVID-19 pandemic resulted in lower electricity demand despite colder temperatures. In April 2020, the average temperature was 4⁰F colder than in April 2019 (45⁰F vs. 49⁰F), but average loads still decreased year-over-year (11,460 MW vs. 12,001 MW).</w:t>
      </w:r>
    </w:p>
  </w:footnote>
  <w:footnote w:id="140">
    <w:p w:rsidR="005C5D9A" w:rsidRDefault="005C5D9A" w:rsidP="00DB3A74">
      <w:pPr>
        <w:pStyle w:val="FootnoteText"/>
      </w:pPr>
      <w:r>
        <w:rPr>
          <w:rStyle w:val="FootnoteReference"/>
        </w:rPr>
        <w:footnoteRef/>
      </w:r>
      <w:r>
        <w:t xml:space="preserve"> The ISO-NE Operations Forecast group produces a weekly analysis of the impact the response to COVID-19 is having on region-wide system demand. Loads were trending lower than would be expected through May 2020. </w:t>
      </w:r>
      <w:hyperlink r:id="rId94" w:history="1">
        <w:r>
          <w:rPr>
            <w:rStyle w:val="Hyperlink"/>
          </w:rPr>
          <w:t>Impact on system demand</w:t>
        </w:r>
      </w:hyperlink>
      <w:r>
        <w:t xml:space="preserve"> was first observed in the third week of March 2020 when the pandemic response began.  </w:t>
      </w:r>
    </w:p>
  </w:footnote>
  <w:footnote w:id="141">
    <w:p w:rsidR="005C5D9A" w:rsidRDefault="005C5D9A" w:rsidP="00DB3A74">
      <w:pPr>
        <w:pStyle w:val="FootnoteText"/>
        <w:rPr>
          <w:szCs w:val="18"/>
        </w:rPr>
      </w:pPr>
      <w:r>
        <w:rPr>
          <w:rStyle w:val="FootnoteReference"/>
          <w:szCs w:val="18"/>
        </w:rPr>
        <w:footnoteRef/>
      </w:r>
      <w:r>
        <w:rPr>
          <w:szCs w:val="18"/>
        </w:rPr>
        <w:t xml:space="preserve"> State of Massachusetts, Clean Energy Standard, </w:t>
      </w:r>
      <w:hyperlink r:id="rId95" w:history="1">
        <w:r>
          <w:rPr>
            <w:rStyle w:val="Hyperlink"/>
            <w:szCs w:val="18"/>
          </w:rPr>
          <w:t>310 CMR 7.75</w:t>
        </w:r>
      </w:hyperlink>
      <w:r>
        <w:t xml:space="preserve"> (last amended July 2020).</w:t>
      </w:r>
    </w:p>
  </w:footnote>
  <w:footnote w:id="142">
    <w:p w:rsidR="005C5D9A" w:rsidRDefault="005C5D9A" w:rsidP="00DB3A74">
      <w:pPr>
        <w:pStyle w:val="FootnoteText"/>
        <w:rPr>
          <w:b/>
          <w:szCs w:val="18"/>
        </w:rPr>
      </w:pPr>
      <w:r>
        <w:rPr>
          <w:rStyle w:val="FootnoteReference"/>
          <w:szCs w:val="18"/>
        </w:rPr>
        <w:footnoteRef/>
      </w:r>
      <w:r>
        <w:rPr>
          <w:rStyle w:val="Hyperlink"/>
          <w:szCs w:val="18"/>
        </w:rPr>
        <w:t xml:space="preserve"> </w:t>
      </w:r>
      <w:r>
        <w:t>EIA</w:t>
      </w:r>
      <w:r>
        <w:rPr>
          <w:rStyle w:val="Hyperlink"/>
          <w:szCs w:val="18"/>
        </w:rPr>
        <w:t xml:space="preserve">, </w:t>
      </w:r>
      <w:hyperlink r:id="rId96" w:history="1">
        <w:r>
          <w:rPr>
            <w:rStyle w:val="Hyperlink"/>
            <w:i/>
            <w:szCs w:val="18"/>
          </w:rPr>
          <w:t>Levelized Cost of New Generation Resources in the Annual Energy Outlook 2021</w:t>
        </w:r>
      </w:hyperlink>
      <w:r>
        <w:rPr>
          <w:rStyle w:val="Hyperlink"/>
          <w:szCs w:val="18"/>
        </w:rPr>
        <w:t xml:space="preserve"> </w:t>
      </w:r>
      <w:r>
        <w:t xml:space="preserve">(February 2021) </w:t>
      </w:r>
      <w:r>
        <w:rPr>
          <w:szCs w:val="18"/>
        </w:rPr>
        <w:t xml:space="preserve">and </w:t>
      </w:r>
      <w:hyperlink r:id="rId97" w:history="1">
        <w:r>
          <w:rPr>
            <w:rStyle w:val="Hyperlink"/>
            <w:i/>
            <w:szCs w:val="18"/>
          </w:rPr>
          <w:t>Capital Costs and Performance Characteristic Estimates for Utility Scale Electric Power Technologies</w:t>
        </w:r>
      </w:hyperlink>
      <w:r>
        <w:rPr>
          <w:szCs w:val="18"/>
        </w:rPr>
        <w:t xml:space="preserve"> (February 2020).</w:t>
      </w:r>
    </w:p>
  </w:footnote>
  <w:footnote w:id="143">
    <w:p w:rsidR="005C5D9A" w:rsidRDefault="005C5D9A" w:rsidP="00DB3A74">
      <w:pPr>
        <w:pStyle w:val="FootnoteText"/>
      </w:pPr>
      <w:r>
        <w:rPr>
          <w:rStyle w:val="FootnoteReference"/>
        </w:rPr>
        <w:footnoteRef/>
      </w:r>
      <w:r>
        <w:t xml:space="preserve"> EIA, </w:t>
      </w:r>
      <w:hyperlink r:id="rId98" w:history="1">
        <w:r>
          <w:rPr>
            <w:rStyle w:val="Hyperlink"/>
          </w:rPr>
          <w:t>Capital Costs and Performance Characteristic Estimates for Utility Scale Electric Power Technologies</w:t>
        </w:r>
      </w:hyperlink>
      <w:r>
        <w:t xml:space="preserve"> (February 2020).</w:t>
      </w:r>
    </w:p>
  </w:footnote>
  <w:footnote w:id="144">
    <w:p w:rsidR="005C5D9A" w:rsidRDefault="005C5D9A" w:rsidP="00DB3A74">
      <w:pPr>
        <w:spacing w:after="80" w:line="240" w:lineRule="auto"/>
        <w:rPr>
          <w:rFonts w:cs="Arial"/>
          <w:sz w:val="18"/>
          <w:szCs w:val="18"/>
        </w:rPr>
      </w:pPr>
      <w:r>
        <w:rPr>
          <w:rStyle w:val="FootnoteReference"/>
          <w:rFonts w:cs="Arial"/>
          <w:sz w:val="18"/>
          <w:szCs w:val="18"/>
        </w:rPr>
        <w:footnoteRef/>
      </w:r>
      <w:r>
        <w:rPr>
          <w:rFonts w:cs="Arial"/>
          <w:sz w:val="18"/>
          <w:szCs w:val="18"/>
        </w:rPr>
        <w:t xml:space="preserve"> ISO New England, “</w:t>
      </w:r>
      <w:hyperlink r:id="rId99" w:history="1">
        <w:r>
          <w:rPr>
            <w:rStyle w:val="Hyperlink"/>
            <w:rFonts w:cs="Arial"/>
            <w:sz w:val="18"/>
            <w:szCs w:val="18"/>
          </w:rPr>
          <w:t>Presentations, Speeches, and Other Materials</w:t>
        </w:r>
      </w:hyperlink>
      <w:r>
        <w:rPr>
          <w:rFonts w:cs="Arial"/>
          <w:sz w:val="18"/>
          <w:szCs w:val="18"/>
        </w:rPr>
        <w:t>,” webpage, “External Affairs Monthly Issues Memo” filter by document type.</w:t>
      </w:r>
    </w:p>
  </w:footnote>
  <w:footnote w:id="145">
    <w:p w:rsidR="005C5D9A" w:rsidRDefault="005C5D9A" w:rsidP="00DB3A74">
      <w:pPr>
        <w:pStyle w:val="FootnoteText"/>
        <w:rPr>
          <w:rFonts w:cs="Arial"/>
          <w:szCs w:val="18"/>
        </w:rPr>
      </w:pPr>
      <w:r>
        <w:rPr>
          <w:rStyle w:val="FootnoteReference"/>
          <w:rFonts w:cs="Arial"/>
          <w:szCs w:val="18"/>
        </w:rPr>
        <w:footnoteRef/>
      </w:r>
      <w:r>
        <w:rPr>
          <w:rFonts w:cs="Arial"/>
          <w:szCs w:val="18"/>
        </w:rPr>
        <w:t xml:space="preserve"> The end-user sector in the NEPOOL stakeholder process and the ISO stakeholder committees also convey consumer interests. </w:t>
      </w:r>
    </w:p>
  </w:footnote>
  <w:footnote w:id="146">
    <w:p w:rsidR="005C5D9A" w:rsidRDefault="005C5D9A" w:rsidP="00DB3A74">
      <w:pPr>
        <w:pStyle w:val="FootnoteText"/>
      </w:pPr>
      <w:r>
        <w:rPr>
          <w:rStyle w:val="FootnoteReference"/>
        </w:rPr>
        <w:footnoteRef/>
      </w:r>
      <w:r>
        <w:t xml:space="preserve"> CT DEEP, “</w:t>
      </w:r>
      <w:hyperlink r:id="rId100" w:history="1">
        <w:r>
          <w:rPr>
            <w:rStyle w:val="Hyperlink"/>
          </w:rPr>
          <w:t>Energy Filings</w:t>
        </w:r>
      </w:hyperlink>
      <w:r>
        <w:t>,” webpage; see Procurement of Clean Energy and Renewable Resources Pursuant to Public Acts 13-303, 15-107 and 17-144 (n.d.).</w:t>
      </w:r>
    </w:p>
  </w:footnote>
  <w:footnote w:id="147">
    <w:p w:rsidR="005C5D9A" w:rsidRDefault="005C5D9A" w:rsidP="00DB3A74">
      <w:pPr>
        <w:pStyle w:val="FootnoteText"/>
      </w:pPr>
      <w:r>
        <w:rPr>
          <w:rStyle w:val="FootnoteReference"/>
        </w:rPr>
        <w:footnoteRef/>
      </w:r>
      <w:r>
        <w:t xml:space="preserve"> CT DEEP, “</w:t>
      </w:r>
      <w:hyperlink r:id="rId101" w:history="1">
        <w:r>
          <w:rPr>
            <w:rStyle w:val="Hyperlink"/>
          </w:rPr>
          <w:t>Energy Filings</w:t>
        </w:r>
      </w:hyperlink>
      <w:r>
        <w:t>,” webpage, see Procurement for Zero-Carbon Resources Pursuant to CT General Statutes – 16a-3m (n.d.)</w:t>
      </w:r>
      <w:r>
        <w:rPr>
          <w:rStyle w:val="Hyperlink"/>
        </w:rPr>
        <w:t>.</w:t>
      </w:r>
      <w:r>
        <w:t xml:space="preserve"> </w:t>
      </w:r>
    </w:p>
  </w:footnote>
  <w:footnote w:id="148">
    <w:p w:rsidR="005C5D9A" w:rsidRDefault="005C5D9A" w:rsidP="00DB3A74">
      <w:pPr>
        <w:pStyle w:val="FootnoteText"/>
      </w:pPr>
      <w:r>
        <w:rPr>
          <w:rStyle w:val="FootnoteReference"/>
        </w:rPr>
        <w:footnoteRef/>
      </w:r>
      <w:r>
        <w:t xml:space="preserve"> CT DEEP, “</w:t>
      </w:r>
      <w:hyperlink r:id="rId102" w:history="1">
        <w:r>
          <w:rPr>
            <w:rStyle w:val="Hyperlink"/>
          </w:rPr>
          <w:t>Energy Filings</w:t>
        </w:r>
      </w:hyperlink>
      <w:r>
        <w:t>,” webpage, see Public Act 19-71 – Section 1—Procurement of Offshore Wind Facilities (n.d.).</w:t>
      </w:r>
    </w:p>
  </w:footnote>
  <w:footnote w:id="149">
    <w:p w:rsidR="005C5D9A" w:rsidRPr="00175FE8" w:rsidRDefault="005C5D9A" w:rsidP="00B12B27">
      <w:pPr>
        <w:pStyle w:val="FootnoteText"/>
        <w:rPr>
          <w:i/>
          <w:szCs w:val="18"/>
        </w:rPr>
      </w:pPr>
      <w:r w:rsidRPr="00D04E3D">
        <w:rPr>
          <w:rStyle w:val="FootnoteReference"/>
          <w:szCs w:val="18"/>
        </w:rPr>
        <w:footnoteRef/>
      </w:r>
      <w:r w:rsidRPr="00D04E3D">
        <w:rPr>
          <w:szCs w:val="18"/>
        </w:rPr>
        <w:t xml:space="preserve"> 129th Maine Legislature, First Legislative Session—2019, </w:t>
      </w:r>
      <w:r w:rsidRPr="00D04E3D">
        <w:rPr>
          <w:i/>
          <w:szCs w:val="18"/>
        </w:rPr>
        <w:t>An Act To Reform Maine’s Renewable Portfolio Standard</w:t>
      </w:r>
      <w:r w:rsidRPr="00D04E3D">
        <w:rPr>
          <w:szCs w:val="18"/>
        </w:rPr>
        <w:t>,</w:t>
      </w:r>
      <w:r w:rsidRPr="00175FE8">
        <w:rPr>
          <w:szCs w:val="18"/>
        </w:rPr>
        <w:t xml:space="preserve"> L.D. 1494</w:t>
      </w:r>
      <w:r>
        <w:rPr>
          <w:szCs w:val="18"/>
        </w:rPr>
        <w:t xml:space="preserve"> (April 4, 2019), </w:t>
      </w:r>
      <w:hyperlink r:id="rId103" w:history="1">
        <w:r w:rsidRPr="00292B79">
          <w:rPr>
            <w:rStyle w:val="Hyperlink"/>
            <w:szCs w:val="18"/>
          </w:rPr>
          <w:t>http://legislature.maine.gov/bills/display_ps.asp?PID=1456&amp;snum=129&amp;paper=SP0457</w:t>
        </w:r>
      </w:hyperlink>
      <w:r>
        <w:rPr>
          <w:szCs w:val="18"/>
        </w:rPr>
        <w:t>.</w:t>
      </w:r>
      <w:r w:rsidRPr="00175FE8">
        <w:rPr>
          <w:szCs w:val="18"/>
        </w:rPr>
        <w:t xml:space="preserve"> </w:t>
      </w:r>
    </w:p>
  </w:footnote>
  <w:footnote w:id="150">
    <w:p w:rsidR="005C5D9A" w:rsidRPr="009D6317" w:rsidRDefault="005C5D9A" w:rsidP="00B12B27">
      <w:pPr>
        <w:pStyle w:val="FootnoteText"/>
        <w:rPr>
          <w:szCs w:val="18"/>
        </w:rPr>
      </w:pPr>
      <w:r w:rsidRPr="009D6317">
        <w:rPr>
          <w:rStyle w:val="FootnoteReference"/>
          <w:szCs w:val="18"/>
        </w:rPr>
        <w:footnoteRef/>
      </w:r>
      <w:r w:rsidRPr="009D6317">
        <w:rPr>
          <w:szCs w:val="18"/>
        </w:rPr>
        <w:t xml:space="preserve"> M</w:t>
      </w:r>
      <w:r>
        <w:rPr>
          <w:szCs w:val="18"/>
        </w:rPr>
        <w:t>E PUC</w:t>
      </w:r>
      <w:r w:rsidRPr="009D6317">
        <w:rPr>
          <w:szCs w:val="18"/>
        </w:rPr>
        <w:t>,</w:t>
      </w:r>
      <w:r w:rsidRPr="009D6317">
        <w:rPr>
          <w:i/>
          <w:szCs w:val="18"/>
        </w:rPr>
        <w:t xml:space="preserve"> Order Granting Certificate of Public Convenience and Necessity and Approving Stipulation </w:t>
      </w:r>
      <w:r w:rsidRPr="009D6317">
        <w:rPr>
          <w:szCs w:val="18"/>
        </w:rPr>
        <w:t xml:space="preserve">(May 3, 2019), </w:t>
      </w:r>
      <w:hyperlink r:id="rId104" w:history="1">
        <w:r w:rsidRPr="009D6317">
          <w:rPr>
            <w:rStyle w:val="Hyperlink"/>
            <w:szCs w:val="18"/>
          </w:rPr>
          <w:t>https://mpuc-cms.maine.gov/CQM.Public.WebUI/Common/CaseMaster.aspx?CaseNumber=2017-00232</w:t>
        </w:r>
      </w:hyperlink>
      <w:r w:rsidRPr="009D6317">
        <w:rPr>
          <w:rStyle w:val="Hyperlink"/>
          <w:szCs w:val="18"/>
        </w:rPr>
        <w:t>.</w:t>
      </w:r>
    </w:p>
  </w:footnote>
  <w:footnote w:id="151">
    <w:p w:rsidR="005C5D9A" w:rsidRPr="009D6317" w:rsidRDefault="005C5D9A" w:rsidP="008E4790">
      <w:pPr>
        <w:pStyle w:val="FootnoteText"/>
        <w:rPr>
          <w:szCs w:val="18"/>
        </w:rPr>
      </w:pPr>
      <w:r w:rsidRPr="009F2F3F">
        <w:rPr>
          <w:rStyle w:val="FootnoteReference"/>
          <w:szCs w:val="18"/>
        </w:rPr>
        <w:footnoteRef/>
      </w:r>
      <w:r w:rsidRPr="009F2F3F">
        <w:rPr>
          <w:szCs w:val="18"/>
        </w:rPr>
        <w:t xml:space="preserve"> </w:t>
      </w:r>
      <w:r w:rsidRPr="009D6317">
        <w:rPr>
          <w:szCs w:val="18"/>
        </w:rPr>
        <w:t xml:space="preserve">NH </w:t>
      </w:r>
      <w:r>
        <w:rPr>
          <w:szCs w:val="18"/>
        </w:rPr>
        <w:t>Office of Strategic Initiatives, “</w:t>
      </w:r>
      <w:r w:rsidRPr="009D6317">
        <w:rPr>
          <w:szCs w:val="18"/>
        </w:rPr>
        <w:t>Offshore Renewable Energy Task Force,</w:t>
      </w:r>
      <w:r>
        <w:rPr>
          <w:szCs w:val="18"/>
        </w:rPr>
        <w:t xml:space="preserve">” webpage (2017), </w:t>
      </w:r>
      <w:hyperlink r:id="rId105" w:history="1">
        <w:r w:rsidRPr="009D6317">
          <w:rPr>
            <w:rStyle w:val="Hyperlink"/>
            <w:szCs w:val="18"/>
          </w:rPr>
          <w:t>https://www.nh.gov/osi/special-projects/offshore-renewable.htm</w:t>
        </w:r>
      </w:hyperlink>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945B03" w:rsidRDefault="005C5D9A" w:rsidP="00E45D72">
    <w:pPr>
      <w:tabs>
        <w:tab w:val="center" w:pos="4320"/>
        <w:tab w:val="right" w:pos="8640"/>
      </w:tabs>
      <w:spacing w:after="360" w:line="240" w:lineRule="auto"/>
      <w:jc w:val="center"/>
      <w:rPr>
        <w:rFonts w:eastAsia="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945B03" w:rsidRDefault="005C5D9A" w:rsidP="00140C0E">
    <w:pPr>
      <w:tabs>
        <w:tab w:val="center" w:pos="4320"/>
        <w:tab w:val="right" w:pos="8640"/>
      </w:tabs>
      <w:spacing w:after="360" w:line="240" w:lineRule="auto"/>
      <w:rPr>
        <w:rFonts w:eastAsia="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4A255F" w:rsidRDefault="005C5D9A" w:rsidP="00E45D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2E2CAC" w:rsidRDefault="005C5D9A" w:rsidP="007B31B4">
    <w:pPr>
      <w:tabs>
        <w:tab w:val="center" w:pos="4320"/>
        <w:tab w:val="right" w:pos="8640"/>
      </w:tabs>
      <w:spacing w:after="360" w:line="240" w:lineRule="auto"/>
      <w:jc w:val="center"/>
      <w:rPr>
        <w:rFonts w:eastAsia="Times New Roman"/>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D9A" w:rsidRPr="001D2A17" w:rsidRDefault="005C5D9A" w:rsidP="001D2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15:restartNumberingAfterBreak="0">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15:restartNumberingAfterBreak="0">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15:restartNumberingAfterBreak="0">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15:restartNumberingAfterBreak="0">
    <w:nsid w:val="030C18B3"/>
    <w:multiLevelType w:val="multilevel"/>
    <w:tmpl w:val="DF08D8F4"/>
    <w:lvl w:ilvl="0">
      <w:start w:val="1"/>
      <w:numFmt w:val="decimal"/>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1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0" w15:restartNumberingAfterBreak="0">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11" w15:restartNumberingAfterBreak="0">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DC242E"/>
    <w:multiLevelType w:val="hybridMultilevel"/>
    <w:tmpl w:val="A20C269E"/>
    <w:lvl w:ilvl="0" w:tplc="4D9A9D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67E05"/>
    <w:multiLevelType w:val="hybridMultilevel"/>
    <w:tmpl w:val="E3280350"/>
    <w:lvl w:ilvl="0" w:tplc="F0022878">
      <w:start w:val="1"/>
      <w:numFmt w:val="lowerLetter"/>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14" w15:restartNumberingAfterBreak="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5D5EBC"/>
    <w:multiLevelType w:val="hybridMultilevel"/>
    <w:tmpl w:val="EC004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B44BFE"/>
    <w:multiLevelType w:val="hybridMultilevel"/>
    <w:tmpl w:val="281C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450CC7"/>
    <w:multiLevelType w:val="multilevel"/>
    <w:tmpl w:val="BD32DAC8"/>
    <w:numStyleLink w:val="CurrentList15"/>
  </w:abstractNum>
  <w:abstractNum w:abstractNumId="20" w15:restartNumberingAfterBreak="0">
    <w:nsid w:val="146A6811"/>
    <w:multiLevelType w:val="hybridMultilevel"/>
    <w:tmpl w:val="D55EFD88"/>
    <w:lvl w:ilvl="0" w:tplc="66FA0F78">
      <w:start w:val="1"/>
      <w:numFmt w:val="low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1" w15:restartNumberingAfterBreak="0">
    <w:nsid w:val="161C6390"/>
    <w:multiLevelType w:val="hybridMultilevel"/>
    <w:tmpl w:val="BB3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1E3576"/>
    <w:multiLevelType w:val="multilevel"/>
    <w:tmpl w:val="BD32DAC8"/>
    <w:numStyleLink w:val="CurrentList15"/>
  </w:abstractNum>
  <w:abstractNum w:abstractNumId="23" w15:restartNumberingAfterBreak="0">
    <w:nsid w:val="1B746BA7"/>
    <w:multiLevelType w:val="hybridMultilevel"/>
    <w:tmpl w:val="88D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54B29"/>
    <w:multiLevelType w:val="hybridMultilevel"/>
    <w:tmpl w:val="EDE895AA"/>
    <w:lvl w:ilvl="0" w:tplc="4BBE48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D7831CF"/>
    <w:multiLevelType w:val="multilevel"/>
    <w:tmpl w:val="C062F628"/>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6" w15:restartNumberingAfterBreak="0">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3E71601"/>
    <w:multiLevelType w:val="hybridMultilevel"/>
    <w:tmpl w:val="BC4EA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5FE3021"/>
    <w:multiLevelType w:val="hybridMultilevel"/>
    <w:tmpl w:val="4D344C34"/>
    <w:lvl w:ilvl="0" w:tplc="B32059EA">
      <w:start w:val="1"/>
      <w:numFmt w:val="lowerLetter"/>
      <w:lvlText w:val="(%1)"/>
      <w:lvlJc w:val="left"/>
      <w:pPr>
        <w:ind w:left="720" w:hanging="36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79E0851"/>
    <w:multiLevelType w:val="multilevel"/>
    <w:tmpl w:val="2526A2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810" w:hanging="360"/>
      </w:pPr>
      <w:rPr>
        <w:rFonts w:asciiTheme="minorHAnsi" w:eastAsia="Times New Roman" w:hAnsiTheme="minorHAnsi" w:cs="Arial" w:hint="default"/>
      </w:rPr>
    </w:lvl>
    <w:lvl w:ilvl="2">
      <w:start w:val="1"/>
      <w:numFmt w:val="lowerLetter"/>
      <w:lvlText w:val="(%3)"/>
      <w:lvlJc w:val="left"/>
      <w:pPr>
        <w:ind w:left="2160" w:hanging="360"/>
      </w:pPr>
      <w:rPr>
        <w:rFonts w:hint="default"/>
        <w:b w:val="0"/>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C8350A1"/>
    <w:multiLevelType w:val="hybridMultilevel"/>
    <w:tmpl w:val="0F2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A5004A"/>
    <w:multiLevelType w:val="hybridMultilevel"/>
    <w:tmpl w:val="C9520104"/>
    <w:lvl w:ilvl="0" w:tplc="1B12C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17B07F3"/>
    <w:multiLevelType w:val="hybridMultilevel"/>
    <w:tmpl w:val="34DA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E57F9E"/>
    <w:multiLevelType w:val="hybridMultilevel"/>
    <w:tmpl w:val="455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F7591"/>
    <w:multiLevelType w:val="hybridMultilevel"/>
    <w:tmpl w:val="53E4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CB32BA"/>
    <w:multiLevelType w:val="hybridMultilevel"/>
    <w:tmpl w:val="7066666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1" w15:restartNumberingAfterBreak="0">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F27623B"/>
    <w:multiLevelType w:val="hybridMultilevel"/>
    <w:tmpl w:val="48D2F552"/>
    <w:lvl w:ilvl="0" w:tplc="21FE585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4" w15:restartNumberingAfterBreak="0">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5" w15:restartNumberingAfterBreak="0">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4F73D5A"/>
    <w:multiLevelType w:val="hybridMultilevel"/>
    <w:tmpl w:val="267235BA"/>
    <w:lvl w:ilvl="0" w:tplc="AEF0B47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6A0108"/>
    <w:multiLevelType w:val="hybridMultilevel"/>
    <w:tmpl w:val="6A3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EAF2E49"/>
    <w:multiLevelType w:val="hybridMultilevel"/>
    <w:tmpl w:val="E6D28F6C"/>
    <w:lvl w:ilvl="0" w:tplc="B32059EA">
      <w:start w:val="1"/>
      <w:numFmt w:val="lowerLetter"/>
      <w:lvlText w:val="(%1)"/>
      <w:lvlJc w:val="left"/>
      <w:pPr>
        <w:ind w:left="720" w:hanging="36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8D0C48"/>
    <w:multiLevelType w:val="hybridMultilevel"/>
    <w:tmpl w:val="BB3433D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7C0177"/>
    <w:multiLevelType w:val="multilevel"/>
    <w:tmpl w:val="BD32DAC8"/>
    <w:styleLink w:val="CurrentList15"/>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3" w15:restartNumberingAfterBreak="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3D5F92"/>
    <w:multiLevelType w:val="hybridMultilevel"/>
    <w:tmpl w:val="5502A89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15:restartNumberingAfterBreak="0">
    <w:nsid w:val="771A708B"/>
    <w:multiLevelType w:val="hybridMultilevel"/>
    <w:tmpl w:val="BBFE7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7C060F6"/>
    <w:multiLevelType w:val="multilevel"/>
    <w:tmpl w:val="72B03366"/>
    <w:lvl w:ilvl="0">
      <w:start w:val="1"/>
      <w:numFmt w:val="decimal"/>
      <w:pStyle w:val="Heading1"/>
      <w:suff w:val="space"/>
      <w:lvlText w:val="Chapter %1: "/>
      <w:lvlJc w:val="left"/>
      <w:pPr>
        <w:ind w:left="0" w:firstLine="0"/>
      </w:pPr>
      <w:rPr>
        <w:rFonts w:ascii="Arial" w:hAnsi="Arial" w:cs="Times New Roman" w:hint="default"/>
        <w:b/>
        <w:sz w:val="36"/>
      </w:rPr>
    </w:lvl>
    <w:lvl w:ilvl="1">
      <w:start w:val="1"/>
      <w:numFmt w:val="decimal"/>
      <w:pStyle w:val="Heading2"/>
      <w:suff w:val="space"/>
      <w:lvlText w:val="%1.%2 "/>
      <w:lvlJc w:val="left"/>
      <w:pPr>
        <w:ind w:left="0" w:firstLine="0"/>
      </w:pPr>
      <w:rPr>
        <w:rFonts w:ascii="Calibri" w:hAnsi="Calibri" w:cs="Calibri" w:hint="default"/>
        <w:b/>
        <w:sz w:val="40"/>
        <w:szCs w:val="40"/>
      </w:rPr>
    </w:lvl>
    <w:lvl w:ilvl="2">
      <w:start w:val="1"/>
      <w:numFmt w:val="decimal"/>
      <w:pStyle w:val="Heading3"/>
      <w:suff w:val="space"/>
      <w:lvlText w:val="%1.%2.%3 "/>
      <w:lvlJc w:val="left"/>
      <w:pPr>
        <w:ind w:left="0" w:firstLine="0"/>
      </w:pPr>
      <w:rPr>
        <w:rFonts w:ascii="Calibri" w:hAnsi="Calibri" w:cs="Calibri" w:hint="default"/>
        <w:b/>
        <w:i w:val="0"/>
        <w:sz w:val="36"/>
        <w:szCs w:val="36"/>
      </w:rPr>
    </w:lvl>
    <w:lvl w:ilvl="3">
      <w:start w:val="1"/>
      <w:numFmt w:val="decimal"/>
      <w:pStyle w:val="Heading4"/>
      <w:suff w:val="space"/>
      <w:lvlText w:val="%1.%2.%3.%4 "/>
      <w:lvlJc w:val="left"/>
      <w:pPr>
        <w:ind w:left="0" w:firstLine="0"/>
      </w:pPr>
      <w:rPr>
        <w:rFonts w:ascii="Calibri" w:hAnsi="Calibri" w:cs="Calibri" w:hint="default"/>
        <w:b/>
        <w:i/>
        <w:sz w:val="32"/>
        <w:szCs w:val="20"/>
      </w:rPr>
    </w:lvl>
    <w:lvl w:ilvl="4">
      <w:start w:val="1"/>
      <w:numFmt w:val="decimal"/>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7" w15:restartNumberingAfterBreak="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B87DF3"/>
    <w:multiLevelType w:val="hybridMultilevel"/>
    <w:tmpl w:val="30EAF75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7"/>
  </w:num>
  <w:num w:numId="2">
    <w:abstractNumId w:val="39"/>
  </w:num>
  <w:num w:numId="3">
    <w:abstractNumId w:val="51"/>
  </w:num>
  <w:num w:numId="4">
    <w:abstractNumId w:val="58"/>
  </w:num>
  <w:num w:numId="5">
    <w:abstractNumId w:val="57"/>
  </w:num>
  <w:num w:numId="6">
    <w:abstractNumId w:val="38"/>
  </w:num>
  <w:num w:numId="7">
    <w:abstractNumId w:val="35"/>
  </w:num>
  <w:num w:numId="8">
    <w:abstractNumId w:val="16"/>
  </w:num>
  <w:num w:numId="9">
    <w:abstractNumId w:val="48"/>
  </w:num>
  <w:num w:numId="10">
    <w:abstractNumId w:val="59"/>
  </w:num>
  <w:num w:numId="11">
    <w:abstractNumId w:val="52"/>
  </w:num>
  <w:num w:numId="12">
    <w:abstractNumId w:val="53"/>
  </w:num>
  <w:num w:numId="13">
    <w:abstractNumId w:val="50"/>
  </w:num>
  <w:num w:numId="14">
    <w:abstractNumId w:val="42"/>
  </w:num>
  <w:num w:numId="15">
    <w:abstractNumId w:val="45"/>
  </w:num>
  <w:num w:numId="16">
    <w:abstractNumId w:val="11"/>
  </w:num>
  <w:num w:numId="17">
    <w:abstractNumId w:val="18"/>
  </w:num>
  <w:num w:numId="18">
    <w:abstractNumId w:val="15"/>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14"/>
  </w:num>
  <w:num w:numId="30">
    <w:abstractNumId w:val="31"/>
  </w:num>
  <w:num w:numId="31">
    <w:abstractNumId w:val="46"/>
  </w:num>
  <w:num w:numId="32">
    <w:abstractNumId w:val="41"/>
  </w:num>
  <w:num w:numId="33">
    <w:abstractNumId w:val="9"/>
  </w:num>
  <w:num w:numId="34">
    <w:abstractNumId w:val="10"/>
  </w:num>
  <w:num w:numId="35">
    <w:abstractNumId w:val="44"/>
  </w:num>
  <w:num w:numId="36">
    <w:abstractNumId w:val="23"/>
  </w:num>
  <w:num w:numId="37">
    <w:abstractNumId w:val="43"/>
  </w:num>
  <w:num w:numId="38">
    <w:abstractNumId w:val="13"/>
  </w:num>
  <w:num w:numId="39">
    <w:abstractNumId w:val="60"/>
  </w:num>
  <w:num w:numId="40">
    <w:abstractNumId w:val="32"/>
  </w:num>
  <w:num w:numId="41">
    <w:abstractNumId w:val="34"/>
  </w:num>
  <w:num w:numId="42">
    <w:abstractNumId w:val="36"/>
  </w:num>
  <w:num w:numId="43">
    <w:abstractNumId w:val="21"/>
  </w:num>
  <w:num w:numId="44">
    <w:abstractNumId w:val="37"/>
  </w:num>
  <w:num w:numId="45">
    <w:abstractNumId w:val="55"/>
  </w:num>
  <w:num w:numId="46">
    <w:abstractNumId w:val="49"/>
  </w:num>
  <w:num w:numId="47">
    <w:abstractNumId w:val="25"/>
  </w:num>
  <w:num w:numId="48">
    <w:abstractNumId w:val="27"/>
  </w:num>
  <w:num w:numId="49">
    <w:abstractNumId w:val="47"/>
  </w:num>
  <w:num w:numId="50">
    <w:abstractNumId w:val="4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33"/>
  </w:num>
  <w:num w:numId="58">
    <w:abstractNumId w:val="17"/>
  </w:num>
  <w:num w:numId="59">
    <w:abstractNumId w:val="12"/>
  </w:num>
  <w:num w:numId="60">
    <w:abstractNumId w:val="56"/>
  </w:num>
  <w:num w:numId="61">
    <w:abstractNumId w:val="56"/>
    <w:lvlOverride w:ilvl="0">
      <w:lvl w:ilvl="0">
        <w:start w:val="1"/>
        <w:numFmt w:val="decimal"/>
        <w:pStyle w:val="Heading1"/>
        <w:suff w:val="space"/>
        <w:lvlText w:val="Chapter %1:"/>
        <w:lvlJc w:val="left"/>
        <w:pPr>
          <w:ind w:left="0" w:firstLine="0"/>
        </w:pPr>
        <w:rPr>
          <w:rFonts w:ascii="Arial" w:hAnsi="Arial" w:cs="Times New Roman" w:hint="default"/>
          <w:b/>
          <w:sz w:val="36"/>
        </w:rPr>
      </w:lvl>
    </w:lvlOverride>
    <w:lvlOverride w:ilvl="1">
      <w:lvl w:ilvl="1">
        <w:start w:val="1"/>
        <w:numFmt w:val="decimal"/>
        <w:pStyle w:val="Heading2"/>
        <w:suff w:val="space"/>
        <w:lvlText w:val="%1.%2"/>
        <w:lvlJc w:val="left"/>
        <w:pPr>
          <w:ind w:left="0" w:firstLine="0"/>
        </w:pPr>
        <w:rPr>
          <w:rFonts w:ascii="Arial" w:hAnsi="Arial" w:cs="Times New Roman" w:hint="default"/>
          <w:b/>
          <w:sz w:val="24"/>
        </w:rPr>
      </w:lvl>
    </w:lvlOverride>
    <w:lvlOverride w:ilvl="2">
      <w:lvl w:ilvl="2">
        <w:start w:val="1"/>
        <w:numFmt w:val="decimal"/>
        <w:pStyle w:val="Heading3"/>
        <w:suff w:val="space"/>
        <w:lvlText w:val="%2.%1.%3"/>
        <w:lvlJc w:val="left"/>
        <w:pPr>
          <w:ind w:left="0" w:firstLine="0"/>
        </w:pPr>
        <w:rPr>
          <w:rFonts w:ascii="Arial" w:hAnsi="Arial" w:cs="Times New Roman" w:hint="default"/>
          <w:b/>
          <w:i w:val="0"/>
          <w:sz w:val="20"/>
          <w:szCs w:val="20"/>
        </w:rPr>
      </w:lvl>
    </w:lvlOverride>
    <w:lvlOverride w:ilvl="3">
      <w:lvl w:ilvl="3">
        <w:start w:val="1"/>
        <w:numFmt w:val="decimal"/>
        <w:pStyle w:val="Heading4"/>
        <w:suff w:val="space"/>
        <w:lvlText w:val="%1.%2.%3.%4"/>
        <w:lvlJc w:val="left"/>
        <w:pPr>
          <w:ind w:left="0" w:firstLine="0"/>
        </w:pPr>
        <w:rPr>
          <w:rFonts w:ascii="Arial" w:hAnsi="Arial" w:cs="Times New Roman" w:hint="default"/>
          <w:b w:val="0"/>
          <w:i/>
          <w:sz w:val="20"/>
          <w:szCs w:val="20"/>
        </w:rPr>
      </w:lvl>
    </w:lvlOverride>
    <w:lvlOverride w:ilvl="4">
      <w:lvl w:ilvl="4">
        <w:start w:val="1"/>
        <w:numFmt w:val="decimal"/>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2">
    <w:abstractNumId w:val="22"/>
  </w:num>
  <w:num w:numId="63">
    <w:abstractNumId w:val="19"/>
  </w:num>
  <w:num w:numId="64">
    <w:abstractNumId w:val="29"/>
  </w:num>
  <w:num w:numId="65">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BA4"/>
    <w:rsid w:val="00000033"/>
    <w:rsid w:val="00000043"/>
    <w:rsid w:val="000014EE"/>
    <w:rsid w:val="000026DD"/>
    <w:rsid w:val="00003801"/>
    <w:rsid w:val="00004174"/>
    <w:rsid w:val="000048B9"/>
    <w:rsid w:val="000053F4"/>
    <w:rsid w:val="00011DD6"/>
    <w:rsid w:val="00014055"/>
    <w:rsid w:val="000169FB"/>
    <w:rsid w:val="00021329"/>
    <w:rsid w:val="00036069"/>
    <w:rsid w:val="00036BDA"/>
    <w:rsid w:val="000418C3"/>
    <w:rsid w:val="000444D6"/>
    <w:rsid w:val="00046F89"/>
    <w:rsid w:val="0004771C"/>
    <w:rsid w:val="00050DE4"/>
    <w:rsid w:val="0005202D"/>
    <w:rsid w:val="00053C29"/>
    <w:rsid w:val="00054C0E"/>
    <w:rsid w:val="00057AEF"/>
    <w:rsid w:val="0006228C"/>
    <w:rsid w:val="00062ADF"/>
    <w:rsid w:val="00063B02"/>
    <w:rsid w:val="00065482"/>
    <w:rsid w:val="000659EB"/>
    <w:rsid w:val="00066688"/>
    <w:rsid w:val="000671A0"/>
    <w:rsid w:val="00067629"/>
    <w:rsid w:val="000704B5"/>
    <w:rsid w:val="00074881"/>
    <w:rsid w:val="00074DF2"/>
    <w:rsid w:val="000759FF"/>
    <w:rsid w:val="00076689"/>
    <w:rsid w:val="00080409"/>
    <w:rsid w:val="00081B7D"/>
    <w:rsid w:val="000824FE"/>
    <w:rsid w:val="000829E4"/>
    <w:rsid w:val="0008531A"/>
    <w:rsid w:val="000901FF"/>
    <w:rsid w:val="000929F5"/>
    <w:rsid w:val="00092D8D"/>
    <w:rsid w:val="00093F74"/>
    <w:rsid w:val="00097B88"/>
    <w:rsid w:val="00097BF3"/>
    <w:rsid w:val="000A3714"/>
    <w:rsid w:val="000A4088"/>
    <w:rsid w:val="000A7564"/>
    <w:rsid w:val="000B263B"/>
    <w:rsid w:val="000B2882"/>
    <w:rsid w:val="000B3334"/>
    <w:rsid w:val="000B4417"/>
    <w:rsid w:val="000C0499"/>
    <w:rsid w:val="000C3748"/>
    <w:rsid w:val="000C4F75"/>
    <w:rsid w:val="000C5F00"/>
    <w:rsid w:val="000D1F1E"/>
    <w:rsid w:val="000D27F9"/>
    <w:rsid w:val="000D3694"/>
    <w:rsid w:val="000D4A97"/>
    <w:rsid w:val="000D65F1"/>
    <w:rsid w:val="000E451F"/>
    <w:rsid w:val="000E46C2"/>
    <w:rsid w:val="000F0FF2"/>
    <w:rsid w:val="000F1149"/>
    <w:rsid w:val="000F1AA0"/>
    <w:rsid w:val="000F2076"/>
    <w:rsid w:val="000F669C"/>
    <w:rsid w:val="000F7977"/>
    <w:rsid w:val="00101C3B"/>
    <w:rsid w:val="00101F74"/>
    <w:rsid w:val="00110D9A"/>
    <w:rsid w:val="0011141F"/>
    <w:rsid w:val="00113A15"/>
    <w:rsid w:val="00114E92"/>
    <w:rsid w:val="00115F25"/>
    <w:rsid w:val="00117A34"/>
    <w:rsid w:val="0012265A"/>
    <w:rsid w:val="00124357"/>
    <w:rsid w:val="001249CF"/>
    <w:rsid w:val="00124D0E"/>
    <w:rsid w:val="001259B4"/>
    <w:rsid w:val="00127AE3"/>
    <w:rsid w:val="00130546"/>
    <w:rsid w:val="00132169"/>
    <w:rsid w:val="0013250D"/>
    <w:rsid w:val="00134841"/>
    <w:rsid w:val="00134A35"/>
    <w:rsid w:val="001366BE"/>
    <w:rsid w:val="00136954"/>
    <w:rsid w:val="00136E16"/>
    <w:rsid w:val="00137648"/>
    <w:rsid w:val="00140C0E"/>
    <w:rsid w:val="001419DB"/>
    <w:rsid w:val="00142A88"/>
    <w:rsid w:val="001431AE"/>
    <w:rsid w:val="00143573"/>
    <w:rsid w:val="001435AC"/>
    <w:rsid w:val="00145894"/>
    <w:rsid w:val="00145EFD"/>
    <w:rsid w:val="00146A36"/>
    <w:rsid w:val="00147270"/>
    <w:rsid w:val="00150C77"/>
    <w:rsid w:val="00151A3F"/>
    <w:rsid w:val="00153B01"/>
    <w:rsid w:val="001554BC"/>
    <w:rsid w:val="001564EF"/>
    <w:rsid w:val="00157D35"/>
    <w:rsid w:val="001613B1"/>
    <w:rsid w:val="001624F6"/>
    <w:rsid w:val="001635F9"/>
    <w:rsid w:val="001659AB"/>
    <w:rsid w:val="00165EC6"/>
    <w:rsid w:val="0016708C"/>
    <w:rsid w:val="00170E14"/>
    <w:rsid w:val="00171487"/>
    <w:rsid w:val="00175CAF"/>
    <w:rsid w:val="00175F04"/>
    <w:rsid w:val="00176C87"/>
    <w:rsid w:val="001803FA"/>
    <w:rsid w:val="00180CFA"/>
    <w:rsid w:val="00182935"/>
    <w:rsid w:val="00183DF9"/>
    <w:rsid w:val="00187075"/>
    <w:rsid w:val="00191CFC"/>
    <w:rsid w:val="001922A3"/>
    <w:rsid w:val="001931D3"/>
    <w:rsid w:val="001939B1"/>
    <w:rsid w:val="001A4E75"/>
    <w:rsid w:val="001A61D9"/>
    <w:rsid w:val="001A74E2"/>
    <w:rsid w:val="001B1ADA"/>
    <w:rsid w:val="001B3CF0"/>
    <w:rsid w:val="001B5354"/>
    <w:rsid w:val="001B6F0D"/>
    <w:rsid w:val="001C0B62"/>
    <w:rsid w:val="001C0C00"/>
    <w:rsid w:val="001C18F8"/>
    <w:rsid w:val="001C204C"/>
    <w:rsid w:val="001C22EF"/>
    <w:rsid w:val="001C5231"/>
    <w:rsid w:val="001C56DB"/>
    <w:rsid w:val="001C64AD"/>
    <w:rsid w:val="001D17DC"/>
    <w:rsid w:val="001D2A17"/>
    <w:rsid w:val="001D2E89"/>
    <w:rsid w:val="001D45EF"/>
    <w:rsid w:val="001D5068"/>
    <w:rsid w:val="001D69A5"/>
    <w:rsid w:val="001D729B"/>
    <w:rsid w:val="001E101A"/>
    <w:rsid w:val="001E17F8"/>
    <w:rsid w:val="001E1968"/>
    <w:rsid w:val="001E4568"/>
    <w:rsid w:val="001E7DF5"/>
    <w:rsid w:val="001F4615"/>
    <w:rsid w:val="00201B3A"/>
    <w:rsid w:val="00204025"/>
    <w:rsid w:val="00204E1D"/>
    <w:rsid w:val="0021115A"/>
    <w:rsid w:val="0021238F"/>
    <w:rsid w:val="00213BA6"/>
    <w:rsid w:val="00217979"/>
    <w:rsid w:val="002179F3"/>
    <w:rsid w:val="0022032C"/>
    <w:rsid w:val="002205BB"/>
    <w:rsid w:val="00221C2E"/>
    <w:rsid w:val="002240F8"/>
    <w:rsid w:val="00224568"/>
    <w:rsid w:val="0022532C"/>
    <w:rsid w:val="002278AA"/>
    <w:rsid w:val="002304ED"/>
    <w:rsid w:val="0023676C"/>
    <w:rsid w:val="002367C7"/>
    <w:rsid w:val="00237A7A"/>
    <w:rsid w:val="00242967"/>
    <w:rsid w:val="00242F20"/>
    <w:rsid w:val="002451F2"/>
    <w:rsid w:val="00246EB8"/>
    <w:rsid w:val="00247F6F"/>
    <w:rsid w:val="002514A4"/>
    <w:rsid w:val="00251EAE"/>
    <w:rsid w:val="00252F52"/>
    <w:rsid w:val="0025338F"/>
    <w:rsid w:val="00256B8C"/>
    <w:rsid w:val="00261C12"/>
    <w:rsid w:val="002629EC"/>
    <w:rsid w:val="00262AF9"/>
    <w:rsid w:val="00264549"/>
    <w:rsid w:val="00270358"/>
    <w:rsid w:val="00271A60"/>
    <w:rsid w:val="002729D2"/>
    <w:rsid w:val="002734D9"/>
    <w:rsid w:val="00273721"/>
    <w:rsid w:val="002813FC"/>
    <w:rsid w:val="00281F7F"/>
    <w:rsid w:val="0028255F"/>
    <w:rsid w:val="002831E4"/>
    <w:rsid w:val="00284555"/>
    <w:rsid w:val="0028497B"/>
    <w:rsid w:val="00285ADB"/>
    <w:rsid w:val="00287B31"/>
    <w:rsid w:val="002908EA"/>
    <w:rsid w:val="002910B8"/>
    <w:rsid w:val="00295FB9"/>
    <w:rsid w:val="00296DE5"/>
    <w:rsid w:val="002A09B9"/>
    <w:rsid w:val="002A0F6E"/>
    <w:rsid w:val="002A3B5C"/>
    <w:rsid w:val="002B0C68"/>
    <w:rsid w:val="002B1BEE"/>
    <w:rsid w:val="002B2229"/>
    <w:rsid w:val="002B2BAE"/>
    <w:rsid w:val="002B3ED0"/>
    <w:rsid w:val="002B44C9"/>
    <w:rsid w:val="002B4B68"/>
    <w:rsid w:val="002B58B2"/>
    <w:rsid w:val="002C068E"/>
    <w:rsid w:val="002C4727"/>
    <w:rsid w:val="002C69A6"/>
    <w:rsid w:val="002C7F8B"/>
    <w:rsid w:val="002D3087"/>
    <w:rsid w:val="002D4EA1"/>
    <w:rsid w:val="002D52E6"/>
    <w:rsid w:val="002D6281"/>
    <w:rsid w:val="002E012C"/>
    <w:rsid w:val="002E2A50"/>
    <w:rsid w:val="002E64E1"/>
    <w:rsid w:val="002E655F"/>
    <w:rsid w:val="002E70F9"/>
    <w:rsid w:val="002E7B34"/>
    <w:rsid w:val="002E7B46"/>
    <w:rsid w:val="002F1C44"/>
    <w:rsid w:val="002F4A79"/>
    <w:rsid w:val="002F5F54"/>
    <w:rsid w:val="002F60C6"/>
    <w:rsid w:val="00307058"/>
    <w:rsid w:val="00311FEB"/>
    <w:rsid w:val="003130F0"/>
    <w:rsid w:val="00313F0D"/>
    <w:rsid w:val="00317879"/>
    <w:rsid w:val="0032013D"/>
    <w:rsid w:val="0032719A"/>
    <w:rsid w:val="003300DE"/>
    <w:rsid w:val="00335652"/>
    <w:rsid w:val="00335EB7"/>
    <w:rsid w:val="00340BE2"/>
    <w:rsid w:val="003432E5"/>
    <w:rsid w:val="003433E4"/>
    <w:rsid w:val="00343F12"/>
    <w:rsid w:val="003511BE"/>
    <w:rsid w:val="00351A73"/>
    <w:rsid w:val="0035205B"/>
    <w:rsid w:val="00353EDD"/>
    <w:rsid w:val="00355662"/>
    <w:rsid w:val="00361719"/>
    <w:rsid w:val="003654C1"/>
    <w:rsid w:val="00367EEB"/>
    <w:rsid w:val="00370FFC"/>
    <w:rsid w:val="0038130B"/>
    <w:rsid w:val="0038424A"/>
    <w:rsid w:val="00393695"/>
    <w:rsid w:val="00394363"/>
    <w:rsid w:val="003963C4"/>
    <w:rsid w:val="00396476"/>
    <w:rsid w:val="003964B2"/>
    <w:rsid w:val="003A2212"/>
    <w:rsid w:val="003A3DD9"/>
    <w:rsid w:val="003A4ABE"/>
    <w:rsid w:val="003A70C3"/>
    <w:rsid w:val="003B09EB"/>
    <w:rsid w:val="003B11A8"/>
    <w:rsid w:val="003B1F97"/>
    <w:rsid w:val="003B2317"/>
    <w:rsid w:val="003B39BC"/>
    <w:rsid w:val="003B5052"/>
    <w:rsid w:val="003B7D3C"/>
    <w:rsid w:val="003B7E4B"/>
    <w:rsid w:val="003C3307"/>
    <w:rsid w:val="003D0F54"/>
    <w:rsid w:val="003D4885"/>
    <w:rsid w:val="003D4D3F"/>
    <w:rsid w:val="003E40D8"/>
    <w:rsid w:val="003E40ED"/>
    <w:rsid w:val="003E649C"/>
    <w:rsid w:val="003F43C8"/>
    <w:rsid w:val="003F4E19"/>
    <w:rsid w:val="003F5210"/>
    <w:rsid w:val="003F6064"/>
    <w:rsid w:val="003F6425"/>
    <w:rsid w:val="003F7A78"/>
    <w:rsid w:val="00404C3F"/>
    <w:rsid w:val="004116FF"/>
    <w:rsid w:val="0041184E"/>
    <w:rsid w:val="00411D7B"/>
    <w:rsid w:val="00412A2C"/>
    <w:rsid w:val="0041378E"/>
    <w:rsid w:val="004145F4"/>
    <w:rsid w:val="00414917"/>
    <w:rsid w:val="00422AB7"/>
    <w:rsid w:val="0042409F"/>
    <w:rsid w:val="004248A1"/>
    <w:rsid w:val="004253D4"/>
    <w:rsid w:val="004267A6"/>
    <w:rsid w:val="004271E4"/>
    <w:rsid w:val="00430C93"/>
    <w:rsid w:val="00431DC2"/>
    <w:rsid w:val="004348DE"/>
    <w:rsid w:val="00437AAC"/>
    <w:rsid w:val="00441899"/>
    <w:rsid w:val="00442CC8"/>
    <w:rsid w:val="004433A3"/>
    <w:rsid w:val="00445AE4"/>
    <w:rsid w:val="00447192"/>
    <w:rsid w:val="00447FA5"/>
    <w:rsid w:val="00455C3B"/>
    <w:rsid w:val="00456657"/>
    <w:rsid w:val="00456C39"/>
    <w:rsid w:val="0046018B"/>
    <w:rsid w:val="00460E00"/>
    <w:rsid w:val="004633B4"/>
    <w:rsid w:val="00470DA2"/>
    <w:rsid w:val="00471E04"/>
    <w:rsid w:val="004729E8"/>
    <w:rsid w:val="00472DE6"/>
    <w:rsid w:val="0047300D"/>
    <w:rsid w:val="004753D6"/>
    <w:rsid w:val="00477DA2"/>
    <w:rsid w:val="0048050A"/>
    <w:rsid w:val="00483F80"/>
    <w:rsid w:val="00484C8A"/>
    <w:rsid w:val="00485D2D"/>
    <w:rsid w:val="00487535"/>
    <w:rsid w:val="0049593B"/>
    <w:rsid w:val="004959DB"/>
    <w:rsid w:val="00496814"/>
    <w:rsid w:val="00497DFA"/>
    <w:rsid w:val="004A03CF"/>
    <w:rsid w:val="004A080D"/>
    <w:rsid w:val="004A27B5"/>
    <w:rsid w:val="004A4B9F"/>
    <w:rsid w:val="004A5085"/>
    <w:rsid w:val="004A5532"/>
    <w:rsid w:val="004B0293"/>
    <w:rsid w:val="004B0664"/>
    <w:rsid w:val="004B4269"/>
    <w:rsid w:val="004B6CB0"/>
    <w:rsid w:val="004B6FB7"/>
    <w:rsid w:val="004C117C"/>
    <w:rsid w:val="004C3E12"/>
    <w:rsid w:val="004C6FD0"/>
    <w:rsid w:val="004D1220"/>
    <w:rsid w:val="004D1C24"/>
    <w:rsid w:val="004D3143"/>
    <w:rsid w:val="004D337F"/>
    <w:rsid w:val="004D4EF8"/>
    <w:rsid w:val="004D53DD"/>
    <w:rsid w:val="004D6001"/>
    <w:rsid w:val="004D78D8"/>
    <w:rsid w:val="004E0EF2"/>
    <w:rsid w:val="004E4B70"/>
    <w:rsid w:val="004E6767"/>
    <w:rsid w:val="004E7BAA"/>
    <w:rsid w:val="004F1A1C"/>
    <w:rsid w:val="004F2A2D"/>
    <w:rsid w:val="004F2D99"/>
    <w:rsid w:val="004F49F6"/>
    <w:rsid w:val="00502476"/>
    <w:rsid w:val="005032E6"/>
    <w:rsid w:val="0050486D"/>
    <w:rsid w:val="00506FFB"/>
    <w:rsid w:val="00510290"/>
    <w:rsid w:val="0051094D"/>
    <w:rsid w:val="00510D72"/>
    <w:rsid w:val="00511728"/>
    <w:rsid w:val="00512977"/>
    <w:rsid w:val="00514F2F"/>
    <w:rsid w:val="00521057"/>
    <w:rsid w:val="005211FF"/>
    <w:rsid w:val="0052193D"/>
    <w:rsid w:val="00523C49"/>
    <w:rsid w:val="00524C4A"/>
    <w:rsid w:val="00526AF5"/>
    <w:rsid w:val="00526E4C"/>
    <w:rsid w:val="0053098D"/>
    <w:rsid w:val="00533048"/>
    <w:rsid w:val="00533199"/>
    <w:rsid w:val="00534D54"/>
    <w:rsid w:val="005361CF"/>
    <w:rsid w:val="005362DE"/>
    <w:rsid w:val="0053760E"/>
    <w:rsid w:val="005379C1"/>
    <w:rsid w:val="00542162"/>
    <w:rsid w:val="00543A2D"/>
    <w:rsid w:val="005448E1"/>
    <w:rsid w:val="00545D29"/>
    <w:rsid w:val="0054637E"/>
    <w:rsid w:val="00546397"/>
    <w:rsid w:val="005464F5"/>
    <w:rsid w:val="00546615"/>
    <w:rsid w:val="00550B42"/>
    <w:rsid w:val="005533FD"/>
    <w:rsid w:val="0055434C"/>
    <w:rsid w:val="00554D47"/>
    <w:rsid w:val="00554E5A"/>
    <w:rsid w:val="00554EC2"/>
    <w:rsid w:val="00554F3C"/>
    <w:rsid w:val="00556877"/>
    <w:rsid w:val="005610BE"/>
    <w:rsid w:val="00561F94"/>
    <w:rsid w:val="00563B5F"/>
    <w:rsid w:val="005700AE"/>
    <w:rsid w:val="00572934"/>
    <w:rsid w:val="0057358E"/>
    <w:rsid w:val="00576A31"/>
    <w:rsid w:val="00583B22"/>
    <w:rsid w:val="00584446"/>
    <w:rsid w:val="00584964"/>
    <w:rsid w:val="00584F2A"/>
    <w:rsid w:val="0058675F"/>
    <w:rsid w:val="00586781"/>
    <w:rsid w:val="00590C1F"/>
    <w:rsid w:val="00591845"/>
    <w:rsid w:val="00591DD5"/>
    <w:rsid w:val="005A04F3"/>
    <w:rsid w:val="005A241F"/>
    <w:rsid w:val="005A362D"/>
    <w:rsid w:val="005A5EAD"/>
    <w:rsid w:val="005A696E"/>
    <w:rsid w:val="005B3F16"/>
    <w:rsid w:val="005B4B5B"/>
    <w:rsid w:val="005B4D6E"/>
    <w:rsid w:val="005B4DB2"/>
    <w:rsid w:val="005B4F44"/>
    <w:rsid w:val="005B779C"/>
    <w:rsid w:val="005B796F"/>
    <w:rsid w:val="005C0F82"/>
    <w:rsid w:val="005C1C97"/>
    <w:rsid w:val="005C1D39"/>
    <w:rsid w:val="005C26FB"/>
    <w:rsid w:val="005C4926"/>
    <w:rsid w:val="005C5D9A"/>
    <w:rsid w:val="005C77C1"/>
    <w:rsid w:val="005D3E3D"/>
    <w:rsid w:val="005D4ADD"/>
    <w:rsid w:val="005D5648"/>
    <w:rsid w:val="005D5CD3"/>
    <w:rsid w:val="005E0754"/>
    <w:rsid w:val="005E0889"/>
    <w:rsid w:val="005E5AB6"/>
    <w:rsid w:val="005F070E"/>
    <w:rsid w:val="005F2101"/>
    <w:rsid w:val="005F2C9B"/>
    <w:rsid w:val="005F3A6B"/>
    <w:rsid w:val="005F4708"/>
    <w:rsid w:val="005F54AB"/>
    <w:rsid w:val="005F57B6"/>
    <w:rsid w:val="005F6348"/>
    <w:rsid w:val="005F6912"/>
    <w:rsid w:val="00601622"/>
    <w:rsid w:val="006053C7"/>
    <w:rsid w:val="006060FD"/>
    <w:rsid w:val="006067E1"/>
    <w:rsid w:val="006070A9"/>
    <w:rsid w:val="00611F19"/>
    <w:rsid w:val="00612735"/>
    <w:rsid w:val="00614B78"/>
    <w:rsid w:val="00614CFB"/>
    <w:rsid w:val="006167B5"/>
    <w:rsid w:val="0061701E"/>
    <w:rsid w:val="006202EF"/>
    <w:rsid w:val="006211DD"/>
    <w:rsid w:val="006218C9"/>
    <w:rsid w:val="00622BCE"/>
    <w:rsid w:val="006238C9"/>
    <w:rsid w:val="00626F3B"/>
    <w:rsid w:val="00627698"/>
    <w:rsid w:val="00631167"/>
    <w:rsid w:val="006324EC"/>
    <w:rsid w:val="006329AD"/>
    <w:rsid w:val="00634186"/>
    <w:rsid w:val="00634B98"/>
    <w:rsid w:val="006354D2"/>
    <w:rsid w:val="00635F0D"/>
    <w:rsid w:val="0064335F"/>
    <w:rsid w:val="006438A6"/>
    <w:rsid w:val="0064431A"/>
    <w:rsid w:val="00645FD1"/>
    <w:rsid w:val="00650960"/>
    <w:rsid w:val="00652027"/>
    <w:rsid w:val="00652DA5"/>
    <w:rsid w:val="00655053"/>
    <w:rsid w:val="00655272"/>
    <w:rsid w:val="00664A5B"/>
    <w:rsid w:val="0067072D"/>
    <w:rsid w:val="006716BD"/>
    <w:rsid w:val="00673926"/>
    <w:rsid w:val="00673BFF"/>
    <w:rsid w:val="00675F2B"/>
    <w:rsid w:val="006828F4"/>
    <w:rsid w:val="00682C13"/>
    <w:rsid w:val="00684049"/>
    <w:rsid w:val="006840DB"/>
    <w:rsid w:val="0068573F"/>
    <w:rsid w:val="006859B5"/>
    <w:rsid w:val="00687EBE"/>
    <w:rsid w:val="00696587"/>
    <w:rsid w:val="006A023E"/>
    <w:rsid w:val="006A12CF"/>
    <w:rsid w:val="006A180C"/>
    <w:rsid w:val="006A5437"/>
    <w:rsid w:val="006A59C9"/>
    <w:rsid w:val="006A7326"/>
    <w:rsid w:val="006B2031"/>
    <w:rsid w:val="006B28B5"/>
    <w:rsid w:val="006B3194"/>
    <w:rsid w:val="006B38CE"/>
    <w:rsid w:val="006B4216"/>
    <w:rsid w:val="006B4CDB"/>
    <w:rsid w:val="006B51A4"/>
    <w:rsid w:val="006B6C9D"/>
    <w:rsid w:val="006C1BF3"/>
    <w:rsid w:val="006C3017"/>
    <w:rsid w:val="006C61B9"/>
    <w:rsid w:val="006C6420"/>
    <w:rsid w:val="006C6CC4"/>
    <w:rsid w:val="006D0888"/>
    <w:rsid w:val="006D1464"/>
    <w:rsid w:val="006D2E82"/>
    <w:rsid w:val="006D4BBF"/>
    <w:rsid w:val="006D5CDB"/>
    <w:rsid w:val="006D5F70"/>
    <w:rsid w:val="006D7007"/>
    <w:rsid w:val="006D7B88"/>
    <w:rsid w:val="006E08FF"/>
    <w:rsid w:val="006E0ABA"/>
    <w:rsid w:val="006E0E76"/>
    <w:rsid w:val="006E104C"/>
    <w:rsid w:val="006E28E0"/>
    <w:rsid w:val="006E332D"/>
    <w:rsid w:val="006E4D8D"/>
    <w:rsid w:val="006F4148"/>
    <w:rsid w:val="006F44E3"/>
    <w:rsid w:val="006F5364"/>
    <w:rsid w:val="006F6738"/>
    <w:rsid w:val="006F6DD8"/>
    <w:rsid w:val="0070196E"/>
    <w:rsid w:val="0070212E"/>
    <w:rsid w:val="00702183"/>
    <w:rsid w:val="00703F79"/>
    <w:rsid w:val="00707BBF"/>
    <w:rsid w:val="00710624"/>
    <w:rsid w:val="00710D6E"/>
    <w:rsid w:val="00715271"/>
    <w:rsid w:val="007153DB"/>
    <w:rsid w:val="00720190"/>
    <w:rsid w:val="00720F9F"/>
    <w:rsid w:val="00721FD6"/>
    <w:rsid w:val="007221CC"/>
    <w:rsid w:val="00722C4D"/>
    <w:rsid w:val="00722E52"/>
    <w:rsid w:val="0072352D"/>
    <w:rsid w:val="00723A5E"/>
    <w:rsid w:val="00724C88"/>
    <w:rsid w:val="007267D2"/>
    <w:rsid w:val="00726DA4"/>
    <w:rsid w:val="007272BB"/>
    <w:rsid w:val="00731409"/>
    <w:rsid w:val="00734A43"/>
    <w:rsid w:val="00734A55"/>
    <w:rsid w:val="00735D65"/>
    <w:rsid w:val="007365D8"/>
    <w:rsid w:val="00736B45"/>
    <w:rsid w:val="00741619"/>
    <w:rsid w:val="00744016"/>
    <w:rsid w:val="007462DD"/>
    <w:rsid w:val="00750496"/>
    <w:rsid w:val="00750522"/>
    <w:rsid w:val="00750907"/>
    <w:rsid w:val="007514FD"/>
    <w:rsid w:val="00753CE5"/>
    <w:rsid w:val="007547A5"/>
    <w:rsid w:val="00755F38"/>
    <w:rsid w:val="007567A6"/>
    <w:rsid w:val="00757A81"/>
    <w:rsid w:val="00761411"/>
    <w:rsid w:val="00761DF6"/>
    <w:rsid w:val="0076203D"/>
    <w:rsid w:val="00762332"/>
    <w:rsid w:val="007644EB"/>
    <w:rsid w:val="00766B6A"/>
    <w:rsid w:val="00767974"/>
    <w:rsid w:val="007737A8"/>
    <w:rsid w:val="00773942"/>
    <w:rsid w:val="007741F9"/>
    <w:rsid w:val="0077467D"/>
    <w:rsid w:val="00776BA4"/>
    <w:rsid w:val="007819D9"/>
    <w:rsid w:val="00783DB2"/>
    <w:rsid w:val="007860DA"/>
    <w:rsid w:val="00792110"/>
    <w:rsid w:val="007A2833"/>
    <w:rsid w:val="007A39CE"/>
    <w:rsid w:val="007A4A55"/>
    <w:rsid w:val="007A5925"/>
    <w:rsid w:val="007B29AF"/>
    <w:rsid w:val="007B31B4"/>
    <w:rsid w:val="007B3CE4"/>
    <w:rsid w:val="007B597D"/>
    <w:rsid w:val="007B5ABE"/>
    <w:rsid w:val="007B5DE7"/>
    <w:rsid w:val="007B6BBA"/>
    <w:rsid w:val="007C00A2"/>
    <w:rsid w:val="007C1E54"/>
    <w:rsid w:val="007C43A0"/>
    <w:rsid w:val="007C7000"/>
    <w:rsid w:val="007D2161"/>
    <w:rsid w:val="007D236E"/>
    <w:rsid w:val="007D50B4"/>
    <w:rsid w:val="007D73B1"/>
    <w:rsid w:val="007D7440"/>
    <w:rsid w:val="007D7A5F"/>
    <w:rsid w:val="007E0E55"/>
    <w:rsid w:val="007E1605"/>
    <w:rsid w:val="007E5399"/>
    <w:rsid w:val="007E7EC2"/>
    <w:rsid w:val="007F043A"/>
    <w:rsid w:val="007F5547"/>
    <w:rsid w:val="007F6EF4"/>
    <w:rsid w:val="007F7C8E"/>
    <w:rsid w:val="008006ED"/>
    <w:rsid w:val="00802E12"/>
    <w:rsid w:val="008062FB"/>
    <w:rsid w:val="00806751"/>
    <w:rsid w:val="0081152A"/>
    <w:rsid w:val="00811589"/>
    <w:rsid w:val="00813FAA"/>
    <w:rsid w:val="008149DB"/>
    <w:rsid w:val="00814EAE"/>
    <w:rsid w:val="00815EBF"/>
    <w:rsid w:val="008215C9"/>
    <w:rsid w:val="00823235"/>
    <w:rsid w:val="00825C4B"/>
    <w:rsid w:val="00826181"/>
    <w:rsid w:val="00826C77"/>
    <w:rsid w:val="00827F46"/>
    <w:rsid w:val="00830005"/>
    <w:rsid w:val="00830FEE"/>
    <w:rsid w:val="00831D87"/>
    <w:rsid w:val="00832DD1"/>
    <w:rsid w:val="0083335A"/>
    <w:rsid w:val="0083372B"/>
    <w:rsid w:val="0083441B"/>
    <w:rsid w:val="00834807"/>
    <w:rsid w:val="00834C1A"/>
    <w:rsid w:val="00835ADF"/>
    <w:rsid w:val="0083608D"/>
    <w:rsid w:val="00836BED"/>
    <w:rsid w:val="008373D6"/>
    <w:rsid w:val="00837B42"/>
    <w:rsid w:val="00842185"/>
    <w:rsid w:val="00845391"/>
    <w:rsid w:val="008460AC"/>
    <w:rsid w:val="00846549"/>
    <w:rsid w:val="00851952"/>
    <w:rsid w:val="00852785"/>
    <w:rsid w:val="00853CE5"/>
    <w:rsid w:val="0085686C"/>
    <w:rsid w:val="008600E6"/>
    <w:rsid w:val="00861B74"/>
    <w:rsid w:val="00862293"/>
    <w:rsid w:val="00863D0B"/>
    <w:rsid w:val="008652E4"/>
    <w:rsid w:val="0086554D"/>
    <w:rsid w:val="0086692C"/>
    <w:rsid w:val="00867F96"/>
    <w:rsid w:val="00872E4A"/>
    <w:rsid w:val="00873B49"/>
    <w:rsid w:val="00875B45"/>
    <w:rsid w:val="008764E6"/>
    <w:rsid w:val="00876B1C"/>
    <w:rsid w:val="00877C97"/>
    <w:rsid w:val="008809B0"/>
    <w:rsid w:val="0088137E"/>
    <w:rsid w:val="00881ED8"/>
    <w:rsid w:val="00882791"/>
    <w:rsid w:val="008858DB"/>
    <w:rsid w:val="00890585"/>
    <w:rsid w:val="0089105D"/>
    <w:rsid w:val="00891476"/>
    <w:rsid w:val="0089412C"/>
    <w:rsid w:val="008A0885"/>
    <w:rsid w:val="008A0C05"/>
    <w:rsid w:val="008A39B6"/>
    <w:rsid w:val="008A427D"/>
    <w:rsid w:val="008A4537"/>
    <w:rsid w:val="008A60DE"/>
    <w:rsid w:val="008A6CD6"/>
    <w:rsid w:val="008B07FE"/>
    <w:rsid w:val="008B0944"/>
    <w:rsid w:val="008B3265"/>
    <w:rsid w:val="008B5F5B"/>
    <w:rsid w:val="008B7334"/>
    <w:rsid w:val="008C3FAE"/>
    <w:rsid w:val="008C7619"/>
    <w:rsid w:val="008C7789"/>
    <w:rsid w:val="008D35DE"/>
    <w:rsid w:val="008D414E"/>
    <w:rsid w:val="008E0D15"/>
    <w:rsid w:val="008E16FC"/>
    <w:rsid w:val="008E2ED9"/>
    <w:rsid w:val="008E4790"/>
    <w:rsid w:val="008E715D"/>
    <w:rsid w:val="008F0FCF"/>
    <w:rsid w:val="008F15DC"/>
    <w:rsid w:val="008F39DF"/>
    <w:rsid w:val="008F415B"/>
    <w:rsid w:val="008F54FB"/>
    <w:rsid w:val="008F5B58"/>
    <w:rsid w:val="0090085D"/>
    <w:rsid w:val="00900A38"/>
    <w:rsid w:val="00901B75"/>
    <w:rsid w:val="00906D3A"/>
    <w:rsid w:val="0090742A"/>
    <w:rsid w:val="00907DA3"/>
    <w:rsid w:val="00910DB7"/>
    <w:rsid w:val="00911360"/>
    <w:rsid w:val="0091289A"/>
    <w:rsid w:val="00917537"/>
    <w:rsid w:val="00917754"/>
    <w:rsid w:val="00921D1D"/>
    <w:rsid w:val="0092247B"/>
    <w:rsid w:val="00923427"/>
    <w:rsid w:val="0092409E"/>
    <w:rsid w:val="00925A44"/>
    <w:rsid w:val="00927183"/>
    <w:rsid w:val="00931233"/>
    <w:rsid w:val="009316C5"/>
    <w:rsid w:val="00933BD7"/>
    <w:rsid w:val="00936CA1"/>
    <w:rsid w:val="00940083"/>
    <w:rsid w:val="00942AD1"/>
    <w:rsid w:val="00944DE5"/>
    <w:rsid w:val="00946A3A"/>
    <w:rsid w:val="00947E26"/>
    <w:rsid w:val="00950EEB"/>
    <w:rsid w:val="009542C6"/>
    <w:rsid w:val="00954BB3"/>
    <w:rsid w:val="00957D85"/>
    <w:rsid w:val="00962025"/>
    <w:rsid w:val="0096253F"/>
    <w:rsid w:val="00963B61"/>
    <w:rsid w:val="009649A9"/>
    <w:rsid w:val="0097026A"/>
    <w:rsid w:val="00970DDE"/>
    <w:rsid w:val="00971262"/>
    <w:rsid w:val="0097166F"/>
    <w:rsid w:val="00973661"/>
    <w:rsid w:val="00976DB9"/>
    <w:rsid w:val="00977304"/>
    <w:rsid w:val="00980727"/>
    <w:rsid w:val="009827CB"/>
    <w:rsid w:val="00983436"/>
    <w:rsid w:val="0098444A"/>
    <w:rsid w:val="00985546"/>
    <w:rsid w:val="00985771"/>
    <w:rsid w:val="00985D44"/>
    <w:rsid w:val="00986094"/>
    <w:rsid w:val="0098794F"/>
    <w:rsid w:val="009913F1"/>
    <w:rsid w:val="0099383D"/>
    <w:rsid w:val="009963A8"/>
    <w:rsid w:val="00997878"/>
    <w:rsid w:val="009A01B6"/>
    <w:rsid w:val="009A1EF6"/>
    <w:rsid w:val="009A4374"/>
    <w:rsid w:val="009A5A7C"/>
    <w:rsid w:val="009A766C"/>
    <w:rsid w:val="009B163D"/>
    <w:rsid w:val="009B496E"/>
    <w:rsid w:val="009B7821"/>
    <w:rsid w:val="009C1856"/>
    <w:rsid w:val="009C3AF9"/>
    <w:rsid w:val="009C3E40"/>
    <w:rsid w:val="009C5E3C"/>
    <w:rsid w:val="009C69A8"/>
    <w:rsid w:val="009C6C38"/>
    <w:rsid w:val="009C7105"/>
    <w:rsid w:val="009C73A0"/>
    <w:rsid w:val="009D073E"/>
    <w:rsid w:val="009D0B1D"/>
    <w:rsid w:val="009D10C5"/>
    <w:rsid w:val="009D1DB6"/>
    <w:rsid w:val="009D20C4"/>
    <w:rsid w:val="009D2C88"/>
    <w:rsid w:val="009D5788"/>
    <w:rsid w:val="009D6A5B"/>
    <w:rsid w:val="009D6ED7"/>
    <w:rsid w:val="009D75A6"/>
    <w:rsid w:val="009E529C"/>
    <w:rsid w:val="009E7F98"/>
    <w:rsid w:val="009F1CA0"/>
    <w:rsid w:val="009F6F16"/>
    <w:rsid w:val="009F77A1"/>
    <w:rsid w:val="00A012C1"/>
    <w:rsid w:val="00A01338"/>
    <w:rsid w:val="00A0333C"/>
    <w:rsid w:val="00A03398"/>
    <w:rsid w:val="00A03497"/>
    <w:rsid w:val="00A03D4D"/>
    <w:rsid w:val="00A07324"/>
    <w:rsid w:val="00A10200"/>
    <w:rsid w:val="00A119ED"/>
    <w:rsid w:val="00A12EE3"/>
    <w:rsid w:val="00A150AF"/>
    <w:rsid w:val="00A165FC"/>
    <w:rsid w:val="00A17AC1"/>
    <w:rsid w:val="00A20C36"/>
    <w:rsid w:val="00A21896"/>
    <w:rsid w:val="00A2240F"/>
    <w:rsid w:val="00A22DFF"/>
    <w:rsid w:val="00A23A3F"/>
    <w:rsid w:val="00A25327"/>
    <w:rsid w:val="00A26426"/>
    <w:rsid w:val="00A26509"/>
    <w:rsid w:val="00A2684F"/>
    <w:rsid w:val="00A26D1B"/>
    <w:rsid w:val="00A30F84"/>
    <w:rsid w:val="00A33203"/>
    <w:rsid w:val="00A34DC5"/>
    <w:rsid w:val="00A42197"/>
    <w:rsid w:val="00A44DDC"/>
    <w:rsid w:val="00A459B5"/>
    <w:rsid w:val="00A52C03"/>
    <w:rsid w:val="00A549C5"/>
    <w:rsid w:val="00A5565B"/>
    <w:rsid w:val="00A5631A"/>
    <w:rsid w:val="00A56D16"/>
    <w:rsid w:val="00A61289"/>
    <w:rsid w:val="00A67DD1"/>
    <w:rsid w:val="00A74A5E"/>
    <w:rsid w:val="00A74AB1"/>
    <w:rsid w:val="00A76279"/>
    <w:rsid w:val="00A762B8"/>
    <w:rsid w:val="00A76CD4"/>
    <w:rsid w:val="00A7774B"/>
    <w:rsid w:val="00A77D91"/>
    <w:rsid w:val="00A803CB"/>
    <w:rsid w:val="00A815FB"/>
    <w:rsid w:val="00A8239B"/>
    <w:rsid w:val="00A83786"/>
    <w:rsid w:val="00A8418B"/>
    <w:rsid w:val="00A844B2"/>
    <w:rsid w:val="00A847E6"/>
    <w:rsid w:val="00A84A51"/>
    <w:rsid w:val="00A85176"/>
    <w:rsid w:val="00A86315"/>
    <w:rsid w:val="00A86608"/>
    <w:rsid w:val="00A86C3D"/>
    <w:rsid w:val="00A86C5C"/>
    <w:rsid w:val="00A87E45"/>
    <w:rsid w:val="00A90E0C"/>
    <w:rsid w:val="00A91661"/>
    <w:rsid w:val="00A96D90"/>
    <w:rsid w:val="00AA4E5C"/>
    <w:rsid w:val="00AA791E"/>
    <w:rsid w:val="00AA7AB0"/>
    <w:rsid w:val="00AA7CDD"/>
    <w:rsid w:val="00AB0EDC"/>
    <w:rsid w:val="00AB2A0A"/>
    <w:rsid w:val="00AB43AF"/>
    <w:rsid w:val="00AB4853"/>
    <w:rsid w:val="00AB4D3F"/>
    <w:rsid w:val="00AC066D"/>
    <w:rsid w:val="00AC1EAC"/>
    <w:rsid w:val="00AC4DDE"/>
    <w:rsid w:val="00AC4FEB"/>
    <w:rsid w:val="00AC54A2"/>
    <w:rsid w:val="00AC63CB"/>
    <w:rsid w:val="00AC7612"/>
    <w:rsid w:val="00AC787F"/>
    <w:rsid w:val="00AD00BB"/>
    <w:rsid w:val="00AD31D2"/>
    <w:rsid w:val="00AD5DF1"/>
    <w:rsid w:val="00AE28E3"/>
    <w:rsid w:val="00AE3B92"/>
    <w:rsid w:val="00AE4148"/>
    <w:rsid w:val="00AE5790"/>
    <w:rsid w:val="00AE6233"/>
    <w:rsid w:val="00AF3920"/>
    <w:rsid w:val="00AF3A3F"/>
    <w:rsid w:val="00AF3C7F"/>
    <w:rsid w:val="00AF47A4"/>
    <w:rsid w:val="00AF60CE"/>
    <w:rsid w:val="00AF661C"/>
    <w:rsid w:val="00AF73DB"/>
    <w:rsid w:val="00AF7782"/>
    <w:rsid w:val="00AF7787"/>
    <w:rsid w:val="00B00A2B"/>
    <w:rsid w:val="00B00E9C"/>
    <w:rsid w:val="00B052A8"/>
    <w:rsid w:val="00B07359"/>
    <w:rsid w:val="00B0794B"/>
    <w:rsid w:val="00B105AF"/>
    <w:rsid w:val="00B107E5"/>
    <w:rsid w:val="00B116AD"/>
    <w:rsid w:val="00B125A0"/>
    <w:rsid w:val="00B12B27"/>
    <w:rsid w:val="00B12DC9"/>
    <w:rsid w:val="00B15398"/>
    <w:rsid w:val="00B21FB5"/>
    <w:rsid w:val="00B25803"/>
    <w:rsid w:val="00B25C6A"/>
    <w:rsid w:val="00B26749"/>
    <w:rsid w:val="00B2740A"/>
    <w:rsid w:val="00B31604"/>
    <w:rsid w:val="00B33789"/>
    <w:rsid w:val="00B344C0"/>
    <w:rsid w:val="00B36561"/>
    <w:rsid w:val="00B4046A"/>
    <w:rsid w:val="00B4133B"/>
    <w:rsid w:val="00B418B0"/>
    <w:rsid w:val="00B41DB5"/>
    <w:rsid w:val="00B41F4D"/>
    <w:rsid w:val="00B44AAF"/>
    <w:rsid w:val="00B453E7"/>
    <w:rsid w:val="00B45886"/>
    <w:rsid w:val="00B471EE"/>
    <w:rsid w:val="00B51601"/>
    <w:rsid w:val="00B540C9"/>
    <w:rsid w:val="00B562FD"/>
    <w:rsid w:val="00B565F8"/>
    <w:rsid w:val="00B5711E"/>
    <w:rsid w:val="00B57D6C"/>
    <w:rsid w:val="00B6207F"/>
    <w:rsid w:val="00B63657"/>
    <w:rsid w:val="00B63B63"/>
    <w:rsid w:val="00B6457F"/>
    <w:rsid w:val="00B64FEA"/>
    <w:rsid w:val="00B71CDE"/>
    <w:rsid w:val="00B72636"/>
    <w:rsid w:val="00B741F0"/>
    <w:rsid w:val="00B74B04"/>
    <w:rsid w:val="00B77441"/>
    <w:rsid w:val="00B77726"/>
    <w:rsid w:val="00B809FC"/>
    <w:rsid w:val="00B81555"/>
    <w:rsid w:val="00B83CCD"/>
    <w:rsid w:val="00B86879"/>
    <w:rsid w:val="00B94101"/>
    <w:rsid w:val="00B95591"/>
    <w:rsid w:val="00B955E9"/>
    <w:rsid w:val="00B959D1"/>
    <w:rsid w:val="00BA2525"/>
    <w:rsid w:val="00BA3E78"/>
    <w:rsid w:val="00BA4392"/>
    <w:rsid w:val="00BA49AE"/>
    <w:rsid w:val="00BA49CF"/>
    <w:rsid w:val="00BA59A5"/>
    <w:rsid w:val="00BA658B"/>
    <w:rsid w:val="00BA6E6B"/>
    <w:rsid w:val="00BA7652"/>
    <w:rsid w:val="00BA77D9"/>
    <w:rsid w:val="00BA78F9"/>
    <w:rsid w:val="00BB181A"/>
    <w:rsid w:val="00BB2CE1"/>
    <w:rsid w:val="00BB361D"/>
    <w:rsid w:val="00BB7946"/>
    <w:rsid w:val="00BC13BB"/>
    <w:rsid w:val="00BC4748"/>
    <w:rsid w:val="00BC57A9"/>
    <w:rsid w:val="00BC7FB8"/>
    <w:rsid w:val="00BD0E5B"/>
    <w:rsid w:val="00BD2424"/>
    <w:rsid w:val="00BD28CC"/>
    <w:rsid w:val="00BD3C05"/>
    <w:rsid w:val="00BD480E"/>
    <w:rsid w:val="00BD5BC6"/>
    <w:rsid w:val="00BD61F8"/>
    <w:rsid w:val="00BE3A44"/>
    <w:rsid w:val="00BE656A"/>
    <w:rsid w:val="00BE700A"/>
    <w:rsid w:val="00BF34DC"/>
    <w:rsid w:val="00BF52F8"/>
    <w:rsid w:val="00BF556F"/>
    <w:rsid w:val="00BF682D"/>
    <w:rsid w:val="00C042A6"/>
    <w:rsid w:val="00C0649F"/>
    <w:rsid w:val="00C06B87"/>
    <w:rsid w:val="00C0796B"/>
    <w:rsid w:val="00C10CBC"/>
    <w:rsid w:val="00C113E8"/>
    <w:rsid w:val="00C116BE"/>
    <w:rsid w:val="00C11E6F"/>
    <w:rsid w:val="00C1276A"/>
    <w:rsid w:val="00C129D1"/>
    <w:rsid w:val="00C14F6A"/>
    <w:rsid w:val="00C1548B"/>
    <w:rsid w:val="00C15FD4"/>
    <w:rsid w:val="00C1673A"/>
    <w:rsid w:val="00C17027"/>
    <w:rsid w:val="00C22962"/>
    <w:rsid w:val="00C22C83"/>
    <w:rsid w:val="00C231BB"/>
    <w:rsid w:val="00C23C78"/>
    <w:rsid w:val="00C247FD"/>
    <w:rsid w:val="00C24B3B"/>
    <w:rsid w:val="00C25BE8"/>
    <w:rsid w:val="00C35658"/>
    <w:rsid w:val="00C36A71"/>
    <w:rsid w:val="00C379DA"/>
    <w:rsid w:val="00C40C62"/>
    <w:rsid w:val="00C41FDD"/>
    <w:rsid w:val="00C45BBB"/>
    <w:rsid w:val="00C45F2C"/>
    <w:rsid w:val="00C46494"/>
    <w:rsid w:val="00C50267"/>
    <w:rsid w:val="00C50D56"/>
    <w:rsid w:val="00C51BE6"/>
    <w:rsid w:val="00C53298"/>
    <w:rsid w:val="00C53B50"/>
    <w:rsid w:val="00C53C99"/>
    <w:rsid w:val="00C54BA7"/>
    <w:rsid w:val="00C55CB0"/>
    <w:rsid w:val="00C560FA"/>
    <w:rsid w:val="00C563D7"/>
    <w:rsid w:val="00C5643D"/>
    <w:rsid w:val="00C56BF8"/>
    <w:rsid w:val="00C571D1"/>
    <w:rsid w:val="00C5787B"/>
    <w:rsid w:val="00C60ACA"/>
    <w:rsid w:val="00C60C11"/>
    <w:rsid w:val="00C65DDD"/>
    <w:rsid w:val="00C7392E"/>
    <w:rsid w:val="00C74CFD"/>
    <w:rsid w:val="00C80C19"/>
    <w:rsid w:val="00C8356C"/>
    <w:rsid w:val="00C907CF"/>
    <w:rsid w:val="00C91645"/>
    <w:rsid w:val="00C92981"/>
    <w:rsid w:val="00C95BA1"/>
    <w:rsid w:val="00C96301"/>
    <w:rsid w:val="00C97C49"/>
    <w:rsid w:val="00CA0298"/>
    <w:rsid w:val="00CA10A2"/>
    <w:rsid w:val="00CA5F55"/>
    <w:rsid w:val="00CB0202"/>
    <w:rsid w:val="00CB1EF4"/>
    <w:rsid w:val="00CB3DFD"/>
    <w:rsid w:val="00CB408F"/>
    <w:rsid w:val="00CB6090"/>
    <w:rsid w:val="00CC0CBF"/>
    <w:rsid w:val="00CC3633"/>
    <w:rsid w:val="00CD040F"/>
    <w:rsid w:val="00CD13C2"/>
    <w:rsid w:val="00CD2E0E"/>
    <w:rsid w:val="00CD5143"/>
    <w:rsid w:val="00CD55CC"/>
    <w:rsid w:val="00CD583B"/>
    <w:rsid w:val="00CE08E8"/>
    <w:rsid w:val="00CE1C57"/>
    <w:rsid w:val="00CE3DD0"/>
    <w:rsid w:val="00CE4B4A"/>
    <w:rsid w:val="00CE6E4E"/>
    <w:rsid w:val="00CE7782"/>
    <w:rsid w:val="00CF0B07"/>
    <w:rsid w:val="00CF2DC7"/>
    <w:rsid w:val="00CF349C"/>
    <w:rsid w:val="00CF4816"/>
    <w:rsid w:val="00CF58D2"/>
    <w:rsid w:val="00CF6888"/>
    <w:rsid w:val="00D03BE2"/>
    <w:rsid w:val="00D03C76"/>
    <w:rsid w:val="00D03FFE"/>
    <w:rsid w:val="00D06AF8"/>
    <w:rsid w:val="00D10A49"/>
    <w:rsid w:val="00D1175A"/>
    <w:rsid w:val="00D11CF3"/>
    <w:rsid w:val="00D127A6"/>
    <w:rsid w:val="00D1425E"/>
    <w:rsid w:val="00D14A11"/>
    <w:rsid w:val="00D1725D"/>
    <w:rsid w:val="00D2356F"/>
    <w:rsid w:val="00D239A0"/>
    <w:rsid w:val="00D3339A"/>
    <w:rsid w:val="00D34150"/>
    <w:rsid w:val="00D344A1"/>
    <w:rsid w:val="00D35791"/>
    <w:rsid w:val="00D35AD6"/>
    <w:rsid w:val="00D37954"/>
    <w:rsid w:val="00D37D7A"/>
    <w:rsid w:val="00D37EB1"/>
    <w:rsid w:val="00D37F54"/>
    <w:rsid w:val="00D41116"/>
    <w:rsid w:val="00D4150E"/>
    <w:rsid w:val="00D41C56"/>
    <w:rsid w:val="00D41DCD"/>
    <w:rsid w:val="00D438DD"/>
    <w:rsid w:val="00D43922"/>
    <w:rsid w:val="00D476EE"/>
    <w:rsid w:val="00D51ED2"/>
    <w:rsid w:val="00D524EB"/>
    <w:rsid w:val="00D5280E"/>
    <w:rsid w:val="00D52CF6"/>
    <w:rsid w:val="00D55250"/>
    <w:rsid w:val="00D554F8"/>
    <w:rsid w:val="00D55981"/>
    <w:rsid w:val="00D56E66"/>
    <w:rsid w:val="00D60CD3"/>
    <w:rsid w:val="00D61117"/>
    <w:rsid w:val="00D614D7"/>
    <w:rsid w:val="00D6186F"/>
    <w:rsid w:val="00D61952"/>
    <w:rsid w:val="00D62B7F"/>
    <w:rsid w:val="00D63891"/>
    <w:rsid w:val="00D649AE"/>
    <w:rsid w:val="00D64AD2"/>
    <w:rsid w:val="00D65214"/>
    <w:rsid w:val="00D65C33"/>
    <w:rsid w:val="00D6611A"/>
    <w:rsid w:val="00D70409"/>
    <w:rsid w:val="00D71CE1"/>
    <w:rsid w:val="00D72AE8"/>
    <w:rsid w:val="00D73845"/>
    <w:rsid w:val="00D804E5"/>
    <w:rsid w:val="00D81D9C"/>
    <w:rsid w:val="00D83122"/>
    <w:rsid w:val="00D83407"/>
    <w:rsid w:val="00D86BEF"/>
    <w:rsid w:val="00D87D04"/>
    <w:rsid w:val="00D906C8"/>
    <w:rsid w:val="00D908DC"/>
    <w:rsid w:val="00DA00BA"/>
    <w:rsid w:val="00DA071E"/>
    <w:rsid w:val="00DA34AF"/>
    <w:rsid w:val="00DA3666"/>
    <w:rsid w:val="00DB1664"/>
    <w:rsid w:val="00DB2FD8"/>
    <w:rsid w:val="00DB3A74"/>
    <w:rsid w:val="00DB59CF"/>
    <w:rsid w:val="00DB6489"/>
    <w:rsid w:val="00DC0258"/>
    <w:rsid w:val="00DC17D9"/>
    <w:rsid w:val="00DC23A1"/>
    <w:rsid w:val="00DC2605"/>
    <w:rsid w:val="00DC3790"/>
    <w:rsid w:val="00DC448C"/>
    <w:rsid w:val="00DC76A4"/>
    <w:rsid w:val="00DD20D8"/>
    <w:rsid w:val="00DD68FE"/>
    <w:rsid w:val="00DD70D0"/>
    <w:rsid w:val="00DE2584"/>
    <w:rsid w:val="00DE5142"/>
    <w:rsid w:val="00DE6A24"/>
    <w:rsid w:val="00DE798F"/>
    <w:rsid w:val="00DE7F0C"/>
    <w:rsid w:val="00DF20D3"/>
    <w:rsid w:val="00DF213A"/>
    <w:rsid w:val="00DF21D3"/>
    <w:rsid w:val="00DF2CF2"/>
    <w:rsid w:val="00DF552C"/>
    <w:rsid w:val="00DF6622"/>
    <w:rsid w:val="00DF662D"/>
    <w:rsid w:val="00DF76FE"/>
    <w:rsid w:val="00E00186"/>
    <w:rsid w:val="00E012F7"/>
    <w:rsid w:val="00E04FBB"/>
    <w:rsid w:val="00E07D0F"/>
    <w:rsid w:val="00E07FC4"/>
    <w:rsid w:val="00E10B37"/>
    <w:rsid w:val="00E135E1"/>
    <w:rsid w:val="00E143B4"/>
    <w:rsid w:val="00E153A7"/>
    <w:rsid w:val="00E154ED"/>
    <w:rsid w:val="00E15597"/>
    <w:rsid w:val="00E167A9"/>
    <w:rsid w:val="00E21E18"/>
    <w:rsid w:val="00E23976"/>
    <w:rsid w:val="00E2502A"/>
    <w:rsid w:val="00E26E6E"/>
    <w:rsid w:val="00E36CF5"/>
    <w:rsid w:val="00E37B21"/>
    <w:rsid w:val="00E4020D"/>
    <w:rsid w:val="00E45D72"/>
    <w:rsid w:val="00E47391"/>
    <w:rsid w:val="00E47D4B"/>
    <w:rsid w:val="00E5027E"/>
    <w:rsid w:val="00E50E07"/>
    <w:rsid w:val="00E55635"/>
    <w:rsid w:val="00E56D98"/>
    <w:rsid w:val="00E6572D"/>
    <w:rsid w:val="00E67CD8"/>
    <w:rsid w:val="00E711B4"/>
    <w:rsid w:val="00E71989"/>
    <w:rsid w:val="00E71DE2"/>
    <w:rsid w:val="00E734EC"/>
    <w:rsid w:val="00E74190"/>
    <w:rsid w:val="00E747D2"/>
    <w:rsid w:val="00E74C22"/>
    <w:rsid w:val="00E76ADC"/>
    <w:rsid w:val="00E83F0F"/>
    <w:rsid w:val="00E84DB6"/>
    <w:rsid w:val="00E84F5C"/>
    <w:rsid w:val="00E87570"/>
    <w:rsid w:val="00E87B72"/>
    <w:rsid w:val="00E90E23"/>
    <w:rsid w:val="00E92504"/>
    <w:rsid w:val="00E93362"/>
    <w:rsid w:val="00E947C9"/>
    <w:rsid w:val="00E96583"/>
    <w:rsid w:val="00E96794"/>
    <w:rsid w:val="00E96C27"/>
    <w:rsid w:val="00EA0DA8"/>
    <w:rsid w:val="00EA1535"/>
    <w:rsid w:val="00EA2620"/>
    <w:rsid w:val="00EA3BB4"/>
    <w:rsid w:val="00EA4B10"/>
    <w:rsid w:val="00EB0677"/>
    <w:rsid w:val="00EB0C81"/>
    <w:rsid w:val="00EB0F22"/>
    <w:rsid w:val="00EB222B"/>
    <w:rsid w:val="00EB2763"/>
    <w:rsid w:val="00EB3A27"/>
    <w:rsid w:val="00EC00DA"/>
    <w:rsid w:val="00EC2AC4"/>
    <w:rsid w:val="00EC2BA9"/>
    <w:rsid w:val="00EC4B5D"/>
    <w:rsid w:val="00EC5594"/>
    <w:rsid w:val="00EC68BB"/>
    <w:rsid w:val="00ED08DE"/>
    <w:rsid w:val="00ED27BE"/>
    <w:rsid w:val="00ED4592"/>
    <w:rsid w:val="00ED45C7"/>
    <w:rsid w:val="00ED4E04"/>
    <w:rsid w:val="00ED7604"/>
    <w:rsid w:val="00EE18F6"/>
    <w:rsid w:val="00EE1931"/>
    <w:rsid w:val="00EE345C"/>
    <w:rsid w:val="00EE448E"/>
    <w:rsid w:val="00EE6898"/>
    <w:rsid w:val="00EF035C"/>
    <w:rsid w:val="00EF0B00"/>
    <w:rsid w:val="00EF1B90"/>
    <w:rsid w:val="00F008DF"/>
    <w:rsid w:val="00F01E4E"/>
    <w:rsid w:val="00F0312D"/>
    <w:rsid w:val="00F10B11"/>
    <w:rsid w:val="00F13D6F"/>
    <w:rsid w:val="00F14BD4"/>
    <w:rsid w:val="00F15A59"/>
    <w:rsid w:val="00F15F62"/>
    <w:rsid w:val="00F20988"/>
    <w:rsid w:val="00F23919"/>
    <w:rsid w:val="00F25C2B"/>
    <w:rsid w:val="00F26B61"/>
    <w:rsid w:val="00F302C2"/>
    <w:rsid w:val="00F30706"/>
    <w:rsid w:val="00F31455"/>
    <w:rsid w:val="00F3286D"/>
    <w:rsid w:val="00F36181"/>
    <w:rsid w:val="00F364E1"/>
    <w:rsid w:val="00F37543"/>
    <w:rsid w:val="00F376F4"/>
    <w:rsid w:val="00F37A87"/>
    <w:rsid w:val="00F400D9"/>
    <w:rsid w:val="00F400F5"/>
    <w:rsid w:val="00F4316B"/>
    <w:rsid w:val="00F440CF"/>
    <w:rsid w:val="00F44CAB"/>
    <w:rsid w:val="00F51EA3"/>
    <w:rsid w:val="00F51F9A"/>
    <w:rsid w:val="00F532A5"/>
    <w:rsid w:val="00F5366F"/>
    <w:rsid w:val="00F5593E"/>
    <w:rsid w:val="00F66927"/>
    <w:rsid w:val="00F705A1"/>
    <w:rsid w:val="00F70FE4"/>
    <w:rsid w:val="00F75C7C"/>
    <w:rsid w:val="00F767F6"/>
    <w:rsid w:val="00F77F1B"/>
    <w:rsid w:val="00F80789"/>
    <w:rsid w:val="00F8138C"/>
    <w:rsid w:val="00F821CD"/>
    <w:rsid w:val="00F8318D"/>
    <w:rsid w:val="00F840E7"/>
    <w:rsid w:val="00F85CFE"/>
    <w:rsid w:val="00F85E49"/>
    <w:rsid w:val="00F85EF7"/>
    <w:rsid w:val="00F86A8D"/>
    <w:rsid w:val="00F92523"/>
    <w:rsid w:val="00F92DDF"/>
    <w:rsid w:val="00F955C3"/>
    <w:rsid w:val="00FA04B6"/>
    <w:rsid w:val="00FA10D9"/>
    <w:rsid w:val="00FA20D8"/>
    <w:rsid w:val="00FA2DF9"/>
    <w:rsid w:val="00FA3131"/>
    <w:rsid w:val="00FA31D4"/>
    <w:rsid w:val="00FA3C46"/>
    <w:rsid w:val="00FA4AE2"/>
    <w:rsid w:val="00FB0619"/>
    <w:rsid w:val="00FB0C3F"/>
    <w:rsid w:val="00FB1E32"/>
    <w:rsid w:val="00FB3AC5"/>
    <w:rsid w:val="00FB48B1"/>
    <w:rsid w:val="00FB4C03"/>
    <w:rsid w:val="00FB614C"/>
    <w:rsid w:val="00FB69D4"/>
    <w:rsid w:val="00FB6E87"/>
    <w:rsid w:val="00FC09BA"/>
    <w:rsid w:val="00FC0F1B"/>
    <w:rsid w:val="00FC163D"/>
    <w:rsid w:val="00FC16E7"/>
    <w:rsid w:val="00FC3DFA"/>
    <w:rsid w:val="00FC4408"/>
    <w:rsid w:val="00FC59ED"/>
    <w:rsid w:val="00FC5F06"/>
    <w:rsid w:val="00FC6844"/>
    <w:rsid w:val="00FC7729"/>
    <w:rsid w:val="00FD2B48"/>
    <w:rsid w:val="00FD2D95"/>
    <w:rsid w:val="00FD407C"/>
    <w:rsid w:val="00FD5115"/>
    <w:rsid w:val="00FE0001"/>
    <w:rsid w:val="00FE38C2"/>
    <w:rsid w:val="00FE394E"/>
    <w:rsid w:val="00FF38AA"/>
    <w:rsid w:val="00FF45B8"/>
    <w:rsid w:val="00FF6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958CB"/>
  <w15:chartTrackingRefBased/>
  <w15:docId w15:val="{2C29FA6F-58C6-463C-9485-D5249A0E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A4"/>
    <w:pPr>
      <w:spacing w:after="240" w:line="260" w:lineRule="atLeast"/>
    </w:pPr>
    <w:rPr>
      <w:rFonts w:ascii="Cambria" w:hAnsi="Cambria" w:cs="Times New Roman"/>
      <w:sz w:val="20"/>
      <w:szCs w:val="20"/>
    </w:rPr>
  </w:style>
  <w:style w:type="paragraph" w:styleId="Heading1">
    <w:name w:val="heading 1"/>
    <w:basedOn w:val="Normal"/>
    <w:next w:val="Normal"/>
    <w:link w:val="Heading1Char1"/>
    <w:autoRedefine/>
    <w:qFormat/>
    <w:rsid w:val="00D614D7"/>
    <w:pPr>
      <w:keepNext/>
      <w:keepLines/>
      <w:pageBreakBefore/>
      <w:numPr>
        <w:numId w:val="60"/>
      </w:numPr>
      <w:pBdr>
        <w:bottom w:val="single" w:sz="18" w:space="1" w:color="1E6A9A"/>
      </w:pBdr>
      <w:spacing w:before="480" w:after="120"/>
      <w:outlineLvl w:val="0"/>
    </w:pPr>
    <w:rPr>
      <w:rFonts w:ascii="Calibri" w:eastAsiaTheme="majorEastAsia" w:hAnsi="Calibri" w:cstheme="majorBidi"/>
      <w:b/>
      <w:bCs/>
      <w:color w:val="1E6A9A"/>
      <w:sz w:val="44"/>
      <w:szCs w:val="28"/>
    </w:rPr>
  </w:style>
  <w:style w:type="paragraph" w:styleId="Heading2">
    <w:name w:val="heading 2"/>
    <w:basedOn w:val="Normal"/>
    <w:next w:val="Normal"/>
    <w:link w:val="Heading2Char1"/>
    <w:autoRedefine/>
    <w:unhideWhenUsed/>
    <w:qFormat/>
    <w:rsid w:val="007A5925"/>
    <w:pPr>
      <w:keepNext/>
      <w:keepLines/>
      <w:numPr>
        <w:ilvl w:val="1"/>
        <w:numId w:val="60"/>
      </w:numPr>
      <w:pBdr>
        <w:bottom w:val="single" w:sz="18" w:space="1" w:color="7030A0"/>
      </w:pBdr>
      <w:spacing w:before="480" w:after="120"/>
      <w:outlineLvl w:val="1"/>
    </w:pPr>
    <w:rPr>
      <w:rFonts w:ascii="Calibri" w:eastAsiaTheme="majorEastAsia" w:hAnsi="Calibri" w:cstheme="majorBidi"/>
      <w:b/>
      <w:bCs/>
      <w:color w:val="8555A1"/>
      <w:sz w:val="40"/>
      <w:szCs w:val="26"/>
      <w14:ligatures w14:val="standardContextual"/>
      <w14:cntxtAlts/>
    </w:rPr>
  </w:style>
  <w:style w:type="paragraph" w:styleId="Heading3">
    <w:name w:val="heading 3"/>
    <w:basedOn w:val="Normal"/>
    <w:next w:val="Normal"/>
    <w:link w:val="Heading3Char1"/>
    <w:autoRedefine/>
    <w:unhideWhenUsed/>
    <w:qFormat/>
    <w:rsid w:val="006B38CE"/>
    <w:pPr>
      <w:keepNext/>
      <w:keepLines/>
      <w:numPr>
        <w:ilvl w:val="2"/>
        <w:numId w:val="60"/>
      </w:numPr>
      <w:spacing w:before="480" w:after="120"/>
      <w:mirrorIndents/>
      <w:outlineLvl w:val="2"/>
    </w:pPr>
    <w:rPr>
      <w:rFonts w:ascii="Calibri" w:eastAsiaTheme="majorEastAsia" w:hAnsi="Calibri" w:cstheme="majorBidi"/>
      <w:b/>
      <w:bCs/>
      <w:color w:val="1795D2"/>
      <w:sz w:val="36"/>
    </w:rPr>
  </w:style>
  <w:style w:type="paragraph" w:styleId="Heading4">
    <w:name w:val="heading 4"/>
    <w:basedOn w:val="Normal"/>
    <w:next w:val="Normal"/>
    <w:link w:val="Heading4Char1"/>
    <w:autoRedefine/>
    <w:unhideWhenUsed/>
    <w:qFormat/>
    <w:rsid w:val="00A74AB1"/>
    <w:pPr>
      <w:keepNext/>
      <w:keepLines/>
      <w:numPr>
        <w:ilvl w:val="3"/>
        <w:numId w:val="60"/>
      </w:numPr>
      <w:spacing w:before="480" w:after="120"/>
      <w:outlineLvl w:val="3"/>
    </w:pPr>
    <w:rPr>
      <w:rFonts w:ascii="Calibri" w:eastAsia="Times New Roman" w:hAnsi="Calibri" w:cstheme="majorBidi"/>
      <w:b/>
      <w:bCs/>
      <w:iCs/>
      <w:color w:val="1E6A9A"/>
      <w:sz w:val="32"/>
    </w:rPr>
  </w:style>
  <w:style w:type="paragraph" w:styleId="Heading5">
    <w:name w:val="heading 5"/>
    <w:basedOn w:val="Normal"/>
    <w:next w:val="Normal"/>
    <w:link w:val="Heading5Char"/>
    <w:autoRedefine/>
    <w:unhideWhenUsed/>
    <w:qFormat/>
    <w:rsid w:val="00496814"/>
    <w:pPr>
      <w:keepNext/>
      <w:keepLines/>
      <w:numPr>
        <w:ilvl w:val="4"/>
        <w:numId w:val="33"/>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496814"/>
    <w:pPr>
      <w:keepNext/>
      <w:keepLines/>
      <w:numPr>
        <w:ilvl w:val="5"/>
        <w:numId w:val="33"/>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iPriority w:val="99"/>
    <w:unhideWhenUsed/>
    <w:qFormat/>
    <w:rsid w:val="00496814"/>
    <w:pPr>
      <w:keepNext/>
      <w:keepLines/>
      <w:numPr>
        <w:ilvl w:val="6"/>
        <w:numId w:val="33"/>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iPriority w:val="99"/>
    <w:unhideWhenUsed/>
    <w:qFormat/>
    <w:rsid w:val="00496814"/>
    <w:pPr>
      <w:keepNext/>
      <w:keepLines/>
      <w:numPr>
        <w:ilvl w:val="7"/>
        <w:numId w:val="33"/>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iPriority w:val="99"/>
    <w:unhideWhenUsed/>
    <w:qFormat/>
    <w:rsid w:val="00496814"/>
    <w:pPr>
      <w:keepNext/>
      <w:keepLines/>
      <w:numPr>
        <w:ilvl w:val="8"/>
        <w:numId w:val="33"/>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76BA4"/>
    <w:rPr>
      <w:rFonts w:asciiTheme="majorHAnsi" w:eastAsiaTheme="majorEastAsia" w:hAnsiTheme="majorHAnsi" w:cstheme="majorBidi"/>
      <w:color w:val="116E9D" w:themeColor="accent1" w:themeShade="BF"/>
      <w:sz w:val="32"/>
      <w:szCs w:val="32"/>
    </w:rPr>
  </w:style>
  <w:style w:type="character" w:customStyle="1" w:styleId="Heading2Char">
    <w:name w:val="Heading 2 Char"/>
    <w:basedOn w:val="DefaultParagraphFont"/>
    <w:rsid w:val="00776BA4"/>
    <w:rPr>
      <w:rFonts w:asciiTheme="majorHAnsi" w:eastAsiaTheme="majorEastAsia" w:hAnsiTheme="majorHAnsi" w:cstheme="majorBidi"/>
      <w:color w:val="116E9D" w:themeColor="accent1" w:themeShade="BF"/>
      <w:sz w:val="26"/>
      <w:szCs w:val="26"/>
    </w:rPr>
  </w:style>
  <w:style w:type="character" w:customStyle="1" w:styleId="Heading3Char">
    <w:name w:val="Heading 3 Char"/>
    <w:basedOn w:val="DefaultParagraphFont"/>
    <w:rsid w:val="00776BA4"/>
    <w:rPr>
      <w:rFonts w:asciiTheme="majorHAnsi" w:eastAsiaTheme="majorEastAsia" w:hAnsiTheme="majorHAnsi" w:cstheme="majorBidi"/>
      <w:color w:val="0B4968" w:themeColor="accent1" w:themeShade="7F"/>
      <w:sz w:val="24"/>
      <w:szCs w:val="24"/>
    </w:rPr>
  </w:style>
  <w:style w:type="character" w:customStyle="1" w:styleId="Heading4Char">
    <w:name w:val="Heading 4 Char"/>
    <w:basedOn w:val="DefaultParagraphFont"/>
    <w:rsid w:val="00776BA4"/>
    <w:rPr>
      <w:rFonts w:asciiTheme="majorHAnsi" w:eastAsiaTheme="majorEastAsia" w:hAnsiTheme="majorHAnsi" w:cstheme="majorBidi"/>
      <w:i/>
      <w:iCs/>
      <w:color w:val="116E9D" w:themeColor="accent1" w:themeShade="BF"/>
      <w:sz w:val="20"/>
      <w:szCs w:val="20"/>
    </w:rPr>
  </w:style>
  <w:style w:type="character" w:styleId="Hyperlink">
    <w:name w:val="Hyperlink"/>
    <w:basedOn w:val="DefaultParagraphFont"/>
    <w:uiPriority w:val="99"/>
    <w:unhideWhenUsed/>
    <w:qFormat/>
    <w:rsid w:val="00D87D04"/>
    <w:rPr>
      <w:color w:val="0070C0"/>
      <w:u w:val="single"/>
    </w:rPr>
  </w:style>
  <w:style w:type="character" w:styleId="CommentReference">
    <w:name w:val="annotation reference"/>
    <w:basedOn w:val="DefaultParagraphFont"/>
    <w:uiPriority w:val="99"/>
    <w:rsid w:val="00776BA4"/>
    <w:rPr>
      <w:rFonts w:cs="Times New Roman"/>
      <w:sz w:val="16"/>
      <w:szCs w:val="16"/>
    </w:rPr>
  </w:style>
  <w:style w:type="paragraph" w:styleId="CommentText">
    <w:name w:val="annotation text"/>
    <w:basedOn w:val="Normal"/>
    <w:link w:val="CommentTextChar"/>
    <w:uiPriority w:val="99"/>
    <w:rsid w:val="00776BA4"/>
    <w:pPr>
      <w:spacing w:line="240" w:lineRule="auto"/>
    </w:pPr>
    <w:rPr>
      <w:rFonts w:eastAsia="Times New Roman"/>
    </w:rPr>
  </w:style>
  <w:style w:type="character" w:customStyle="1" w:styleId="CommentTextChar">
    <w:name w:val="Comment Text Char"/>
    <w:basedOn w:val="DefaultParagraphFont"/>
    <w:link w:val="CommentText"/>
    <w:uiPriority w:val="99"/>
    <w:rsid w:val="00776BA4"/>
    <w:rPr>
      <w:rFonts w:ascii="Cambria" w:eastAsia="Times New Roman" w:hAnsi="Cambria" w:cs="Times New Roman"/>
      <w:sz w:val="20"/>
      <w:szCs w:val="20"/>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776BA4"/>
    <w:rPr>
      <w:rFonts w:ascii="Cambria" w:hAnsi="Cambria" w:cs="Times New Roman"/>
      <w:dstrike w:val="0"/>
      <w:sz w:val="20"/>
      <w:vertAlign w:val="superscript"/>
    </w:rPr>
  </w:style>
  <w:style w:type="paragraph" w:styleId="Footer">
    <w:name w:val="footer"/>
    <w:basedOn w:val="Normal"/>
    <w:link w:val="FooterChar"/>
    <w:uiPriority w:val="99"/>
    <w:rsid w:val="00776BA4"/>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776BA4"/>
    <w:rPr>
      <w:rFonts w:ascii="Cambria" w:eastAsia="Times New Roman" w:hAnsi="Cambria" w:cs="Times New Roman"/>
      <w:sz w:val="18"/>
      <w:szCs w:val="24"/>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Char Char, Char Char"/>
    <w:basedOn w:val="Normal"/>
    <w:link w:val="FootnoteTextChar1"/>
    <w:uiPriority w:val="99"/>
    <w:unhideWhenUsed/>
    <w:qFormat/>
    <w:rsid w:val="00776BA4"/>
    <w:pPr>
      <w:spacing w:after="80" w:line="240" w:lineRule="auto"/>
    </w:pPr>
    <w:rPr>
      <w:sz w:val="18"/>
    </w:rPr>
  </w:style>
  <w:style w:type="character" w:customStyle="1" w:styleId="FootnoteTextChar">
    <w:name w:val="Footnote Text Char"/>
    <w:aliases w:val="Footnote Text Char1 Char,Footnote Text Char Char1 Char,Footnote Text Char Char Char Char Char Char1,fn Char1"/>
    <w:basedOn w:val="DefaultParagraphFont"/>
    <w:uiPriority w:val="99"/>
    <w:qFormat/>
    <w:rsid w:val="00776BA4"/>
    <w:rPr>
      <w:rFonts w:ascii="Cambria" w:hAnsi="Cambria" w:cs="Times New Roman"/>
      <w:sz w:val="20"/>
      <w:szCs w:val="20"/>
    </w:rPr>
  </w:style>
  <w:style w:type="character" w:customStyle="1" w:styleId="FootnoteTextChar1">
    <w:name w:val="Footnote Text Char1"/>
    <w:aliases w:val="ft Char,Footnote Text Char Char Char,fn Char Char Char,Footnote Text Char1 Char1 Char Char,Footnote Text Char Char Char1 Char Char,Footnote Text Char1 Char Char Char Char,Footnote Text Char Char Char Char Char Char,fn Char,f Char"/>
    <w:basedOn w:val="DefaultParagraphFont"/>
    <w:link w:val="FootnoteText"/>
    <w:uiPriority w:val="99"/>
    <w:rsid w:val="00776BA4"/>
    <w:rPr>
      <w:rFonts w:ascii="Cambria" w:hAnsi="Cambria" w:cs="Times New Roman"/>
      <w:sz w:val="18"/>
      <w:szCs w:val="20"/>
    </w:rPr>
  </w:style>
  <w:style w:type="character" w:customStyle="1" w:styleId="Heading1Char1">
    <w:name w:val="Heading 1 Char1"/>
    <w:basedOn w:val="DefaultParagraphFont"/>
    <w:link w:val="Heading1"/>
    <w:rsid w:val="00D614D7"/>
    <w:rPr>
      <w:rFonts w:ascii="Calibri" w:eastAsiaTheme="majorEastAsia" w:hAnsi="Calibri" w:cstheme="majorBidi"/>
      <w:b/>
      <w:bCs/>
      <w:color w:val="1E6A9A"/>
      <w:sz w:val="44"/>
      <w:szCs w:val="28"/>
    </w:rPr>
  </w:style>
  <w:style w:type="character" w:customStyle="1" w:styleId="Heading2Char1">
    <w:name w:val="Heading 2 Char1"/>
    <w:basedOn w:val="DefaultParagraphFont"/>
    <w:link w:val="Heading2"/>
    <w:rsid w:val="007A5925"/>
    <w:rPr>
      <w:rFonts w:ascii="Calibri" w:eastAsiaTheme="majorEastAsia" w:hAnsi="Calibri" w:cstheme="majorBidi"/>
      <w:b/>
      <w:bCs/>
      <w:color w:val="8555A1"/>
      <w:sz w:val="40"/>
      <w:szCs w:val="26"/>
      <w14:ligatures w14:val="standardContextual"/>
      <w14:cntxtAlts/>
    </w:rPr>
  </w:style>
  <w:style w:type="character" w:customStyle="1" w:styleId="Heading3Char1">
    <w:name w:val="Heading 3 Char1"/>
    <w:basedOn w:val="DefaultParagraphFont"/>
    <w:link w:val="Heading3"/>
    <w:rsid w:val="006B38CE"/>
    <w:rPr>
      <w:rFonts w:ascii="Calibri" w:eastAsiaTheme="majorEastAsia" w:hAnsi="Calibri" w:cstheme="majorBidi"/>
      <w:b/>
      <w:bCs/>
      <w:color w:val="1795D2"/>
      <w:sz w:val="36"/>
      <w:szCs w:val="20"/>
    </w:rPr>
  </w:style>
  <w:style w:type="character" w:customStyle="1" w:styleId="Heading4Char1">
    <w:name w:val="Heading 4 Char1"/>
    <w:basedOn w:val="DefaultParagraphFont"/>
    <w:link w:val="Heading4"/>
    <w:rsid w:val="00A74AB1"/>
    <w:rPr>
      <w:rFonts w:ascii="Calibri" w:eastAsia="Times New Roman" w:hAnsi="Calibri" w:cstheme="majorBidi"/>
      <w:b/>
      <w:bCs/>
      <w:iCs/>
      <w:color w:val="1E6A9A"/>
      <w:sz w:val="32"/>
      <w:szCs w:val="20"/>
    </w:rPr>
  </w:style>
  <w:style w:type="paragraph" w:styleId="BalloonText">
    <w:name w:val="Balloon Text"/>
    <w:basedOn w:val="Normal"/>
    <w:link w:val="BalloonTextChar"/>
    <w:uiPriority w:val="99"/>
    <w:semiHidden/>
    <w:unhideWhenUsed/>
    <w:qFormat/>
    <w:rsid w:val="00776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A4"/>
    <w:rPr>
      <w:rFonts w:ascii="Segoe UI" w:hAnsi="Segoe UI" w:cs="Segoe UI"/>
      <w:sz w:val="18"/>
      <w:szCs w:val="18"/>
    </w:rPr>
  </w:style>
  <w:style w:type="paragraph" w:styleId="ListParagraph">
    <w:name w:val="List Paragraph"/>
    <w:basedOn w:val="Normal"/>
    <w:uiPriority w:val="34"/>
    <w:qFormat/>
    <w:rsid w:val="00BF52F8"/>
    <w:pPr>
      <w:ind w:left="720"/>
      <w:contextualSpacing/>
    </w:pPr>
  </w:style>
  <w:style w:type="paragraph" w:styleId="Header">
    <w:name w:val="header"/>
    <w:basedOn w:val="Normal"/>
    <w:link w:val="HeaderChar"/>
    <w:uiPriority w:val="99"/>
    <w:unhideWhenUsed/>
    <w:rsid w:val="00143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5AC"/>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74B04"/>
    <w:rPr>
      <w:rFonts w:eastAsiaTheme="minorHAnsi"/>
      <w:b/>
      <w:bCs/>
    </w:rPr>
  </w:style>
  <w:style w:type="character" w:customStyle="1" w:styleId="CommentSubjectChar">
    <w:name w:val="Comment Subject Char"/>
    <w:basedOn w:val="CommentTextChar"/>
    <w:link w:val="CommentSubject"/>
    <w:uiPriority w:val="99"/>
    <w:semiHidden/>
    <w:rsid w:val="00B74B04"/>
    <w:rPr>
      <w:rFonts w:ascii="Cambria" w:eastAsia="Times New Roman" w:hAnsi="Cambria" w:cs="Times New Roman"/>
      <w:b/>
      <w:bCs/>
      <w:sz w:val="20"/>
      <w:szCs w:val="20"/>
    </w:rPr>
  </w:style>
  <w:style w:type="character" w:customStyle="1" w:styleId="A22">
    <w:name w:val="A22"/>
    <w:uiPriority w:val="99"/>
    <w:rsid w:val="00B74B04"/>
    <w:rPr>
      <w:rFonts w:cs="Duplicate Ionic Regular"/>
      <w:color w:val="000000"/>
      <w:sz w:val="19"/>
      <w:szCs w:val="19"/>
    </w:rPr>
  </w:style>
  <w:style w:type="character" w:customStyle="1" w:styleId="A18">
    <w:name w:val="A18"/>
    <w:uiPriority w:val="99"/>
    <w:rsid w:val="00B74B04"/>
    <w:rPr>
      <w:rFonts w:cs="Duplicate Ionic Bold"/>
      <w:b/>
      <w:bCs/>
      <w:color w:val="000000"/>
      <w:sz w:val="26"/>
      <w:szCs w:val="26"/>
    </w:rPr>
  </w:style>
  <w:style w:type="character" w:styleId="Emphasis">
    <w:name w:val="Emphasis"/>
    <w:basedOn w:val="DefaultParagraphFont"/>
    <w:qFormat/>
    <w:rsid w:val="006E104C"/>
    <w:rPr>
      <w:i/>
      <w:iCs/>
    </w:rPr>
  </w:style>
  <w:style w:type="character" w:styleId="FollowedHyperlink">
    <w:name w:val="FollowedHyperlink"/>
    <w:basedOn w:val="DefaultParagraphFont"/>
    <w:unhideWhenUsed/>
    <w:rsid w:val="00917754"/>
    <w:rPr>
      <w:color w:val="8555A1" w:themeColor="followedHyperlink"/>
      <w:u w:val="single"/>
    </w:rPr>
  </w:style>
  <w:style w:type="paragraph" w:styleId="Revision">
    <w:name w:val="Revision"/>
    <w:hidden/>
    <w:uiPriority w:val="99"/>
    <w:semiHidden/>
    <w:rsid w:val="00B77441"/>
    <w:pPr>
      <w:spacing w:after="0" w:line="240" w:lineRule="auto"/>
    </w:pPr>
    <w:rPr>
      <w:rFonts w:ascii="Cambria" w:hAnsi="Cambria" w:cs="Times New Roman"/>
      <w:sz w:val="20"/>
      <w:szCs w:val="20"/>
    </w:rPr>
  </w:style>
  <w:style w:type="paragraph" w:customStyle="1" w:styleId="FoonoteText">
    <w:name w:val="Foonote Text"/>
    <w:basedOn w:val="Normal"/>
    <w:link w:val="FoonoteTextChar"/>
    <w:qFormat/>
    <w:rsid w:val="00496814"/>
    <w:pPr>
      <w:adjustRightInd w:val="0"/>
      <w:textAlignment w:val="baseline"/>
    </w:pPr>
  </w:style>
  <w:style w:type="character" w:customStyle="1" w:styleId="FoonoteTextChar">
    <w:name w:val="Foonote Text Char"/>
    <w:basedOn w:val="DefaultParagraphFont"/>
    <w:link w:val="FoonoteText"/>
    <w:locked/>
    <w:rsid w:val="00496814"/>
    <w:rPr>
      <w:rFonts w:ascii="Cambria" w:hAnsi="Cambria" w:cs="Times New Roman"/>
      <w:sz w:val="20"/>
      <w:szCs w:val="20"/>
    </w:rPr>
  </w:style>
  <w:style w:type="character" w:customStyle="1" w:styleId="Heading5Char">
    <w:name w:val="Heading 5 Char"/>
    <w:basedOn w:val="DefaultParagraphFont"/>
    <w:link w:val="Heading5"/>
    <w:rsid w:val="00496814"/>
    <w:rPr>
      <w:rFonts w:ascii="Cambria" w:eastAsiaTheme="majorEastAsia" w:hAnsi="Cambria" w:cstheme="majorBidi"/>
      <w:sz w:val="20"/>
      <w:szCs w:val="20"/>
    </w:rPr>
  </w:style>
  <w:style w:type="character" w:customStyle="1" w:styleId="Heading6Char">
    <w:name w:val="Heading 6 Char"/>
    <w:basedOn w:val="DefaultParagraphFont"/>
    <w:link w:val="Heading6"/>
    <w:rsid w:val="00496814"/>
    <w:rPr>
      <w:rFonts w:ascii="Cambria" w:eastAsiaTheme="majorEastAsia" w:hAnsi="Cambria" w:cstheme="majorBidi"/>
      <w:i/>
      <w:iCs/>
      <w:color w:val="0B4968" w:themeColor="accent1" w:themeShade="7F"/>
      <w:sz w:val="20"/>
      <w:szCs w:val="20"/>
    </w:rPr>
  </w:style>
  <w:style w:type="character" w:customStyle="1" w:styleId="Heading7Char">
    <w:name w:val="Heading 7 Char"/>
    <w:basedOn w:val="DefaultParagraphFont"/>
    <w:link w:val="Heading7"/>
    <w:uiPriority w:val="99"/>
    <w:rsid w:val="00496814"/>
    <w:rPr>
      <w:rFonts w:ascii="Cambria" w:eastAsiaTheme="majorEastAsia" w:hAnsi="Cambria" w:cstheme="majorBidi"/>
      <w:i/>
      <w:iCs/>
      <w:color w:val="869AA2" w:themeColor="text1" w:themeTint="BF"/>
      <w:sz w:val="20"/>
      <w:szCs w:val="20"/>
    </w:rPr>
  </w:style>
  <w:style w:type="character" w:customStyle="1" w:styleId="Heading8Char">
    <w:name w:val="Heading 8 Char"/>
    <w:basedOn w:val="DefaultParagraphFont"/>
    <w:link w:val="Heading8"/>
    <w:uiPriority w:val="99"/>
    <w:rsid w:val="00496814"/>
    <w:rPr>
      <w:rFonts w:ascii="Cambria" w:eastAsiaTheme="majorEastAsia" w:hAnsi="Cambria" w:cstheme="majorBidi"/>
      <w:color w:val="869AA2" w:themeColor="text1" w:themeTint="BF"/>
      <w:sz w:val="20"/>
      <w:szCs w:val="20"/>
    </w:rPr>
  </w:style>
  <w:style w:type="character" w:customStyle="1" w:styleId="Heading9Char">
    <w:name w:val="Heading 9 Char"/>
    <w:basedOn w:val="DefaultParagraphFont"/>
    <w:link w:val="Heading9"/>
    <w:uiPriority w:val="99"/>
    <w:rsid w:val="00496814"/>
    <w:rPr>
      <w:rFonts w:ascii="Cambria" w:eastAsiaTheme="majorEastAsia" w:hAnsi="Cambria" w:cstheme="majorBidi"/>
      <w:i/>
      <w:iCs/>
      <w:color w:val="869AA2" w:themeColor="text1" w:themeTint="BF"/>
      <w:sz w:val="20"/>
      <w:szCs w:val="20"/>
    </w:rPr>
  </w:style>
  <w:style w:type="numbering" w:customStyle="1" w:styleId="NoList1">
    <w:name w:val="No List1"/>
    <w:next w:val="NoList"/>
    <w:uiPriority w:val="99"/>
    <w:semiHidden/>
    <w:unhideWhenUsed/>
    <w:rsid w:val="00496814"/>
  </w:style>
  <w:style w:type="numbering" w:customStyle="1" w:styleId="CurrentList1">
    <w:name w:val="Current List1"/>
    <w:rsid w:val="00496814"/>
  </w:style>
  <w:style w:type="paragraph" w:styleId="Title">
    <w:name w:val="Title"/>
    <w:basedOn w:val="Normal"/>
    <w:next w:val="Normal"/>
    <w:link w:val="TitleChar"/>
    <w:autoRedefine/>
    <w:uiPriority w:val="99"/>
    <w:qFormat/>
    <w:rsid w:val="00496814"/>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99"/>
    <w:rsid w:val="00496814"/>
    <w:rPr>
      <w:rFonts w:ascii="Cambria" w:eastAsiaTheme="majorEastAsia" w:hAnsi="Cambria" w:cstheme="majorBidi"/>
      <w:spacing w:val="5"/>
      <w:kern w:val="28"/>
      <w:sz w:val="52"/>
      <w:szCs w:val="52"/>
    </w:rPr>
  </w:style>
  <w:style w:type="character" w:styleId="IntenseEmphasis">
    <w:name w:val="Intense Emphasis"/>
    <w:basedOn w:val="DefaultParagraphFont"/>
    <w:uiPriority w:val="21"/>
    <w:qFormat/>
    <w:rsid w:val="00496814"/>
    <w:rPr>
      <w:rFonts w:ascii="Arial" w:hAnsi="Arial"/>
      <w:b/>
      <w:bCs/>
      <w:i/>
      <w:iCs/>
      <w:color w:val="auto"/>
    </w:rPr>
  </w:style>
  <w:style w:type="paragraph" w:styleId="Subtitle">
    <w:name w:val="Subtitle"/>
    <w:basedOn w:val="Normal"/>
    <w:next w:val="Normal"/>
    <w:link w:val="SubtitleChar"/>
    <w:autoRedefine/>
    <w:uiPriority w:val="99"/>
    <w:qFormat/>
    <w:rsid w:val="00496814"/>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99"/>
    <w:rsid w:val="00496814"/>
    <w:rPr>
      <w:rFonts w:ascii="Cambria" w:eastAsiaTheme="majorEastAsia" w:hAnsi="Cambria" w:cstheme="majorBidi"/>
      <w:i/>
      <w:iCs/>
      <w:spacing w:val="15"/>
      <w:sz w:val="24"/>
      <w:szCs w:val="24"/>
    </w:rPr>
  </w:style>
  <w:style w:type="character" w:styleId="SubtleEmphasis">
    <w:name w:val="Subtle Emphasis"/>
    <w:basedOn w:val="DefaultParagraphFont"/>
    <w:uiPriority w:val="19"/>
    <w:qFormat/>
    <w:rsid w:val="00496814"/>
    <w:rPr>
      <w:rFonts w:ascii="Times New Roman" w:hAnsi="Times New Roman"/>
      <w:i/>
      <w:iCs/>
      <w:color w:val="AEBCC1" w:themeColor="text1" w:themeTint="7F"/>
    </w:rPr>
  </w:style>
  <w:style w:type="paragraph" w:styleId="IntenseQuote">
    <w:name w:val="Intense Quote"/>
    <w:basedOn w:val="Normal"/>
    <w:next w:val="Normal"/>
    <w:link w:val="IntenseQuoteChar"/>
    <w:autoRedefine/>
    <w:uiPriority w:val="30"/>
    <w:qFormat/>
    <w:rsid w:val="00496814"/>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496814"/>
    <w:rPr>
      <w:rFonts w:ascii="Cambria" w:hAnsi="Cambria" w:cs="Times New Roman"/>
      <w:b/>
      <w:bCs/>
      <w:i/>
      <w:iCs/>
      <w:color w:val="AEBBC0" w:themeColor="text1" w:themeTint="80"/>
      <w:sz w:val="20"/>
      <w:szCs w:val="20"/>
    </w:rPr>
  </w:style>
  <w:style w:type="character" w:styleId="BookTitle">
    <w:name w:val="Book Title"/>
    <w:basedOn w:val="DefaultParagraphFont"/>
    <w:uiPriority w:val="33"/>
    <w:qFormat/>
    <w:rsid w:val="00496814"/>
    <w:rPr>
      <w:rFonts w:ascii="Arial" w:hAnsi="Arial"/>
      <w:b/>
      <w:bCs/>
      <w:smallCaps/>
      <w:spacing w:val="5"/>
    </w:rPr>
  </w:style>
  <w:style w:type="character" w:styleId="IntenseReference">
    <w:name w:val="Intense Reference"/>
    <w:basedOn w:val="DefaultParagraphFont"/>
    <w:uiPriority w:val="32"/>
    <w:qFormat/>
    <w:rsid w:val="00496814"/>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496814"/>
    <w:rPr>
      <w:rFonts w:ascii="Arial" w:hAnsi="Arial"/>
      <w:smallCaps/>
      <w:color w:val="8555A1" w:themeColor="accent2"/>
      <w:u w:val="single"/>
    </w:rPr>
  </w:style>
  <w:style w:type="paragraph" w:styleId="Quote">
    <w:name w:val="Quote"/>
    <w:basedOn w:val="Normal"/>
    <w:next w:val="Normal"/>
    <w:link w:val="QuoteChar"/>
    <w:autoRedefine/>
    <w:uiPriority w:val="29"/>
    <w:qFormat/>
    <w:rsid w:val="00496814"/>
    <w:rPr>
      <w:i/>
      <w:iCs/>
    </w:rPr>
  </w:style>
  <w:style w:type="character" w:customStyle="1" w:styleId="QuoteChar">
    <w:name w:val="Quote Char"/>
    <w:basedOn w:val="DefaultParagraphFont"/>
    <w:link w:val="Quote"/>
    <w:uiPriority w:val="29"/>
    <w:rsid w:val="00496814"/>
    <w:rPr>
      <w:rFonts w:ascii="Cambria" w:hAnsi="Cambria" w:cs="Times New Roman"/>
      <w:i/>
      <w:iCs/>
      <w:sz w:val="20"/>
      <w:szCs w:val="20"/>
    </w:rPr>
  </w:style>
  <w:style w:type="character" w:styleId="Strong">
    <w:name w:val="Strong"/>
    <w:basedOn w:val="DefaultParagraphFont"/>
    <w:uiPriority w:val="22"/>
    <w:qFormat/>
    <w:rsid w:val="00496814"/>
    <w:rPr>
      <w:b/>
      <w:bCs/>
    </w:rPr>
  </w:style>
  <w:style w:type="paragraph" w:styleId="NoSpacing">
    <w:name w:val="No Spacing"/>
    <w:link w:val="NoSpacingChar"/>
    <w:autoRedefine/>
    <w:uiPriority w:val="1"/>
    <w:qFormat/>
    <w:rsid w:val="00496814"/>
    <w:pPr>
      <w:numPr>
        <w:numId w:val="31"/>
      </w:numPr>
      <w:spacing w:after="240"/>
    </w:pPr>
    <w:rPr>
      <w:rFonts w:ascii="Cambria" w:hAnsi="Cambria" w:cs="Times New Roman"/>
      <w:iCs/>
      <w:color w:val="62777F" w:themeColor="text1"/>
      <w:sz w:val="20"/>
      <w:szCs w:val="20"/>
    </w:rPr>
  </w:style>
  <w:style w:type="character" w:customStyle="1" w:styleId="Heading1Char2">
    <w:name w:val="Heading 1 Char2"/>
    <w:basedOn w:val="DefaultParagraphFont"/>
    <w:rsid w:val="00496814"/>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496814"/>
  </w:style>
  <w:style w:type="character" w:customStyle="1" w:styleId="Heading3Char7">
    <w:name w:val="Heading 3 Char7"/>
    <w:basedOn w:val="DefaultParagraphFont"/>
    <w:rsid w:val="00496814"/>
    <w:rPr>
      <w:rFonts w:ascii="Calibri" w:eastAsiaTheme="majorEastAsia" w:hAnsi="Calibri" w:cstheme="majorBidi"/>
      <w:b/>
      <w:bCs/>
    </w:rPr>
  </w:style>
  <w:style w:type="paragraph" w:styleId="TOC2">
    <w:name w:val="toc 2"/>
    <w:basedOn w:val="Normal"/>
    <w:next w:val="Normal"/>
    <w:autoRedefine/>
    <w:uiPriority w:val="39"/>
    <w:unhideWhenUsed/>
    <w:qFormat/>
    <w:rsid w:val="00496814"/>
    <w:pPr>
      <w:tabs>
        <w:tab w:val="right" w:leader="dot" w:pos="9360"/>
      </w:tabs>
      <w:spacing w:after="120" w:line="240" w:lineRule="auto"/>
    </w:pPr>
    <w:rPr>
      <w:rFonts w:ascii="Calibri" w:eastAsia="Times New Roman" w:hAnsi="Calibri" w:cstheme="majorBidi"/>
      <w:bCs/>
      <w:iCs/>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A86315"/>
    <w:pPr>
      <w:tabs>
        <w:tab w:val="right" w:leader="dot" w:pos="9360"/>
        <w:tab w:val="right" w:leader="dot" w:pos="9450"/>
      </w:tabs>
      <w:spacing w:after="40"/>
      <w:ind w:left="907" w:hanging="547"/>
    </w:pPr>
    <w:rPr>
      <w:rFonts w:ascii="Calibri" w:eastAsia="Times New Roman" w:hAnsi="Calibri" w:cs="Calibr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496814"/>
    <w:pPr>
      <w:ind w:left="360"/>
    </w:pPr>
  </w:style>
  <w:style w:type="paragraph" w:styleId="TOC5">
    <w:name w:val="toc 5"/>
    <w:basedOn w:val="Normal"/>
    <w:next w:val="Normal"/>
    <w:autoRedefine/>
    <w:uiPriority w:val="39"/>
    <w:unhideWhenUsed/>
    <w:qFormat/>
    <w:rsid w:val="00496814"/>
    <w:pPr>
      <w:ind w:left="360"/>
    </w:pPr>
  </w:style>
  <w:style w:type="paragraph" w:styleId="TOC6">
    <w:name w:val="toc 6"/>
    <w:basedOn w:val="Normal"/>
    <w:next w:val="Normal"/>
    <w:autoRedefine/>
    <w:uiPriority w:val="39"/>
    <w:unhideWhenUsed/>
    <w:qFormat/>
    <w:rsid w:val="00496814"/>
    <w:pPr>
      <w:ind w:left="360"/>
    </w:pPr>
    <w:rPr>
      <w:rFonts w:ascii="Arial" w:hAnsi="Arial"/>
      <w:sz w:val="18"/>
    </w:rPr>
  </w:style>
  <w:style w:type="paragraph" w:styleId="TOC7">
    <w:name w:val="toc 7"/>
    <w:basedOn w:val="Normal"/>
    <w:next w:val="Normal"/>
    <w:autoRedefine/>
    <w:uiPriority w:val="39"/>
    <w:unhideWhenUsed/>
    <w:qFormat/>
    <w:rsid w:val="00496814"/>
    <w:pPr>
      <w:ind w:left="360"/>
    </w:pPr>
    <w:rPr>
      <w:sz w:val="18"/>
    </w:rPr>
  </w:style>
  <w:style w:type="paragraph" w:styleId="TOC9">
    <w:name w:val="toc 9"/>
    <w:basedOn w:val="Normal"/>
    <w:next w:val="Normal"/>
    <w:autoRedefine/>
    <w:uiPriority w:val="39"/>
    <w:unhideWhenUsed/>
    <w:qFormat/>
    <w:rsid w:val="00496814"/>
    <w:pPr>
      <w:ind w:left="360"/>
    </w:pPr>
    <w:rPr>
      <w:rFonts w:ascii="Arial" w:hAnsi="Arial"/>
      <w:i/>
      <w:sz w:val="18"/>
    </w:rPr>
  </w:style>
  <w:style w:type="paragraph" w:styleId="TOC8">
    <w:name w:val="toc 8"/>
    <w:basedOn w:val="Normal"/>
    <w:next w:val="Normal"/>
    <w:autoRedefine/>
    <w:uiPriority w:val="39"/>
    <w:unhideWhenUsed/>
    <w:qFormat/>
    <w:rsid w:val="00496814"/>
    <w:pPr>
      <w:ind w:left="360"/>
    </w:pPr>
    <w:rPr>
      <w:i/>
      <w:sz w:val="18"/>
    </w:rPr>
  </w:style>
  <w:style w:type="paragraph" w:styleId="TOCHeading">
    <w:name w:val="TOC Heading"/>
    <w:basedOn w:val="Normal"/>
    <w:next w:val="Normal"/>
    <w:autoRedefine/>
    <w:uiPriority w:val="39"/>
    <w:unhideWhenUsed/>
    <w:qFormat/>
    <w:rsid w:val="00496814"/>
    <w:pPr>
      <w:keepLines/>
      <w:spacing w:after="480"/>
    </w:pPr>
    <w:rPr>
      <w:rFonts w:eastAsiaTheme="majorEastAsia" w:cs="Arial"/>
      <w:szCs w:val="28"/>
    </w:rPr>
  </w:style>
  <w:style w:type="paragraph" w:styleId="BlockText">
    <w:name w:val="Block Text"/>
    <w:basedOn w:val="Normal"/>
    <w:autoRedefine/>
    <w:uiPriority w:val="99"/>
    <w:semiHidden/>
    <w:unhideWhenUsed/>
    <w:qFormat/>
    <w:rsid w:val="00496814"/>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496814"/>
  </w:style>
  <w:style w:type="character" w:customStyle="1" w:styleId="BodyTextChar">
    <w:name w:val="Body Text Char"/>
    <w:aliases w:val="b Char1"/>
    <w:basedOn w:val="DefaultParagraphFont"/>
    <w:link w:val="BodyText"/>
    <w:rsid w:val="00496814"/>
    <w:rPr>
      <w:rFonts w:ascii="Cambria" w:hAnsi="Cambria" w:cs="Times New Roman"/>
      <w:sz w:val="20"/>
      <w:szCs w:val="20"/>
    </w:rPr>
  </w:style>
  <w:style w:type="paragraph" w:styleId="BodyText2">
    <w:name w:val="Body Text 2"/>
    <w:basedOn w:val="Normal"/>
    <w:link w:val="BodyText2Char"/>
    <w:autoRedefine/>
    <w:uiPriority w:val="99"/>
    <w:unhideWhenUsed/>
    <w:rsid w:val="00496814"/>
    <w:pPr>
      <w:spacing w:after="120" w:line="480" w:lineRule="auto"/>
    </w:pPr>
  </w:style>
  <w:style w:type="character" w:customStyle="1" w:styleId="BodyText2Char">
    <w:name w:val="Body Text 2 Char"/>
    <w:basedOn w:val="DefaultParagraphFont"/>
    <w:link w:val="BodyText2"/>
    <w:uiPriority w:val="99"/>
    <w:rsid w:val="00496814"/>
    <w:rPr>
      <w:rFonts w:ascii="Cambria" w:hAnsi="Cambria" w:cs="Times New Roman"/>
      <w:sz w:val="20"/>
      <w:szCs w:val="20"/>
    </w:rPr>
  </w:style>
  <w:style w:type="paragraph" w:styleId="BodyText3">
    <w:name w:val="Body Text 3"/>
    <w:basedOn w:val="Normal"/>
    <w:link w:val="BodyText3Char"/>
    <w:autoRedefine/>
    <w:uiPriority w:val="99"/>
    <w:unhideWhenUsed/>
    <w:rsid w:val="00496814"/>
    <w:pPr>
      <w:spacing w:after="120"/>
    </w:pPr>
    <w:rPr>
      <w:sz w:val="18"/>
      <w:szCs w:val="16"/>
    </w:rPr>
  </w:style>
  <w:style w:type="character" w:customStyle="1" w:styleId="BodyText3Char">
    <w:name w:val="Body Text 3 Char"/>
    <w:basedOn w:val="DefaultParagraphFont"/>
    <w:link w:val="BodyText3"/>
    <w:uiPriority w:val="99"/>
    <w:rsid w:val="00496814"/>
    <w:rPr>
      <w:rFonts w:ascii="Cambria" w:hAnsi="Cambria" w:cs="Times New Roman"/>
      <w:sz w:val="18"/>
      <w:szCs w:val="16"/>
    </w:rPr>
  </w:style>
  <w:style w:type="paragraph" w:styleId="BodyTextFirstIndent">
    <w:name w:val="Body Text First Indent"/>
    <w:basedOn w:val="BodyText"/>
    <w:link w:val="BodyTextFirstIndentChar"/>
    <w:autoRedefine/>
    <w:uiPriority w:val="99"/>
    <w:unhideWhenUsed/>
    <w:rsid w:val="00496814"/>
    <w:pPr>
      <w:spacing w:after="0"/>
      <w:ind w:left="360"/>
    </w:pPr>
  </w:style>
  <w:style w:type="character" w:customStyle="1" w:styleId="BodyTextFirstIndentChar">
    <w:name w:val="Body Text First Indent Char"/>
    <w:basedOn w:val="BodyTextChar"/>
    <w:link w:val="BodyTextFirstIndent"/>
    <w:uiPriority w:val="99"/>
    <w:rsid w:val="00496814"/>
    <w:rPr>
      <w:rFonts w:ascii="Cambria" w:hAnsi="Cambria" w:cs="Times New Roman"/>
      <w:sz w:val="20"/>
      <w:szCs w:val="20"/>
    </w:rPr>
  </w:style>
  <w:style w:type="paragraph" w:styleId="BodyTextIndent">
    <w:name w:val="Body Text Indent"/>
    <w:basedOn w:val="Normal"/>
    <w:link w:val="BodyTextIndentChar"/>
    <w:uiPriority w:val="99"/>
    <w:unhideWhenUsed/>
    <w:rsid w:val="00496814"/>
    <w:pPr>
      <w:spacing w:after="120"/>
      <w:ind w:left="360"/>
    </w:pPr>
  </w:style>
  <w:style w:type="character" w:customStyle="1" w:styleId="BodyTextIndentChar">
    <w:name w:val="Body Text Indent Char"/>
    <w:basedOn w:val="DefaultParagraphFont"/>
    <w:link w:val="BodyTextIndent"/>
    <w:uiPriority w:val="99"/>
    <w:rsid w:val="00496814"/>
    <w:rPr>
      <w:rFonts w:ascii="Cambria" w:hAnsi="Cambria" w:cs="Times New Roman"/>
      <w:sz w:val="20"/>
      <w:szCs w:val="20"/>
    </w:rPr>
  </w:style>
  <w:style w:type="paragraph" w:styleId="BodyTextFirstIndent2">
    <w:name w:val="Body Text First Indent 2"/>
    <w:basedOn w:val="BodyTextIndent"/>
    <w:link w:val="BodyTextFirstIndent2Char"/>
    <w:autoRedefine/>
    <w:uiPriority w:val="99"/>
    <w:unhideWhenUsed/>
    <w:rsid w:val="00496814"/>
    <w:pPr>
      <w:spacing w:after="0"/>
      <w:ind w:left="720"/>
    </w:pPr>
  </w:style>
  <w:style w:type="character" w:customStyle="1" w:styleId="BodyTextFirstIndent2Char">
    <w:name w:val="Body Text First Indent 2 Char"/>
    <w:basedOn w:val="BodyTextIndentChar"/>
    <w:link w:val="BodyTextFirstIndent2"/>
    <w:uiPriority w:val="99"/>
    <w:rsid w:val="00496814"/>
    <w:rPr>
      <w:rFonts w:ascii="Cambria" w:hAnsi="Cambria" w:cs="Times New Roman"/>
      <w:sz w:val="20"/>
      <w:szCs w:val="20"/>
    </w:rPr>
  </w:style>
  <w:style w:type="paragraph" w:customStyle="1" w:styleId="ISOBodyCopy">
    <w:name w:val="ISO Body Copy"/>
    <w:basedOn w:val="Normal"/>
    <w:link w:val="ISOBodyCopyChar"/>
    <w:rsid w:val="00496814"/>
    <w:rPr>
      <w:rFonts w:eastAsia="Times New Roman"/>
    </w:rPr>
  </w:style>
  <w:style w:type="paragraph" w:customStyle="1" w:styleId="ISOBulletList">
    <w:name w:val="ISO Bullet List"/>
    <w:basedOn w:val="Normal"/>
    <w:uiPriority w:val="99"/>
    <w:rsid w:val="00496814"/>
    <w:pPr>
      <w:numPr>
        <w:numId w:val="12"/>
      </w:numPr>
      <w:spacing w:after="120"/>
    </w:pPr>
    <w:rPr>
      <w:rFonts w:eastAsia="Times New Roman"/>
    </w:rPr>
  </w:style>
  <w:style w:type="character" w:customStyle="1" w:styleId="Heading1Char7">
    <w:name w:val="Heading 1 Char7"/>
    <w:basedOn w:val="DefaultParagraphFont"/>
    <w:rsid w:val="00496814"/>
    <w:rPr>
      <w:rFonts w:eastAsiaTheme="majorEastAsia" w:cstheme="majorBidi"/>
      <w:b/>
      <w:bCs/>
      <w:color w:val="0070C0"/>
      <w:sz w:val="36"/>
      <w:szCs w:val="28"/>
    </w:rPr>
  </w:style>
  <w:style w:type="paragraph" w:styleId="NormalWeb">
    <w:name w:val="Normal (Web)"/>
    <w:basedOn w:val="Normal"/>
    <w:uiPriority w:val="99"/>
    <w:rsid w:val="00496814"/>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496814"/>
    <w:rPr>
      <w:rFonts w:ascii="Arial" w:hAnsi="Arial" w:cs="Arial"/>
      <w:color w:val="993366"/>
      <w:sz w:val="20"/>
    </w:rPr>
  </w:style>
  <w:style w:type="paragraph" w:customStyle="1" w:styleId="ISOBullets2">
    <w:name w:val="ISO Bullets 2"/>
    <w:basedOn w:val="Normal"/>
    <w:uiPriority w:val="99"/>
    <w:rsid w:val="00496814"/>
    <w:pPr>
      <w:numPr>
        <w:numId w:val="13"/>
      </w:numPr>
      <w:spacing w:line="240" w:lineRule="auto"/>
    </w:pPr>
    <w:rPr>
      <w:rFonts w:eastAsia="Times New Roman"/>
    </w:rPr>
  </w:style>
  <w:style w:type="paragraph" w:styleId="DocumentMap">
    <w:name w:val="Document Map"/>
    <w:basedOn w:val="Normal"/>
    <w:link w:val="DocumentMapChar"/>
    <w:uiPriority w:val="99"/>
    <w:semiHidden/>
    <w:rsid w:val="00496814"/>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semiHidden/>
    <w:rsid w:val="00496814"/>
    <w:rPr>
      <w:rFonts w:ascii="Tahoma" w:eastAsia="Times New Roman" w:hAnsi="Tahoma" w:cs="Tahoma"/>
      <w:sz w:val="20"/>
      <w:szCs w:val="20"/>
      <w:shd w:val="clear" w:color="auto" w:fill="000080"/>
    </w:rPr>
  </w:style>
  <w:style w:type="paragraph" w:customStyle="1" w:styleId="TofCHeading">
    <w:name w:val="TofCHeading"/>
    <w:basedOn w:val="Normal"/>
    <w:uiPriority w:val="99"/>
    <w:rsid w:val="00496814"/>
    <w:pPr>
      <w:spacing w:line="240" w:lineRule="auto"/>
      <w:jc w:val="center"/>
      <w:outlineLvl w:val="0"/>
    </w:pPr>
    <w:rPr>
      <w:rFonts w:ascii="Arial" w:eastAsia="Times New Roman" w:hAnsi="Arial" w:cs="Arial"/>
      <w:b/>
      <w:bCs/>
      <w:sz w:val="36"/>
      <w:szCs w:val="24"/>
    </w:rPr>
  </w:style>
  <w:style w:type="paragraph" w:customStyle="1" w:styleId="Caption-Table">
    <w:name w:val="Caption-Table"/>
    <w:basedOn w:val="Normal"/>
    <w:autoRedefine/>
    <w:uiPriority w:val="99"/>
    <w:rsid w:val="00496814"/>
    <w:pPr>
      <w:spacing w:after="60"/>
    </w:pPr>
    <w:rPr>
      <w:rFonts w:eastAsia="Times New Roman" w:cs="Arial"/>
      <w:bCs/>
      <w:szCs w:val="22"/>
    </w:rPr>
  </w:style>
  <w:style w:type="paragraph" w:customStyle="1" w:styleId="TableNote">
    <w:name w:val="Table Note"/>
    <w:uiPriority w:val="99"/>
    <w:rsid w:val="00496814"/>
    <w:pPr>
      <w:keepNext/>
      <w:spacing w:before="80" w:after="0" w:line="240" w:lineRule="auto"/>
    </w:pPr>
    <w:rPr>
      <w:rFonts w:ascii="Arial" w:eastAsia="Times New Roman" w:hAnsi="Arial" w:cs="Times New Roman"/>
      <w:color w:val="62777F" w:themeColor="text1"/>
      <w:sz w:val="16"/>
      <w:szCs w:val="20"/>
    </w:rPr>
  </w:style>
  <w:style w:type="character" w:styleId="EndnoteReference">
    <w:name w:val="endnote reference"/>
    <w:basedOn w:val="DefaultParagraphFont"/>
    <w:uiPriority w:val="99"/>
    <w:semiHidden/>
    <w:rsid w:val="00496814"/>
    <w:rPr>
      <w:rFonts w:cs="Times New Roman"/>
      <w:vertAlign w:val="superscript"/>
    </w:rPr>
  </w:style>
  <w:style w:type="paragraph" w:customStyle="1" w:styleId="StyleNormalBefore0pt">
    <w:name w:val="Style Normal + Before:  0 pt"/>
    <w:basedOn w:val="Normal"/>
    <w:link w:val="StyleNormalBefore0ptChar"/>
    <w:rsid w:val="00496814"/>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uiPriority w:val="99"/>
    <w:rsid w:val="00496814"/>
    <w:pPr>
      <w:jc w:val="center"/>
    </w:pPr>
    <w:rPr>
      <w:rFonts w:eastAsia="Arial Unicode MS"/>
      <w:b/>
      <w:bCs/>
      <w:szCs w:val="16"/>
    </w:rPr>
  </w:style>
  <w:style w:type="paragraph" w:customStyle="1" w:styleId="Tablefont">
    <w:name w:val="Tablefont"/>
    <w:basedOn w:val="Normal"/>
    <w:uiPriority w:val="99"/>
    <w:rsid w:val="00496814"/>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uiPriority w:val="99"/>
    <w:rsid w:val="00496814"/>
    <w:pPr>
      <w:ind w:right="144"/>
      <w:jc w:val="right"/>
    </w:pPr>
  </w:style>
  <w:style w:type="paragraph" w:customStyle="1" w:styleId="TableTop">
    <w:name w:val="TableTop"/>
    <w:basedOn w:val="Normal"/>
    <w:uiPriority w:val="99"/>
    <w:rsid w:val="00496814"/>
    <w:pPr>
      <w:keepNext/>
      <w:keepLines/>
      <w:tabs>
        <w:tab w:val="left" w:pos="2880"/>
        <w:tab w:val="right" w:pos="8550"/>
      </w:tabs>
      <w:spacing w:before="240" w:line="240" w:lineRule="auto"/>
    </w:pPr>
    <w:rPr>
      <w:rFonts w:ascii="Arial" w:eastAsia="Times New Roman" w:hAnsi="Arial" w:cs="Arial"/>
      <w:b/>
      <w:bCs/>
      <w:szCs w:val="24"/>
    </w:rPr>
  </w:style>
  <w:style w:type="paragraph" w:customStyle="1" w:styleId="body">
    <w:name w:val="body"/>
    <w:basedOn w:val="Normal"/>
    <w:uiPriority w:val="99"/>
    <w:rsid w:val="00496814"/>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496814"/>
    <w:rPr>
      <w:rFonts w:ascii="Cambria" w:eastAsia="Times New Roman" w:hAnsi="Cambria" w:cs="Times New Roman"/>
      <w:sz w:val="20"/>
      <w:szCs w:val="20"/>
    </w:rPr>
  </w:style>
  <w:style w:type="paragraph" w:customStyle="1" w:styleId="ISOFootnoteText">
    <w:name w:val="ISO Footnote Text"/>
    <w:basedOn w:val="Normal"/>
    <w:uiPriority w:val="99"/>
    <w:rsid w:val="00496814"/>
    <w:pPr>
      <w:ind w:left="144" w:hanging="144"/>
    </w:pPr>
  </w:style>
  <w:style w:type="paragraph" w:customStyle="1" w:styleId="TableText">
    <w:name w:val="Table Text"/>
    <w:basedOn w:val="Normal"/>
    <w:autoRedefine/>
    <w:uiPriority w:val="99"/>
    <w:rsid w:val="00496814"/>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uiPriority w:val="99"/>
    <w:rsid w:val="00496814"/>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uiPriority w:val="99"/>
    <w:rsid w:val="00496814"/>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uiPriority w:val="99"/>
    <w:rsid w:val="00496814"/>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uiPriority w:val="99"/>
    <w:rsid w:val="00496814"/>
    <w:pPr>
      <w:spacing w:line="240" w:lineRule="atLeast"/>
    </w:pPr>
    <w:rPr>
      <w:bCs/>
    </w:rPr>
  </w:style>
  <w:style w:type="paragraph" w:customStyle="1" w:styleId="ISOHeading3">
    <w:name w:val="ISO Heading 3"/>
    <w:basedOn w:val="Normal"/>
    <w:autoRedefine/>
    <w:uiPriority w:val="99"/>
    <w:rsid w:val="00496814"/>
    <w:pPr>
      <w:spacing w:line="240" w:lineRule="atLeast"/>
    </w:pPr>
    <w:rPr>
      <w:rFonts w:ascii="Times New Roman" w:hAnsi="Times New Roman"/>
      <w:b/>
    </w:rPr>
  </w:style>
  <w:style w:type="paragraph" w:customStyle="1" w:styleId="Table-FigureBox">
    <w:name w:val="Table-FigureBox"/>
    <w:basedOn w:val="Normal"/>
    <w:uiPriority w:val="99"/>
    <w:rsid w:val="00496814"/>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uiPriority w:val="99"/>
    <w:rsid w:val="00496814"/>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uiPriority w:val="99"/>
    <w:rsid w:val="00496814"/>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496814"/>
    <w:rPr>
      <w:rFonts w:ascii="Arial" w:hAnsi="Arial" w:cs="Arial"/>
      <w:color w:val="000080"/>
      <w:sz w:val="20"/>
    </w:rPr>
  </w:style>
  <w:style w:type="paragraph" w:customStyle="1" w:styleId="Notes">
    <w:name w:val="Notes"/>
    <w:basedOn w:val="Normal"/>
    <w:uiPriority w:val="99"/>
    <w:rsid w:val="00496814"/>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uiPriority w:val="99"/>
    <w:rsid w:val="00496814"/>
    <w:rPr>
      <w:b/>
    </w:rPr>
  </w:style>
  <w:style w:type="paragraph" w:customStyle="1" w:styleId="StyleCaption-FigureLeft031">
    <w:name w:val="Style Caption-Figure + Left:  0.31&quot;"/>
    <w:basedOn w:val="Normal"/>
    <w:autoRedefine/>
    <w:uiPriority w:val="99"/>
    <w:rsid w:val="00496814"/>
    <w:pPr>
      <w:ind w:left="450"/>
    </w:pPr>
    <w:rPr>
      <w:b/>
    </w:rPr>
  </w:style>
  <w:style w:type="paragraph" w:customStyle="1" w:styleId="StyleCaption-FigureLeft031Right025">
    <w:name w:val="Style Caption-Figure + Left:  0.31&quot; Right:  0.25&quot;"/>
    <w:basedOn w:val="Normal"/>
    <w:autoRedefine/>
    <w:uiPriority w:val="99"/>
    <w:rsid w:val="00496814"/>
    <w:pPr>
      <w:ind w:left="450" w:right="360"/>
    </w:pPr>
    <w:rPr>
      <w:b/>
    </w:rPr>
  </w:style>
  <w:style w:type="paragraph" w:customStyle="1" w:styleId="StyleTOC2Right038">
    <w:name w:val="Style TOC 2 + Right:  0.38&quot;"/>
    <w:basedOn w:val="TOC2"/>
    <w:next w:val="TOC2"/>
    <w:uiPriority w:val="99"/>
    <w:rsid w:val="00496814"/>
    <w:pPr>
      <w:tabs>
        <w:tab w:val="right" w:leader="dot" w:pos="9000"/>
      </w:tabs>
      <w:spacing w:before="120" w:after="60"/>
      <w:ind w:left="540" w:right="540" w:hanging="540"/>
    </w:pPr>
  </w:style>
  <w:style w:type="paragraph" w:customStyle="1" w:styleId="TableCaption">
    <w:name w:val="Table Caption"/>
    <w:basedOn w:val="Normal"/>
    <w:autoRedefine/>
    <w:uiPriority w:val="99"/>
    <w:rsid w:val="00496814"/>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496814"/>
    <w:rPr>
      <w:rFonts w:ascii="Calibri" w:hAnsi="Calibri"/>
      <w:b/>
      <w:bCs/>
      <w:szCs w:val="18"/>
    </w:rPr>
  </w:style>
  <w:style w:type="character" w:styleId="HTMLDefinition">
    <w:name w:val="HTML Definition"/>
    <w:basedOn w:val="DefaultParagraphFont"/>
    <w:rsid w:val="00496814"/>
    <w:rPr>
      <w:rFonts w:cs="Times New Roman"/>
      <w:i/>
      <w:iCs/>
    </w:rPr>
  </w:style>
  <w:style w:type="paragraph" w:styleId="HTMLPreformatted">
    <w:name w:val="HTML Preformatted"/>
    <w:basedOn w:val="Normal"/>
    <w:link w:val="HTMLPreformattedChar"/>
    <w:rsid w:val="00496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496814"/>
    <w:rPr>
      <w:rFonts w:ascii="Verdana" w:eastAsia="Times New Roman" w:hAnsi="Verdana" w:cs="Courier New"/>
      <w:color w:val="14254B"/>
      <w:sz w:val="18"/>
      <w:szCs w:val="18"/>
    </w:rPr>
  </w:style>
  <w:style w:type="paragraph" w:customStyle="1" w:styleId="Bullets2">
    <w:name w:val="Bullets 2"/>
    <w:basedOn w:val="Normal"/>
    <w:uiPriority w:val="99"/>
    <w:rsid w:val="00496814"/>
    <w:pPr>
      <w:spacing w:before="120" w:after="120"/>
    </w:pPr>
    <w:rPr>
      <w:rFonts w:eastAsia="Times New Roman"/>
      <w:szCs w:val="24"/>
    </w:rPr>
  </w:style>
  <w:style w:type="paragraph" w:customStyle="1" w:styleId="StyleHeading1After6pt">
    <w:name w:val="Style Heading 1 + After:  6 pt"/>
    <w:basedOn w:val="Normal"/>
    <w:autoRedefine/>
    <w:uiPriority w:val="99"/>
    <w:rsid w:val="00496814"/>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uiPriority w:val="99"/>
    <w:rsid w:val="00496814"/>
    <w:pPr>
      <w:ind w:right="360"/>
    </w:pPr>
  </w:style>
  <w:style w:type="table" w:styleId="TableGrid">
    <w:name w:val="Table Grid"/>
    <w:basedOn w:val="TableNormal"/>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496814"/>
    <w:pPr>
      <w:tabs>
        <w:tab w:val="right" w:leader="dot" w:pos="8990"/>
      </w:tabs>
      <w:ind w:left="280" w:hanging="280"/>
    </w:pPr>
    <w:rPr>
      <w:rFonts w:eastAsia="Times New Roman"/>
      <w:noProof/>
    </w:rPr>
  </w:style>
  <w:style w:type="paragraph" w:styleId="Index2">
    <w:name w:val="index 2"/>
    <w:basedOn w:val="Normal"/>
    <w:next w:val="Normal"/>
    <w:autoRedefine/>
    <w:uiPriority w:val="99"/>
    <w:semiHidden/>
    <w:rsid w:val="00496814"/>
    <w:pPr>
      <w:tabs>
        <w:tab w:val="right" w:leader="dot" w:pos="8990"/>
      </w:tabs>
      <w:ind w:left="560" w:hanging="280"/>
    </w:pPr>
    <w:rPr>
      <w:rFonts w:eastAsia="Times New Roman"/>
      <w:noProof/>
    </w:rPr>
  </w:style>
  <w:style w:type="paragraph" w:styleId="Index3">
    <w:name w:val="index 3"/>
    <w:basedOn w:val="Normal"/>
    <w:next w:val="Normal"/>
    <w:autoRedefine/>
    <w:uiPriority w:val="99"/>
    <w:semiHidden/>
    <w:rsid w:val="00496814"/>
    <w:pPr>
      <w:ind w:left="840" w:hanging="280"/>
    </w:pPr>
    <w:rPr>
      <w:rFonts w:eastAsia="Times New Roman"/>
    </w:rPr>
  </w:style>
  <w:style w:type="character" w:customStyle="1" w:styleId="StyleCaption-Figure-Text8ptNotBold">
    <w:name w:val="Style Caption-Figure-Text + 8 pt Not Bold"/>
    <w:basedOn w:val="DefaultParagraphFont"/>
    <w:rsid w:val="00496814"/>
    <w:rPr>
      <w:rFonts w:ascii="Arial" w:hAnsi="Arial" w:cs="Times New Roman"/>
      <w:b/>
      <w:sz w:val="20"/>
      <w:szCs w:val="20"/>
    </w:rPr>
  </w:style>
  <w:style w:type="paragraph" w:customStyle="1" w:styleId="Default">
    <w:name w:val="Default"/>
    <w:rsid w:val="0049681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ption-FigureChar">
    <w:name w:val="Caption-Figure Char"/>
    <w:basedOn w:val="CaptionChar"/>
    <w:link w:val="Caption-Figure"/>
    <w:locked/>
    <w:rsid w:val="00496814"/>
    <w:rPr>
      <w:rFonts w:ascii="Calibri" w:hAnsi="Calibri"/>
      <w:b/>
      <w:bCs w:val="0"/>
      <w:szCs w:val="18"/>
    </w:rPr>
  </w:style>
  <w:style w:type="character" w:customStyle="1" w:styleId="CaptionFigureChar">
    <w:name w:val="CaptionFigure Char"/>
    <w:basedOn w:val="CaptionChar"/>
    <w:link w:val="CaptionFigure"/>
    <w:locked/>
    <w:rsid w:val="00496814"/>
    <w:rPr>
      <w:rFonts w:ascii="Calibri" w:hAnsi="Calibri"/>
      <w:b/>
      <w:bCs/>
      <w:sz w:val="20"/>
      <w:szCs w:val="18"/>
    </w:rPr>
  </w:style>
  <w:style w:type="paragraph" w:customStyle="1" w:styleId="StyleNormalBefore6ptJustified">
    <w:name w:val="Style Normal + Before:  6 pt + Justified"/>
    <w:basedOn w:val="NormalBefore6pt"/>
    <w:uiPriority w:val="99"/>
    <w:rsid w:val="00496814"/>
    <w:pPr>
      <w:jc w:val="both"/>
    </w:pPr>
    <w:rPr>
      <w:szCs w:val="20"/>
    </w:rPr>
  </w:style>
  <w:style w:type="paragraph" w:customStyle="1" w:styleId="Footer1ptspace">
    <w:name w:val="Footer 1pt space"/>
    <w:basedOn w:val="Footer"/>
    <w:uiPriority w:val="99"/>
    <w:rsid w:val="00496814"/>
  </w:style>
  <w:style w:type="paragraph" w:customStyle="1" w:styleId="CaptionFigure">
    <w:name w:val="CaptionFigure"/>
    <w:basedOn w:val="Normal"/>
    <w:link w:val="CaptionFigureChar"/>
    <w:rsid w:val="00496814"/>
    <w:rPr>
      <w:rFonts w:ascii="Calibri" w:hAnsi="Calibri" w:cstheme="minorBidi"/>
      <w:b/>
      <w:bCs/>
      <w:szCs w:val="18"/>
    </w:rPr>
  </w:style>
  <w:style w:type="character" w:customStyle="1" w:styleId="Caption-Figure-Text">
    <w:name w:val="Caption-Figure-Text"/>
    <w:qFormat/>
    <w:rsid w:val="00496814"/>
    <w:rPr>
      <w:rFonts w:ascii="Calibri" w:hAnsi="Calibri"/>
      <w:b/>
      <w:sz w:val="20"/>
    </w:rPr>
  </w:style>
  <w:style w:type="paragraph" w:customStyle="1" w:styleId="Style1">
    <w:name w:val="Style1"/>
    <w:basedOn w:val="CaptionFigure"/>
    <w:uiPriority w:val="99"/>
    <w:rsid w:val="00496814"/>
    <w:pPr>
      <w:ind w:left="360"/>
    </w:pPr>
    <w:rPr>
      <w:b w:val="0"/>
    </w:rPr>
  </w:style>
  <w:style w:type="paragraph" w:customStyle="1" w:styleId="NormalBefore6pt">
    <w:name w:val="Normal + Before:  6 pt"/>
    <w:basedOn w:val="Normal"/>
    <w:uiPriority w:val="99"/>
    <w:rsid w:val="00496814"/>
    <w:pPr>
      <w:spacing w:before="120" w:line="240" w:lineRule="auto"/>
    </w:pPr>
    <w:rPr>
      <w:rFonts w:eastAsia="Times New Roman"/>
      <w:szCs w:val="24"/>
    </w:rPr>
  </w:style>
  <w:style w:type="paragraph" w:styleId="BodyTextIndent2">
    <w:name w:val="Body Text Indent 2"/>
    <w:basedOn w:val="Normal"/>
    <w:link w:val="BodyTextIndent2Char"/>
    <w:uiPriority w:val="99"/>
    <w:rsid w:val="00496814"/>
    <w:pPr>
      <w:spacing w:after="120" w:line="480" w:lineRule="auto"/>
      <w:ind w:left="360"/>
    </w:pPr>
    <w:rPr>
      <w:rFonts w:eastAsia="Times New Roman"/>
    </w:rPr>
  </w:style>
  <w:style w:type="character" w:customStyle="1" w:styleId="BodyTextIndent2Char">
    <w:name w:val="Body Text Indent 2 Char"/>
    <w:basedOn w:val="DefaultParagraphFont"/>
    <w:link w:val="BodyTextIndent2"/>
    <w:uiPriority w:val="99"/>
    <w:rsid w:val="00496814"/>
    <w:rPr>
      <w:rFonts w:ascii="Cambria" w:eastAsia="Times New Roman" w:hAnsi="Cambria" w:cs="Times New Roman"/>
      <w:sz w:val="20"/>
      <w:szCs w:val="20"/>
    </w:rPr>
  </w:style>
  <w:style w:type="paragraph" w:styleId="BodyTextIndent3">
    <w:name w:val="Body Text Indent 3"/>
    <w:basedOn w:val="Normal"/>
    <w:link w:val="BodyTextIndent3Char"/>
    <w:uiPriority w:val="99"/>
    <w:rsid w:val="00496814"/>
    <w:pPr>
      <w:spacing w:after="120"/>
      <w:ind w:left="360"/>
    </w:pPr>
    <w:rPr>
      <w:rFonts w:eastAsia="Times New Roman"/>
      <w:sz w:val="16"/>
      <w:szCs w:val="16"/>
    </w:rPr>
  </w:style>
  <w:style w:type="character" w:customStyle="1" w:styleId="BodyTextIndent3Char">
    <w:name w:val="Body Text Indent 3 Char"/>
    <w:basedOn w:val="DefaultParagraphFont"/>
    <w:link w:val="BodyTextIndent3"/>
    <w:uiPriority w:val="99"/>
    <w:rsid w:val="00496814"/>
    <w:rPr>
      <w:rFonts w:ascii="Cambria" w:eastAsia="Times New Roman" w:hAnsi="Cambria" w:cs="Times New Roman"/>
      <w:sz w:val="16"/>
      <w:szCs w:val="16"/>
    </w:rPr>
  </w:style>
  <w:style w:type="paragraph" w:customStyle="1" w:styleId="Keyfacts-Text">
    <w:name w:val="Keyfacts-Text"/>
    <w:basedOn w:val="Normal"/>
    <w:uiPriority w:val="99"/>
    <w:rsid w:val="00496814"/>
    <w:pPr>
      <w:widowControl w:val="0"/>
      <w:numPr>
        <w:numId w:val="15"/>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uiPriority w:val="99"/>
    <w:rsid w:val="00496814"/>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496814"/>
    <w:pPr>
      <w:numPr>
        <w:numId w:val="14"/>
      </w:numPr>
    </w:pPr>
  </w:style>
  <w:style w:type="character" w:customStyle="1" w:styleId="NoSpacingChar">
    <w:name w:val="No Spacing Char"/>
    <w:basedOn w:val="DefaultParagraphFont"/>
    <w:link w:val="NoSpacing"/>
    <w:uiPriority w:val="1"/>
    <w:rsid w:val="00496814"/>
    <w:rPr>
      <w:rFonts w:ascii="Cambria" w:hAnsi="Cambria" w:cs="Times New Roman"/>
      <w:iCs/>
      <w:color w:val="62777F" w:themeColor="text1"/>
      <w:sz w:val="20"/>
      <w:szCs w:val="20"/>
    </w:rPr>
  </w:style>
  <w:style w:type="character" w:customStyle="1" w:styleId="EmailStyle1502">
    <w:name w:val="EmailStyle1502"/>
    <w:basedOn w:val="DefaultParagraphFont"/>
    <w:semiHidden/>
    <w:rsid w:val="00496814"/>
    <w:rPr>
      <w:rFonts w:ascii="Arial" w:hAnsi="Arial" w:cs="Arial"/>
      <w:color w:val="993366"/>
      <w:sz w:val="20"/>
    </w:rPr>
  </w:style>
  <w:style w:type="character" w:customStyle="1" w:styleId="EmailStyle1512">
    <w:name w:val="EmailStyle1512"/>
    <w:basedOn w:val="DefaultParagraphFont"/>
    <w:semiHidden/>
    <w:rsid w:val="00496814"/>
    <w:rPr>
      <w:rFonts w:ascii="Arial" w:hAnsi="Arial" w:cs="Arial"/>
      <w:color w:val="000080"/>
      <w:sz w:val="20"/>
    </w:rPr>
  </w:style>
  <w:style w:type="paragraph" w:styleId="EndnoteText">
    <w:name w:val="endnote text"/>
    <w:basedOn w:val="Normal"/>
    <w:link w:val="EndnoteTextChar"/>
    <w:uiPriority w:val="99"/>
    <w:rsid w:val="00496814"/>
    <w:pPr>
      <w:spacing w:line="240" w:lineRule="auto"/>
    </w:pPr>
    <w:rPr>
      <w:rFonts w:eastAsia="Times New Roman"/>
    </w:rPr>
  </w:style>
  <w:style w:type="character" w:customStyle="1" w:styleId="EndnoteTextChar">
    <w:name w:val="Endnote Text Char"/>
    <w:basedOn w:val="DefaultParagraphFont"/>
    <w:link w:val="EndnoteText"/>
    <w:uiPriority w:val="99"/>
    <w:rsid w:val="00496814"/>
    <w:rPr>
      <w:rFonts w:ascii="Cambria" w:eastAsia="Times New Roman" w:hAnsi="Cambria" w:cs="Times New Roman"/>
      <w:sz w:val="20"/>
      <w:szCs w:val="20"/>
    </w:rPr>
  </w:style>
  <w:style w:type="paragraph" w:styleId="PlainText">
    <w:name w:val="Plain Text"/>
    <w:basedOn w:val="Normal"/>
    <w:link w:val="PlainTextChar"/>
    <w:uiPriority w:val="99"/>
    <w:unhideWhenUsed/>
    <w:rsid w:val="00496814"/>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496814"/>
    <w:rPr>
      <w:rFonts w:ascii="Consolas" w:eastAsia="Calibri" w:hAnsi="Consolas" w:cs="Times New Roman"/>
      <w:sz w:val="21"/>
      <w:szCs w:val="21"/>
    </w:rPr>
  </w:style>
  <w:style w:type="character" w:customStyle="1" w:styleId="EmailStyle1562">
    <w:name w:val="EmailStyle1562"/>
    <w:basedOn w:val="DefaultParagraphFont"/>
    <w:semiHidden/>
    <w:rsid w:val="00496814"/>
    <w:rPr>
      <w:rFonts w:ascii="Arial" w:hAnsi="Arial" w:cs="Arial"/>
      <w:color w:val="993366"/>
      <w:sz w:val="20"/>
    </w:rPr>
  </w:style>
  <w:style w:type="character" w:customStyle="1" w:styleId="EmailStyle1572">
    <w:name w:val="EmailStyle1572"/>
    <w:basedOn w:val="DefaultParagraphFont"/>
    <w:semiHidden/>
    <w:rsid w:val="00496814"/>
    <w:rPr>
      <w:rFonts w:ascii="Arial" w:hAnsi="Arial" w:cs="Arial"/>
      <w:color w:val="000080"/>
      <w:sz w:val="20"/>
    </w:rPr>
  </w:style>
  <w:style w:type="character" w:customStyle="1" w:styleId="FootnoteCharacters">
    <w:name w:val="Footnote Characters"/>
    <w:basedOn w:val="DefaultParagraphFont"/>
    <w:uiPriority w:val="99"/>
    <w:rsid w:val="00496814"/>
    <w:rPr>
      <w:vertAlign w:val="superscript"/>
    </w:rPr>
  </w:style>
  <w:style w:type="paragraph" w:customStyle="1" w:styleId="Body1">
    <w:name w:val="Body 1"/>
    <w:basedOn w:val="Normal"/>
    <w:uiPriority w:val="99"/>
    <w:rsid w:val="00496814"/>
    <w:pPr>
      <w:suppressAutoHyphens/>
      <w:spacing w:line="240" w:lineRule="auto"/>
      <w:ind w:firstLine="720"/>
      <w:jc w:val="both"/>
    </w:pPr>
    <w:rPr>
      <w:rFonts w:eastAsia="Times New Roman"/>
      <w:szCs w:val="24"/>
      <w:lang w:eastAsia="ar-SA"/>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496814"/>
    <w:rPr>
      <w:sz w:val="18"/>
      <w:szCs w:val="18"/>
    </w:rPr>
  </w:style>
  <w:style w:type="character" w:customStyle="1" w:styleId="BodyTextChar1">
    <w:name w:val="Body Text Char1"/>
    <w:aliases w:val="b Char,b Char2"/>
    <w:basedOn w:val="DefaultParagraphFont"/>
    <w:rsid w:val="00496814"/>
    <w:rPr>
      <w:rFonts w:ascii="Times New Roman" w:eastAsia="Times New Roman" w:hAnsi="Times New Roman"/>
      <w:sz w:val="22"/>
      <w:szCs w:val="22"/>
    </w:rPr>
  </w:style>
  <w:style w:type="paragraph" w:customStyle="1" w:styleId="TextBullet">
    <w:name w:val="Text Bullet"/>
    <w:basedOn w:val="Normal"/>
    <w:autoRedefine/>
    <w:uiPriority w:val="99"/>
    <w:rsid w:val="00496814"/>
    <w:pPr>
      <w:spacing w:line="240" w:lineRule="auto"/>
      <w:ind w:left="360"/>
    </w:pPr>
    <w:rPr>
      <w:rFonts w:eastAsia="Times New Roman"/>
    </w:rPr>
  </w:style>
  <w:style w:type="paragraph" w:customStyle="1" w:styleId="nobottom">
    <w:name w:val="nobottom"/>
    <w:basedOn w:val="Normal"/>
    <w:uiPriority w:val="99"/>
    <w:rsid w:val="00496814"/>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496814"/>
    <w:rPr>
      <w:rFonts w:ascii="Cambria" w:hAnsi="Cambria" w:cs="Times New Roman"/>
      <w:dstrike w:val="0"/>
      <w:sz w:val="20"/>
      <w:vertAlign w:val="superscript"/>
    </w:rPr>
  </w:style>
  <w:style w:type="paragraph" w:customStyle="1" w:styleId="Table-FigureHeading">
    <w:name w:val="Table-FigureHeading"/>
    <w:basedOn w:val="Normal"/>
    <w:uiPriority w:val="99"/>
    <w:rsid w:val="00496814"/>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uiPriority w:val="99"/>
    <w:rsid w:val="00496814"/>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uiPriority w:val="99"/>
    <w:rsid w:val="00496814"/>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uiPriority w:val="99"/>
    <w:rsid w:val="00496814"/>
    <w:pPr>
      <w:numPr>
        <w:numId w:val="18"/>
      </w:numPr>
      <w:spacing w:after="60" w:line="240" w:lineRule="auto"/>
    </w:pPr>
    <w:rPr>
      <w:rFonts w:eastAsia="Times New Roman"/>
      <w:sz w:val="24"/>
      <w:szCs w:val="24"/>
    </w:rPr>
  </w:style>
  <w:style w:type="paragraph" w:customStyle="1" w:styleId="NumberedList">
    <w:name w:val="NumberedList"/>
    <w:uiPriority w:val="99"/>
    <w:rsid w:val="00496814"/>
    <w:pPr>
      <w:numPr>
        <w:ilvl w:val="1"/>
        <w:numId w:val="17"/>
      </w:numPr>
      <w:spacing w:after="0" w:line="240" w:lineRule="auto"/>
    </w:pPr>
    <w:rPr>
      <w:rFonts w:ascii="Times New Roman" w:eastAsia="Times New Roman" w:hAnsi="Times New Roman" w:cs="Times New Roman"/>
      <w:color w:val="62777F" w:themeColor="text1"/>
      <w:sz w:val="24"/>
      <w:szCs w:val="20"/>
    </w:rPr>
  </w:style>
  <w:style w:type="paragraph" w:customStyle="1" w:styleId="Reference">
    <w:name w:val="Reference"/>
    <w:basedOn w:val="Normal"/>
    <w:uiPriority w:val="99"/>
    <w:rsid w:val="00496814"/>
    <w:pPr>
      <w:spacing w:line="240" w:lineRule="auto"/>
    </w:pPr>
    <w:rPr>
      <w:rFonts w:eastAsia="Times New Roman"/>
      <w:sz w:val="24"/>
      <w:szCs w:val="24"/>
    </w:rPr>
  </w:style>
  <w:style w:type="paragraph" w:styleId="Index4">
    <w:name w:val="index 4"/>
    <w:basedOn w:val="Normal"/>
    <w:next w:val="Normal"/>
    <w:autoRedefine/>
    <w:uiPriority w:val="99"/>
    <w:semiHidden/>
    <w:rsid w:val="00496814"/>
    <w:pPr>
      <w:spacing w:line="240" w:lineRule="auto"/>
      <w:ind w:left="960" w:hanging="240"/>
    </w:pPr>
    <w:rPr>
      <w:rFonts w:eastAsia="Times New Roman"/>
      <w:sz w:val="24"/>
      <w:szCs w:val="21"/>
    </w:rPr>
  </w:style>
  <w:style w:type="paragraph" w:styleId="Index5">
    <w:name w:val="index 5"/>
    <w:basedOn w:val="Normal"/>
    <w:next w:val="Normal"/>
    <w:autoRedefine/>
    <w:uiPriority w:val="99"/>
    <w:semiHidden/>
    <w:rsid w:val="00496814"/>
    <w:pPr>
      <w:spacing w:line="240" w:lineRule="auto"/>
      <w:ind w:left="1200" w:hanging="240"/>
    </w:pPr>
    <w:rPr>
      <w:rFonts w:eastAsia="Times New Roman"/>
      <w:sz w:val="24"/>
      <w:szCs w:val="21"/>
    </w:rPr>
  </w:style>
  <w:style w:type="paragraph" w:styleId="Index6">
    <w:name w:val="index 6"/>
    <w:basedOn w:val="Normal"/>
    <w:next w:val="Normal"/>
    <w:autoRedefine/>
    <w:uiPriority w:val="99"/>
    <w:semiHidden/>
    <w:rsid w:val="00496814"/>
    <w:pPr>
      <w:spacing w:line="240" w:lineRule="auto"/>
      <w:ind w:left="1440" w:hanging="240"/>
    </w:pPr>
    <w:rPr>
      <w:rFonts w:eastAsia="Times New Roman"/>
      <w:sz w:val="24"/>
      <w:szCs w:val="21"/>
    </w:rPr>
  </w:style>
  <w:style w:type="paragraph" w:styleId="Index7">
    <w:name w:val="index 7"/>
    <w:basedOn w:val="Normal"/>
    <w:next w:val="Normal"/>
    <w:autoRedefine/>
    <w:uiPriority w:val="99"/>
    <w:semiHidden/>
    <w:rsid w:val="00496814"/>
    <w:pPr>
      <w:spacing w:line="240" w:lineRule="auto"/>
      <w:ind w:left="1680" w:hanging="240"/>
    </w:pPr>
    <w:rPr>
      <w:rFonts w:eastAsia="Times New Roman"/>
      <w:sz w:val="24"/>
      <w:szCs w:val="21"/>
    </w:rPr>
  </w:style>
  <w:style w:type="paragraph" w:styleId="Index8">
    <w:name w:val="index 8"/>
    <w:basedOn w:val="Normal"/>
    <w:next w:val="Normal"/>
    <w:autoRedefine/>
    <w:uiPriority w:val="99"/>
    <w:semiHidden/>
    <w:rsid w:val="00496814"/>
    <w:pPr>
      <w:spacing w:line="240" w:lineRule="auto"/>
      <w:ind w:left="1920" w:hanging="240"/>
    </w:pPr>
    <w:rPr>
      <w:rFonts w:eastAsia="Times New Roman"/>
      <w:sz w:val="24"/>
      <w:szCs w:val="21"/>
    </w:rPr>
  </w:style>
  <w:style w:type="paragraph" w:styleId="Index9">
    <w:name w:val="index 9"/>
    <w:basedOn w:val="Normal"/>
    <w:next w:val="Normal"/>
    <w:autoRedefine/>
    <w:uiPriority w:val="99"/>
    <w:semiHidden/>
    <w:rsid w:val="00496814"/>
    <w:pPr>
      <w:spacing w:line="240" w:lineRule="auto"/>
      <w:ind w:left="2160" w:hanging="240"/>
    </w:pPr>
    <w:rPr>
      <w:rFonts w:eastAsia="Times New Roman"/>
      <w:sz w:val="24"/>
      <w:szCs w:val="21"/>
    </w:rPr>
  </w:style>
  <w:style w:type="paragraph" w:styleId="IndexHeading">
    <w:name w:val="index heading"/>
    <w:basedOn w:val="Normal"/>
    <w:next w:val="Index1"/>
    <w:uiPriority w:val="99"/>
    <w:semiHidden/>
    <w:rsid w:val="00496814"/>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uiPriority w:val="99"/>
    <w:rsid w:val="00496814"/>
    <w:pPr>
      <w:spacing w:before="60" w:after="120" w:line="240" w:lineRule="auto"/>
      <w:jc w:val="center"/>
    </w:pPr>
    <w:rPr>
      <w:rFonts w:ascii="Arial" w:eastAsia="Times New Roman" w:hAnsi="Arial"/>
      <w:noProof/>
      <w:sz w:val="24"/>
    </w:rPr>
  </w:style>
  <w:style w:type="paragraph" w:customStyle="1" w:styleId="1Numbering">
    <w:name w:val="1.Numbering"/>
    <w:basedOn w:val="Normal"/>
    <w:uiPriority w:val="99"/>
    <w:rsid w:val="00496814"/>
    <w:pPr>
      <w:tabs>
        <w:tab w:val="num" w:pos="1080"/>
      </w:tabs>
      <w:spacing w:line="240" w:lineRule="auto"/>
      <w:ind w:left="1080" w:hanging="360"/>
    </w:pPr>
    <w:rPr>
      <w:rFonts w:eastAsia="Times New Roman"/>
      <w:sz w:val="24"/>
      <w:szCs w:val="24"/>
    </w:rPr>
  </w:style>
  <w:style w:type="paragraph" w:customStyle="1" w:styleId="StudyRef1">
    <w:name w:val="StudyRef1"/>
    <w:basedOn w:val="Normal"/>
    <w:uiPriority w:val="99"/>
    <w:rsid w:val="00496814"/>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uiPriority w:val="99"/>
    <w:rsid w:val="00496814"/>
    <w:pPr>
      <w:tabs>
        <w:tab w:val="num" w:pos="1440"/>
      </w:tabs>
      <w:spacing w:after="0" w:line="240" w:lineRule="auto"/>
      <w:ind w:left="1440" w:hanging="360"/>
    </w:pPr>
    <w:rPr>
      <w:rFonts w:ascii="Times New Roman" w:eastAsia="Times New Roman" w:hAnsi="Times New Roman" w:cs="Times New Roman"/>
      <w:color w:val="62777F" w:themeColor="text1"/>
      <w:sz w:val="24"/>
      <w:szCs w:val="20"/>
    </w:rPr>
  </w:style>
  <w:style w:type="paragraph" w:customStyle="1" w:styleId="R521DocumentTitle">
    <w:name w:val="R521 Document Title"/>
    <w:basedOn w:val="Normal"/>
    <w:uiPriority w:val="99"/>
    <w:rsid w:val="00496814"/>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uiPriority w:val="99"/>
    <w:rsid w:val="00496814"/>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uiPriority w:val="99"/>
    <w:rsid w:val="00496814"/>
    <w:rPr>
      <w:smallCaps/>
      <w:color w:val="008080"/>
    </w:rPr>
  </w:style>
  <w:style w:type="character" w:styleId="PageNumber">
    <w:name w:val="page number"/>
    <w:basedOn w:val="DefaultParagraphFont"/>
    <w:semiHidden/>
    <w:rsid w:val="00496814"/>
  </w:style>
  <w:style w:type="paragraph" w:styleId="EnvelopeReturn">
    <w:name w:val="envelope return"/>
    <w:basedOn w:val="Normal"/>
    <w:uiPriority w:val="99"/>
    <w:semiHidden/>
    <w:rsid w:val="00496814"/>
    <w:pPr>
      <w:spacing w:line="240" w:lineRule="auto"/>
    </w:pPr>
    <w:rPr>
      <w:rFonts w:eastAsia="Times New Roman" w:cs="Arial"/>
    </w:rPr>
  </w:style>
  <w:style w:type="paragraph" w:customStyle="1" w:styleId="Bullets-indented">
    <w:name w:val="Bullets-indented"/>
    <w:basedOn w:val="Bullets"/>
    <w:uiPriority w:val="99"/>
    <w:rsid w:val="00496814"/>
    <w:pPr>
      <w:tabs>
        <w:tab w:val="clear" w:pos="720"/>
        <w:tab w:val="left" w:pos="1080"/>
      </w:tabs>
      <w:ind w:left="1080"/>
    </w:pPr>
  </w:style>
  <w:style w:type="paragraph" w:customStyle="1" w:styleId="font5">
    <w:name w:val="font5"/>
    <w:basedOn w:val="Normal"/>
    <w:uiPriority w:val="99"/>
    <w:rsid w:val="00496814"/>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uiPriority w:val="99"/>
    <w:rsid w:val="00496814"/>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uiPriority w:val="99"/>
    <w:semiHidden/>
    <w:rsid w:val="00496814"/>
    <w:pPr>
      <w:spacing w:line="240" w:lineRule="auto"/>
      <w:ind w:left="4320"/>
    </w:pPr>
    <w:rPr>
      <w:rFonts w:eastAsia="Times New Roman"/>
      <w:sz w:val="24"/>
      <w:szCs w:val="24"/>
    </w:rPr>
  </w:style>
  <w:style w:type="character" w:customStyle="1" w:styleId="ClosingChar">
    <w:name w:val="Closing Char"/>
    <w:basedOn w:val="DefaultParagraphFont"/>
    <w:link w:val="Closing"/>
    <w:uiPriority w:val="99"/>
    <w:semiHidden/>
    <w:rsid w:val="00496814"/>
    <w:rPr>
      <w:rFonts w:ascii="Cambria" w:eastAsia="Times New Roman" w:hAnsi="Cambria" w:cs="Times New Roman"/>
      <w:sz w:val="24"/>
      <w:szCs w:val="24"/>
    </w:rPr>
  </w:style>
  <w:style w:type="paragraph" w:styleId="Date">
    <w:name w:val="Date"/>
    <w:basedOn w:val="Normal"/>
    <w:next w:val="Normal"/>
    <w:link w:val="DateChar"/>
    <w:uiPriority w:val="99"/>
    <w:rsid w:val="00496814"/>
    <w:pPr>
      <w:spacing w:line="240" w:lineRule="auto"/>
    </w:pPr>
    <w:rPr>
      <w:rFonts w:eastAsia="Times New Roman"/>
      <w:sz w:val="24"/>
      <w:szCs w:val="24"/>
    </w:rPr>
  </w:style>
  <w:style w:type="character" w:customStyle="1" w:styleId="DateChar">
    <w:name w:val="Date Char"/>
    <w:basedOn w:val="DefaultParagraphFont"/>
    <w:link w:val="Date"/>
    <w:uiPriority w:val="99"/>
    <w:rsid w:val="00496814"/>
    <w:rPr>
      <w:rFonts w:ascii="Cambria" w:eastAsia="Times New Roman" w:hAnsi="Cambria" w:cs="Times New Roman"/>
      <w:sz w:val="24"/>
      <w:szCs w:val="24"/>
    </w:rPr>
  </w:style>
  <w:style w:type="paragraph" w:styleId="E-mailSignature">
    <w:name w:val="E-mail Signature"/>
    <w:basedOn w:val="Normal"/>
    <w:link w:val="E-mailSignatureChar"/>
    <w:uiPriority w:val="99"/>
    <w:semiHidden/>
    <w:rsid w:val="00496814"/>
    <w:pPr>
      <w:spacing w:line="240" w:lineRule="auto"/>
    </w:pPr>
    <w:rPr>
      <w:rFonts w:eastAsia="Times New Roman"/>
      <w:sz w:val="24"/>
      <w:szCs w:val="24"/>
    </w:rPr>
  </w:style>
  <w:style w:type="character" w:customStyle="1" w:styleId="E-mailSignatureChar">
    <w:name w:val="E-mail Signature Char"/>
    <w:basedOn w:val="DefaultParagraphFont"/>
    <w:link w:val="E-mailSignature"/>
    <w:uiPriority w:val="99"/>
    <w:semiHidden/>
    <w:rsid w:val="00496814"/>
    <w:rPr>
      <w:rFonts w:ascii="Cambria" w:eastAsia="Times New Roman" w:hAnsi="Cambria" w:cs="Times New Roman"/>
      <w:sz w:val="24"/>
      <w:szCs w:val="24"/>
    </w:rPr>
  </w:style>
  <w:style w:type="paragraph" w:styleId="EnvelopeAddress">
    <w:name w:val="envelope address"/>
    <w:basedOn w:val="Normal"/>
    <w:uiPriority w:val="99"/>
    <w:semiHidden/>
    <w:rsid w:val="00496814"/>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496814"/>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496814"/>
    <w:rPr>
      <w:rFonts w:ascii="Cambria" w:eastAsia="Times New Roman" w:hAnsi="Cambria" w:cs="Times New Roman"/>
      <w:i/>
      <w:iCs/>
      <w:sz w:val="24"/>
      <w:szCs w:val="24"/>
    </w:rPr>
  </w:style>
  <w:style w:type="paragraph" w:styleId="List">
    <w:name w:val="List"/>
    <w:basedOn w:val="Normal"/>
    <w:uiPriority w:val="99"/>
    <w:semiHidden/>
    <w:rsid w:val="00496814"/>
    <w:pPr>
      <w:spacing w:line="240" w:lineRule="auto"/>
      <w:ind w:left="360" w:hanging="360"/>
    </w:pPr>
    <w:rPr>
      <w:rFonts w:eastAsia="Times New Roman"/>
      <w:sz w:val="24"/>
      <w:szCs w:val="24"/>
    </w:rPr>
  </w:style>
  <w:style w:type="paragraph" w:styleId="List2">
    <w:name w:val="List 2"/>
    <w:basedOn w:val="Normal"/>
    <w:uiPriority w:val="99"/>
    <w:semiHidden/>
    <w:rsid w:val="00496814"/>
    <w:pPr>
      <w:spacing w:line="240" w:lineRule="auto"/>
      <w:ind w:left="720" w:hanging="360"/>
    </w:pPr>
    <w:rPr>
      <w:rFonts w:eastAsia="Times New Roman"/>
      <w:sz w:val="24"/>
      <w:szCs w:val="24"/>
    </w:rPr>
  </w:style>
  <w:style w:type="paragraph" w:styleId="List3">
    <w:name w:val="List 3"/>
    <w:basedOn w:val="Normal"/>
    <w:uiPriority w:val="99"/>
    <w:semiHidden/>
    <w:rsid w:val="00496814"/>
    <w:pPr>
      <w:spacing w:line="240" w:lineRule="auto"/>
      <w:ind w:left="1080" w:hanging="360"/>
    </w:pPr>
    <w:rPr>
      <w:rFonts w:eastAsia="Times New Roman"/>
      <w:sz w:val="24"/>
      <w:szCs w:val="24"/>
    </w:rPr>
  </w:style>
  <w:style w:type="paragraph" w:styleId="List4">
    <w:name w:val="List 4"/>
    <w:basedOn w:val="Normal"/>
    <w:uiPriority w:val="99"/>
    <w:semiHidden/>
    <w:rsid w:val="00496814"/>
    <w:pPr>
      <w:spacing w:line="240" w:lineRule="auto"/>
      <w:ind w:left="1440" w:hanging="360"/>
    </w:pPr>
    <w:rPr>
      <w:rFonts w:eastAsia="Times New Roman"/>
      <w:sz w:val="24"/>
      <w:szCs w:val="24"/>
    </w:rPr>
  </w:style>
  <w:style w:type="paragraph" w:styleId="List5">
    <w:name w:val="List 5"/>
    <w:basedOn w:val="Normal"/>
    <w:uiPriority w:val="99"/>
    <w:semiHidden/>
    <w:rsid w:val="00496814"/>
    <w:pPr>
      <w:spacing w:line="240" w:lineRule="auto"/>
      <w:ind w:left="1800" w:hanging="360"/>
    </w:pPr>
    <w:rPr>
      <w:rFonts w:eastAsia="Times New Roman"/>
      <w:sz w:val="24"/>
      <w:szCs w:val="24"/>
    </w:rPr>
  </w:style>
  <w:style w:type="paragraph" w:styleId="ListBullet">
    <w:name w:val="List Bullet"/>
    <w:basedOn w:val="Normal"/>
    <w:autoRedefine/>
    <w:uiPriority w:val="99"/>
    <w:semiHidden/>
    <w:rsid w:val="00496814"/>
    <w:pPr>
      <w:tabs>
        <w:tab w:val="num" w:pos="1800"/>
      </w:tabs>
      <w:spacing w:line="240" w:lineRule="auto"/>
      <w:ind w:left="1800" w:hanging="360"/>
    </w:pPr>
    <w:rPr>
      <w:rFonts w:eastAsia="Times New Roman"/>
      <w:sz w:val="24"/>
      <w:szCs w:val="24"/>
    </w:rPr>
  </w:style>
  <w:style w:type="paragraph" w:styleId="ListBullet3">
    <w:name w:val="List Bullet 3"/>
    <w:basedOn w:val="Normal"/>
    <w:autoRedefine/>
    <w:uiPriority w:val="99"/>
    <w:semiHidden/>
    <w:rsid w:val="00496814"/>
    <w:pPr>
      <w:numPr>
        <w:numId w:val="19"/>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uiPriority w:val="99"/>
    <w:semiHidden/>
    <w:rsid w:val="00496814"/>
    <w:pPr>
      <w:numPr>
        <w:numId w:val="20"/>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uiPriority w:val="99"/>
    <w:semiHidden/>
    <w:rsid w:val="00496814"/>
    <w:pPr>
      <w:numPr>
        <w:numId w:val="21"/>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uiPriority w:val="99"/>
    <w:semiHidden/>
    <w:rsid w:val="00496814"/>
    <w:pPr>
      <w:numPr>
        <w:numId w:val="22"/>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uiPriority w:val="99"/>
    <w:semiHidden/>
    <w:rsid w:val="00496814"/>
    <w:pPr>
      <w:spacing w:after="120" w:line="240" w:lineRule="auto"/>
      <w:ind w:left="720"/>
    </w:pPr>
    <w:rPr>
      <w:rFonts w:eastAsia="Times New Roman"/>
      <w:sz w:val="24"/>
      <w:szCs w:val="24"/>
    </w:rPr>
  </w:style>
  <w:style w:type="paragraph" w:styleId="ListContinue3">
    <w:name w:val="List Continue 3"/>
    <w:basedOn w:val="Normal"/>
    <w:uiPriority w:val="99"/>
    <w:semiHidden/>
    <w:rsid w:val="00496814"/>
    <w:pPr>
      <w:spacing w:after="120" w:line="240" w:lineRule="auto"/>
      <w:ind w:left="1080"/>
    </w:pPr>
    <w:rPr>
      <w:rFonts w:eastAsia="Times New Roman"/>
      <w:sz w:val="24"/>
      <w:szCs w:val="24"/>
    </w:rPr>
  </w:style>
  <w:style w:type="paragraph" w:styleId="ListContinue4">
    <w:name w:val="List Continue 4"/>
    <w:basedOn w:val="Normal"/>
    <w:uiPriority w:val="99"/>
    <w:semiHidden/>
    <w:rsid w:val="00496814"/>
    <w:pPr>
      <w:spacing w:after="120" w:line="240" w:lineRule="auto"/>
      <w:ind w:left="1440"/>
    </w:pPr>
    <w:rPr>
      <w:rFonts w:eastAsia="Times New Roman"/>
      <w:sz w:val="24"/>
      <w:szCs w:val="24"/>
    </w:rPr>
  </w:style>
  <w:style w:type="paragraph" w:styleId="ListContinue5">
    <w:name w:val="List Continue 5"/>
    <w:basedOn w:val="Normal"/>
    <w:uiPriority w:val="99"/>
    <w:semiHidden/>
    <w:rsid w:val="00496814"/>
    <w:pPr>
      <w:spacing w:after="120" w:line="240" w:lineRule="auto"/>
      <w:ind w:left="1800"/>
    </w:pPr>
    <w:rPr>
      <w:rFonts w:eastAsia="Times New Roman"/>
      <w:sz w:val="24"/>
      <w:szCs w:val="24"/>
    </w:rPr>
  </w:style>
  <w:style w:type="paragraph" w:styleId="ListNumber">
    <w:name w:val="List Number"/>
    <w:basedOn w:val="Normal"/>
    <w:uiPriority w:val="99"/>
    <w:semiHidden/>
    <w:rsid w:val="00496814"/>
    <w:pPr>
      <w:tabs>
        <w:tab w:val="num" w:pos="360"/>
      </w:tabs>
      <w:spacing w:line="240" w:lineRule="auto"/>
      <w:ind w:left="360" w:hanging="360"/>
    </w:pPr>
    <w:rPr>
      <w:rFonts w:eastAsia="Times New Roman"/>
      <w:sz w:val="24"/>
      <w:szCs w:val="24"/>
    </w:rPr>
  </w:style>
  <w:style w:type="paragraph" w:styleId="ListNumber2">
    <w:name w:val="List Number 2"/>
    <w:basedOn w:val="Normal"/>
    <w:uiPriority w:val="99"/>
    <w:semiHidden/>
    <w:rsid w:val="00496814"/>
    <w:pPr>
      <w:numPr>
        <w:numId w:val="23"/>
      </w:numPr>
      <w:tabs>
        <w:tab w:val="clear" w:pos="360"/>
        <w:tab w:val="num" w:pos="720"/>
      </w:tabs>
      <w:spacing w:line="240" w:lineRule="auto"/>
      <w:ind w:left="720"/>
    </w:pPr>
    <w:rPr>
      <w:rFonts w:eastAsia="Times New Roman"/>
      <w:sz w:val="24"/>
      <w:szCs w:val="24"/>
    </w:rPr>
  </w:style>
  <w:style w:type="paragraph" w:styleId="ListNumber3">
    <w:name w:val="List Number 3"/>
    <w:basedOn w:val="Normal"/>
    <w:uiPriority w:val="99"/>
    <w:semiHidden/>
    <w:rsid w:val="00496814"/>
    <w:pPr>
      <w:numPr>
        <w:numId w:val="24"/>
      </w:numPr>
      <w:tabs>
        <w:tab w:val="clear" w:pos="720"/>
        <w:tab w:val="num" w:pos="1080"/>
      </w:tabs>
      <w:spacing w:line="240" w:lineRule="auto"/>
      <w:ind w:left="1080"/>
    </w:pPr>
    <w:rPr>
      <w:rFonts w:eastAsia="Times New Roman"/>
      <w:sz w:val="24"/>
      <w:szCs w:val="24"/>
    </w:rPr>
  </w:style>
  <w:style w:type="paragraph" w:styleId="ListNumber4">
    <w:name w:val="List Number 4"/>
    <w:basedOn w:val="Normal"/>
    <w:uiPriority w:val="99"/>
    <w:semiHidden/>
    <w:rsid w:val="00496814"/>
    <w:pPr>
      <w:numPr>
        <w:numId w:val="25"/>
      </w:numPr>
      <w:tabs>
        <w:tab w:val="clear" w:pos="1080"/>
        <w:tab w:val="num" w:pos="1440"/>
      </w:tabs>
      <w:spacing w:line="240" w:lineRule="auto"/>
      <w:ind w:left="1440"/>
    </w:pPr>
    <w:rPr>
      <w:rFonts w:eastAsia="Times New Roman"/>
      <w:sz w:val="24"/>
      <w:szCs w:val="24"/>
    </w:rPr>
  </w:style>
  <w:style w:type="paragraph" w:styleId="ListNumber5">
    <w:name w:val="List Number 5"/>
    <w:basedOn w:val="Normal"/>
    <w:uiPriority w:val="99"/>
    <w:semiHidden/>
    <w:rsid w:val="00496814"/>
    <w:pPr>
      <w:numPr>
        <w:numId w:val="26"/>
      </w:numPr>
      <w:tabs>
        <w:tab w:val="clear" w:pos="1440"/>
        <w:tab w:val="num" w:pos="1800"/>
      </w:tabs>
      <w:spacing w:line="240" w:lineRule="auto"/>
      <w:ind w:left="1800"/>
    </w:pPr>
    <w:rPr>
      <w:rFonts w:eastAsia="Times New Roman"/>
      <w:sz w:val="24"/>
      <w:szCs w:val="24"/>
    </w:rPr>
  </w:style>
  <w:style w:type="paragraph" w:styleId="MacroText">
    <w:name w:val="macro"/>
    <w:link w:val="MacroTextChar"/>
    <w:uiPriority w:val="99"/>
    <w:semiHidden/>
    <w:rsid w:val="00496814"/>
    <w:pPr>
      <w:numPr>
        <w:numId w:val="27"/>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color w:val="62777F" w:themeColor="text1"/>
      <w:sz w:val="20"/>
      <w:szCs w:val="20"/>
    </w:rPr>
  </w:style>
  <w:style w:type="character" w:customStyle="1" w:styleId="MacroTextChar">
    <w:name w:val="Macro Text Char"/>
    <w:basedOn w:val="DefaultParagraphFont"/>
    <w:link w:val="MacroText"/>
    <w:uiPriority w:val="99"/>
    <w:semiHidden/>
    <w:rsid w:val="00496814"/>
    <w:rPr>
      <w:rFonts w:ascii="Courier New" w:eastAsia="Times New Roman" w:hAnsi="Courier New" w:cs="Courier New"/>
      <w:color w:val="62777F" w:themeColor="text1"/>
      <w:sz w:val="20"/>
      <w:szCs w:val="20"/>
    </w:rPr>
  </w:style>
  <w:style w:type="paragraph" w:styleId="MessageHeader">
    <w:name w:val="Message Header"/>
    <w:basedOn w:val="Normal"/>
    <w:link w:val="MessageHeaderChar"/>
    <w:uiPriority w:val="99"/>
    <w:semiHidden/>
    <w:rsid w:val="0049681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semiHidden/>
    <w:rsid w:val="00496814"/>
    <w:rPr>
      <w:rFonts w:ascii="Arial" w:eastAsia="Times New Roman" w:hAnsi="Arial" w:cs="Arial"/>
      <w:sz w:val="24"/>
      <w:szCs w:val="24"/>
      <w:shd w:val="pct20" w:color="auto" w:fill="auto"/>
    </w:rPr>
  </w:style>
  <w:style w:type="paragraph" w:styleId="NormalIndent">
    <w:name w:val="Normal Indent"/>
    <w:basedOn w:val="Normal"/>
    <w:uiPriority w:val="99"/>
    <w:semiHidden/>
    <w:rsid w:val="00496814"/>
    <w:pPr>
      <w:spacing w:line="240" w:lineRule="auto"/>
      <w:ind w:left="720"/>
    </w:pPr>
    <w:rPr>
      <w:rFonts w:eastAsia="Times New Roman"/>
      <w:sz w:val="24"/>
      <w:szCs w:val="24"/>
    </w:rPr>
  </w:style>
  <w:style w:type="paragraph" w:styleId="NoteHeading">
    <w:name w:val="Note Heading"/>
    <w:basedOn w:val="Normal"/>
    <w:next w:val="Normal"/>
    <w:link w:val="NoteHeadingChar"/>
    <w:uiPriority w:val="99"/>
    <w:semiHidden/>
    <w:rsid w:val="00496814"/>
    <w:pPr>
      <w:spacing w:line="240" w:lineRule="auto"/>
    </w:pPr>
    <w:rPr>
      <w:rFonts w:eastAsia="Times New Roman"/>
      <w:sz w:val="24"/>
      <w:szCs w:val="24"/>
    </w:rPr>
  </w:style>
  <w:style w:type="character" w:customStyle="1" w:styleId="NoteHeadingChar">
    <w:name w:val="Note Heading Char"/>
    <w:basedOn w:val="DefaultParagraphFont"/>
    <w:link w:val="NoteHeading"/>
    <w:uiPriority w:val="99"/>
    <w:semiHidden/>
    <w:rsid w:val="00496814"/>
    <w:rPr>
      <w:rFonts w:ascii="Cambria" w:eastAsia="Times New Roman" w:hAnsi="Cambria" w:cs="Times New Roman"/>
      <w:sz w:val="24"/>
      <w:szCs w:val="24"/>
    </w:rPr>
  </w:style>
  <w:style w:type="paragraph" w:styleId="Salutation">
    <w:name w:val="Salutation"/>
    <w:basedOn w:val="Normal"/>
    <w:next w:val="Normal"/>
    <w:link w:val="SalutationChar"/>
    <w:uiPriority w:val="99"/>
    <w:semiHidden/>
    <w:rsid w:val="00496814"/>
    <w:pPr>
      <w:spacing w:line="240" w:lineRule="auto"/>
    </w:pPr>
    <w:rPr>
      <w:rFonts w:eastAsia="Times New Roman"/>
      <w:sz w:val="24"/>
      <w:szCs w:val="24"/>
    </w:rPr>
  </w:style>
  <w:style w:type="character" w:customStyle="1" w:styleId="SalutationChar">
    <w:name w:val="Salutation Char"/>
    <w:basedOn w:val="DefaultParagraphFont"/>
    <w:link w:val="Salutation"/>
    <w:uiPriority w:val="99"/>
    <w:semiHidden/>
    <w:rsid w:val="00496814"/>
    <w:rPr>
      <w:rFonts w:ascii="Cambria" w:eastAsia="Times New Roman" w:hAnsi="Cambria" w:cs="Times New Roman"/>
      <w:sz w:val="24"/>
      <w:szCs w:val="24"/>
    </w:rPr>
  </w:style>
  <w:style w:type="paragraph" w:styleId="Signature">
    <w:name w:val="Signature"/>
    <w:basedOn w:val="Normal"/>
    <w:link w:val="SignatureChar"/>
    <w:uiPriority w:val="99"/>
    <w:semiHidden/>
    <w:rsid w:val="00496814"/>
    <w:pPr>
      <w:spacing w:line="240" w:lineRule="auto"/>
      <w:ind w:left="4320"/>
    </w:pPr>
    <w:rPr>
      <w:rFonts w:eastAsia="Times New Roman"/>
      <w:sz w:val="24"/>
      <w:szCs w:val="24"/>
    </w:rPr>
  </w:style>
  <w:style w:type="character" w:customStyle="1" w:styleId="SignatureChar">
    <w:name w:val="Signature Char"/>
    <w:basedOn w:val="DefaultParagraphFont"/>
    <w:link w:val="Signature"/>
    <w:uiPriority w:val="99"/>
    <w:semiHidden/>
    <w:rsid w:val="00496814"/>
    <w:rPr>
      <w:rFonts w:ascii="Cambria" w:eastAsia="Times New Roman" w:hAnsi="Cambria" w:cs="Times New Roman"/>
      <w:sz w:val="24"/>
      <w:szCs w:val="24"/>
    </w:rPr>
  </w:style>
  <w:style w:type="paragraph" w:styleId="TableofAuthorities">
    <w:name w:val="table of authorities"/>
    <w:basedOn w:val="Normal"/>
    <w:next w:val="Normal"/>
    <w:uiPriority w:val="99"/>
    <w:semiHidden/>
    <w:rsid w:val="00496814"/>
    <w:pPr>
      <w:spacing w:line="240" w:lineRule="auto"/>
      <w:ind w:left="240" w:hanging="240"/>
    </w:pPr>
    <w:rPr>
      <w:rFonts w:eastAsia="Times New Roman"/>
      <w:sz w:val="24"/>
      <w:szCs w:val="24"/>
    </w:rPr>
  </w:style>
  <w:style w:type="paragraph" w:styleId="TOAHeading">
    <w:name w:val="toa heading"/>
    <w:basedOn w:val="Normal"/>
    <w:next w:val="Normal"/>
    <w:uiPriority w:val="99"/>
    <w:semiHidden/>
    <w:rsid w:val="00496814"/>
    <w:pPr>
      <w:spacing w:before="120" w:line="240" w:lineRule="auto"/>
    </w:pPr>
    <w:rPr>
      <w:rFonts w:ascii="Arial" w:eastAsia="Times New Roman" w:hAnsi="Arial" w:cs="Arial"/>
      <w:b/>
      <w:bCs/>
      <w:sz w:val="24"/>
      <w:szCs w:val="24"/>
    </w:rPr>
  </w:style>
  <w:style w:type="paragraph" w:customStyle="1" w:styleId="Normal-nospace">
    <w:name w:val="Normal-nospace"/>
    <w:basedOn w:val="Normal"/>
    <w:uiPriority w:val="99"/>
    <w:rsid w:val="00496814"/>
    <w:pPr>
      <w:spacing w:line="240" w:lineRule="auto"/>
    </w:pPr>
    <w:rPr>
      <w:rFonts w:eastAsia="Times New Roman"/>
      <w:sz w:val="24"/>
      <w:szCs w:val="24"/>
    </w:rPr>
  </w:style>
  <w:style w:type="paragraph" w:customStyle="1" w:styleId="BodyText1">
    <w:name w:val="Body Text 1"/>
    <w:basedOn w:val="BodyText"/>
    <w:uiPriority w:val="99"/>
    <w:qFormat/>
    <w:rsid w:val="00496814"/>
    <w:pPr>
      <w:spacing w:after="120" w:line="200" w:lineRule="atLeast"/>
    </w:pPr>
    <w:rPr>
      <w:rFonts w:ascii="Arial" w:eastAsia="Times New Roman" w:hAnsi="Arial"/>
      <w:sz w:val="16"/>
    </w:rPr>
  </w:style>
  <w:style w:type="paragraph" w:customStyle="1" w:styleId="bulleted">
    <w:name w:val="bulleted"/>
    <w:basedOn w:val="Normal"/>
    <w:uiPriority w:val="99"/>
    <w:rsid w:val="00496814"/>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uiPriority w:val="99"/>
    <w:rsid w:val="00496814"/>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uiPriority w:val="99"/>
    <w:rsid w:val="00496814"/>
    <w:pPr>
      <w:numPr>
        <w:numId w:val="28"/>
      </w:numPr>
      <w:tabs>
        <w:tab w:val="clear" w:pos="1080"/>
        <w:tab w:val="num" w:pos="360"/>
      </w:tabs>
      <w:ind w:left="360"/>
    </w:pPr>
  </w:style>
  <w:style w:type="paragraph" w:customStyle="1" w:styleId="Normal-6">
    <w:name w:val="Normal-6"/>
    <w:basedOn w:val="Normal"/>
    <w:uiPriority w:val="99"/>
    <w:rsid w:val="00496814"/>
    <w:pPr>
      <w:spacing w:after="120" w:line="240" w:lineRule="auto"/>
    </w:pPr>
    <w:rPr>
      <w:rFonts w:eastAsia="Times New Roman"/>
      <w:sz w:val="24"/>
      <w:szCs w:val="24"/>
    </w:rPr>
  </w:style>
  <w:style w:type="paragraph" w:customStyle="1" w:styleId="Bullets-12">
    <w:name w:val="Bullets-12"/>
    <w:basedOn w:val="Bullets"/>
    <w:uiPriority w:val="99"/>
    <w:rsid w:val="00496814"/>
    <w:pPr>
      <w:spacing w:after="240"/>
    </w:pPr>
  </w:style>
  <w:style w:type="paragraph" w:customStyle="1" w:styleId="FaxBodyText">
    <w:name w:val="Fax Body Text"/>
    <w:basedOn w:val="Normal"/>
    <w:uiPriority w:val="99"/>
    <w:qFormat/>
    <w:rsid w:val="00496814"/>
    <w:pPr>
      <w:framePr w:hSpace="180" w:wrap="around" w:vAnchor="text" w:hAnchor="text" w:y="55"/>
    </w:pPr>
    <w:rPr>
      <w:rFonts w:eastAsia="Times New Roman"/>
      <w:lang w:bidi="en-US"/>
    </w:rPr>
  </w:style>
  <w:style w:type="paragraph" w:customStyle="1" w:styleId="Bullet-Open">
    <w:name w:val="Bullet-Open"/>
    <w:basedOn w:val="Normal"/>
    <w:link w:val="Bullet-OpenChar"/>
    <w:uiPriority w:val="99"/>
    <w:qFormat/>
    <w:rsid w:val="00496814"/>
    <w:pPr>
      <w:numPr>
        <w:numId w:val="30"/>
      </w:numPr>
      <w:spacing w:after="120"/>
    </w:pPr>
    <w:rPr>
      <w:color w:val="000000"/>
    </w:rPr>
  </w:style>
  <w:style w:type="character" w:customStyle="1" w:styleId="ListParagraphChar">
    <w:name w:val="List Paragraph Char"/>
    <w:basedOn w:val="DefaultParagraphFont"/>
    <w:uiPriority w:val="34"/>
    <w:rsid w:val="00496814"/>
  </w:style>
  <w:style w:type="character" w:customStyle="1" w:styleId="Bullet-SolidChar">
    <w:name w:val="Bullet-Solid Char"/>
    <w:basedOn w:val="ListParagraphChar"/>
    <w:link w:val="Bullet-Solid"/>
    <w:rsid w:val="00496814"/>
    <w:rPr>
      <w:color w:val="000000"/>
    </w:rPr>
  </w:style>
  <w:style w:type="paragraph" w:customStyle="1" w:styleId="Bullet-Square">
    <w:name w:val="Bullet-Square"/>
    <w:basedOn w:val="Normal"/>
    <w:link w:val="Bullet-SquareChar"/>
    <w:uiPriority w:val="99"/>
    <w:qFormat/>
    <w:rsid w:val="00496814"/>
    <w:pPr>
      <w:numPr>
        <w:ilvl w:val="1"/>
        <w:numId w:val="16"/>
      </w:numPr>
      <w:spacing w:line="240" w:lineRule="auto"/>
    </w:pPr>
    <w:rPr>
      <w:rFonts w:eastAsia="Times New Roman"/>
    </w:rPr>
  </w:style>
  <w:style w:type="character" w:customStyle="1" w:styleId="Bullet-OpenChar">
    <w:name w:val="Bullet-Open Char"/>
    <w:basedOn w:val="ListParagraphChar"/>
    <w:link w:val="Bullet-Open"/>
    <w:uiPriority w:val="99"/>
    <w:rsid w:val="00496814"/>
    <w:rPr>
      <w:rFonts w:ascii="Cambria" w:hAnsi="Cambria" w:cs="Times New Roman"/>
      <w:color w:val="000000"/>
      <w:sz w:val="20"/>
      <w:szCs w:val="20"/>
    </w:rPr>
  </w:style>
  <w:style w:type="character" w:customStyle="1" w:styleId="update1">
    <w:name w:val="update1"/>
    <w:basedOn w:val="DefaultParagraphFont"/>
    <w:rsid w:val="00496814"/>
    <w:rPr>
      <w:rFonts w:ascii="Arial" w:hAnsi="Arial" w:cs="Arial" w:hint="default"/>
      <w:b/>
      <w:bCs/>
      <w:color w:val="666666"/>
      <w:sz w:val="16"/>
      <w:szCs w:val="16"/>
    </w:rPr>
  </w:style>
  <w:style w:type="character" w:customStyle="1" w:styleId="Bullet-SquareChar">
    <w:name w:val="Bullet-Square Char"/>
    <w:basedOn w:val="DefaultParagraphFont"/>
    <w:link w:val="Bullet-Square"/>
    <w:uiPriority w:val="99"/>
    <w:rsid w:val="00496814"/>
    <w:rPr>
      <w:rFonts w:ascii="Cambria" w:eastAsia="Times New Roman" w:hAnsi="Cambria" w:cs="Times New Roman"/>
      <w:sz w:val="20"/>
      <w:szCs w:val="20"/>
    </w:rPr>
  </w:style>
  <w:style w:type="character" w:customStyle="1" w:styleId="EmailStyle2482">
    <w:name w:val="EmailStyle2482"/>
    <w:basedOn w:val="DefaultParagraphFont"/>
    <w:semiHidden/>
    <w:rsid w:val="00496814"/>
    <w:rPr>
      <w:rFonts w:ascii="Arial" w:hAnsi="Arial" w:cs="Arial"/>
      <w:color w:val="993366"/>
      <w:sz w:val="20"/>
    </w:rPr>
  </w:style>
  <w:style w:type="character" w:customStyle="1" w:styleId="EmailStyle2492">
    <w:name w:val="EmailStyle2492"/>
    <w:basedOn w:val="DefaultParagraphFont"/>
    <w:semiHidden/>
    <w:rsid w:val="00496814"/>
    <w:rPr>
      <w:rFonts w:ascii="Arial" w:hAnsi="Arial" w:cs="Arial"/>
      <w:color w:val="000080"/>
      <w:sz w:val="20"/>
    </w:rPr>
  </w:style>
  <w:style w:type="character" w:customStyle="1" w:styleId="EmailStyle2502">
    <w:name w:val="EmailStyle2502"/>
    <w:basedOn w:val="DefaultParagraphFont"/>
    <w:semiHidden/>
    <w:rsid w:val="00496814"/>
    <w:rPr>
      <w:rFonts w:ascii="Arial" w:hAnsi="Arial" w:cs="Arial"/>
      <w:color w:val="993366"/>
      <w:sz w:val="20"/>
    </w:rPr>
  </w:style>
  <w:style w:type="character" w:customStyle="1" w:styleId="EmailStyle2512">
    <w:name w:val="EmailStyle2512"/>
    <w:basedOn w:val="DefaultParagraphFont"/>
    <w:semiHidden/>
    <w:rsid w:val="00496814"/>
    <w:rPr>
      <w:rFonts w:ascii="Arial" w:hAnsi="Arial" w:cs="Arial"/>
      <w:color w:val="000080"/>
      <w:sz w:val="20"/>
    </w:rPr>
  </w:style>
  <w:style w:type="character" w:customStyle="1" w:styleId="EmailStyle2522">
    <w:name w:val="EmailStyle2522"/>
    <w:basedOn w:val="DefaultParagraphFont"/>
    <w:semiHidden/>
    <w:rsid w:val="00496814"/>
    <w:rPr>
      <w:rFonts w:ascii="Arial" w:hAnsi="Arial" w:cs="Arial"/>
      <w:color w:val="993366"/>
      <w:sz w:val="20"/>
    </w:rPr>
  </w:style>
  <w:style w:type="character" w:customStyle="1" w:styleId="EmailStyle2532">
    <w:name w:val="EmailStyle2532"/>
    <w:basedOn w:val="DefaultParagraphFont"/>
    <w:semiHidden/>
    <w:rsid w:val="00496814"/>
    <w:rPr>
      <w:rFonts w:ascii="Arial" w:hAnsi="Arial" w:cs="Arial"/>
      <w:color w:val="000080"/>
      <w:sz w:val="20"/>
    </w:rPr>
  </w:style>
  <w:style w:type="table" w:customStyle="1" w:styleId="LightShading1">
    <w:name w:val="Light Shading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uiPriority w:val="99"/>
    <w:rsid w:val="00496814"/>
    <w:pPr>
      <w:spacing w:line="312" w:lineRule="auto"/>
    </w:pPr>
    <w:rPr>
      <w:rFonts w:ascii="Arial" w:eastAsia="Times New Roman" w:hAnsi="Arial"/>
    </w:rPr>
  </w:style>
  <w:style w:type="table" w:customStyle="1" w:styleId="MediumShading1-Accent11">
    <w:name w:val="Medium Shading 1 - Accent 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496814"/>
    <w:rPr>
      <w:rFonts w:ascii="Arial" w:hAnsi="Arial" w:cs="Arial"/>
      <w:color w:val="993366"/>
      <w:sz w:val="20"/>
    </w:rPr>
  </w:style>
  <w:style w:type="character" w:customStyle="1" w:styleId="EmailStyle2592">
    <w:name w:val="EmailStyle2592"/>
    <w:basedOn w:val="DefaultParagraphFont"/>
    <w:semiHidden/>
    <w:rsid w:val="00496814"/>
    <w:rPr>
      <w:rFonts w:ascii="Arial" w:hAnsi="Arial" w:cs="Arial"/>
      <w:color w:val="000080"/>
      <w:sz w:val="20"/>
    </w:rPr>
  </w:style>
  <w:style w:type="character" w:customStyle="1" w:styleId="EmailStyle2602">
    <w:name w:val="EmailStyle2602"/>
    <w:basedOn w:val="DefaultParagraphFont"/>
    <w:semiHidden/>
    <w:rsid w:val="00496814"/>
    <w:rPr>
      <w:rFonts w:ascii="Arial" w:hAnsi="Arial" w:cs="Arial"/>
      <w:color w:val="993366"/>
      <w:sz w:val="20"/>
    </w:rPr>
  </w:style>
  <w:style w:type="character" w:customStyle="1" w:styleId="EmailStyle2612">
    <w:name w:val="EmailStyle2612"/>
    <w:basedOn w:val="DefaultParagraphFont"/>
    <w:semiHidden/>
    <w:rsid w:val="00496814"/>
    <w:rPr>
      <w:rFonts w:ascii="Arial" w:hAnsi="Arial" w:cs="Arial"/>
      <w:color w:val="000080"/>
      <w:sz w:val="20"/>
    </w:rPr>
  </w:style>
  <w:style w:type="character" w:customStyle="1" w:styleId="EmailStyle2622">
    <w:name w:val="EmailStyle2622"/>
    <w:basedOn w:val="DefaultParagraphFont"/>
    <w:semiHidden/>
    <w:rsid w:val="00496814"/>
    <w:rPr>
      <w:rFonts w:ascii="Arial" w:hAnsi="Arial" w:cs="Arial"/>
      <w:color w:val="993366"/>
      <w:sz w:val="20"/>
    </w:rPr>
  </w:style>
  <w:style w:type="character" w:customStyle="1" w:styleId="EmailStyle2632">
    <w:name w:val="EmailStyle2632"/>
    <w:basedOn w:val="DefaultParagraphFont"/>
    <w:semiHidden/>
    <w:rsid w:val="00496814"/>
    <w:rPr>
      <w:rFonts w:ascii="Arial" w:hAnsi="Arial" w:cs="Arial"/>
      <w:color w:val="000080"/>
      <w:sz w:val="20"/>
    </w:rPr>
  </w:style>
  <w:style w:type="character" w:styleId="HTMLAcronym">
    <w:name w:val="HTML Acronym"/>
    <w:basedOn w:val="DefaultParagraphFont"/>
    <w:uiPriority w:val="99"/>
    <w:semiHidden/>
    <w:unhideWhenUsed/>
    <w:rsid w:val="00496814"/>
  </w:style>
  <w:style w:type="character" w:customStyle="1" w:styleId="EmailStyle2652">
    <w:name w:val="EmailStyle2652"/>
    <w:basedOn w:val="DefaultParagraphFont"/>
    <w:semiHidden/>
    <w:rsid w:val="00496814"/>
    <w:rPr>
      <w:rFonts w:ascii="Arial" w:hAnsi="Arial" w:cs="Arial"/>
      <w:color w:val="993366"/>
      <w:sz w:val="20"/>
    </w:rPr>
  </w:style>
  <w:style w:type="character" w:customStyle="1" w:styleId="EmailStyle2662">
    <w:name w:val="EmailStyle2662"/>
    <w:basedOn w:val="DefaultParagraphFont"/>
    <w:semiHidden/>
    <w:rsid w:val="00496814"/>
    <w:rPr>
      <w:rFonts w:ascii="Arial" w:hAnsi="Arial" w:cs="Arial"/>
      <w:color w:val="000080"/>
      <w:sz w:val="20"/>
    </w:rPr>
  </w:style>
  <w:style w:type="table" w:styleId="MediumGrid1-Accent1">
    <w:name w:val="Medium Grid 1 Accent 1"/>
    <w:basedOn w:val="TableNormal"/>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496814"/>
    <w:rPr>
      <w:rFonts w:ascii="Cambria" w:eastAsia="Times New Roman" w:hAnsi="Cambria" w:cs="Times New Roman"/>
      <w:sz w:val="20"/>
      <w:szCs w:val="20"/>
    </w:rPr>
  </w:style>
  <w:style w:type="paragraph" w:customStyle="1" w:styleId="ISOHeading3nonumbering">
    <w:name w:val="ISO Heading 3 no numbering"/>
    <w:basedOn w:val="Normal"/>
    <w:uiPriority w:val="99"/>
    <w:rsid w:val="00496814"/>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uiPriority w:val="99"/>
    <w:qFormat/>
    <w:rsid w:val="00496814"/>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
    <w:name w:val="2012 2 table format"/>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uiPriority w:val="99"/>
    <w:rsid w:val="00496814"/>
    <w:pPr>
      <w:spacing w:line="480" w:lineRule="auto"/>
      <w:ind w:left="2160"/>
    </w:pPr>
    <w:rPr>
      <w:rFonts w:eastAsia="Times New Roman"/>
      <w:sz w:val="24"/>
      <w:szCs w:val="24"/>
    </w:rPr>
  </w:style>
  <w:style w:type="character" w:customStyle="1" w:styleId="EmailStyle2752">
    <w:name w:val="EmailStyle2752"/>
    <w:basedOn w:val="DefaultParagraphFont"/>
    <w:semiHidden/>
    <w:rsid w:val="00496814"/>
    <w:rPr>
      <w:rFonts w:ascii="Arial" w:hAnsi="Arial" w:cs="Arial"/>
      <w:color w:val="993366"/>
      <w:sz w:val="20"/>
    </w:rPr>
  </w:style>
  <w:style w:type="character" w:customStyle="1" w:styleId="EmailStyle2762">
    <w:name w:val="EmailStyle2762"/>
    <w:basedOn w:val="DefaultParagraphFont"/>
    <w:semiHidden/>
    <w:rsid w:val="00496814"/>
    <w:rPr>
      <w:rFonts w:ascii="Arial" w:hAnsi="Arial" w:cs="Arial"/>
      <w:color w:val="000080"/>
      <w:sz w:val="20"/>
    </w:rPr>
  </w:style>
  <w:style w:type="character" w:customStyle="1" w:styleId="EmailStyle2772">
    <w:name w:val="EmailStyle2772"/>
    <w:basedOn w:val="DefaultParagraphFont"/>
    <w:semiHidden/>
    <w:rsid w:val="00496814"/>
    <w:rPr>
      <w:rFonts w:ascii="Arial" w:hAnsi="Arial" w:cs="Arial"/>
      <w:color w:val="993366"/>
      <w:sz w:val="20"/>
    </w:rPr>
  </w:style>
  <w:style w:type="character" w:customStyle="1" w:styleId="EmailStyle2782">
    <w:name w:val="EmailStyle2782"/>
    <w:basedOn w:val="DefaultParagraphFont"/>
    <w:semiHidden/>
    <w:rsid w:val="00496814"/>
    <w:rPr>
      <w:rFonts w:ascii="Arial" w:hAnsi="Arial" w:cs="Arial"/>
      <w:color w:val="000080"/>
      <w:sz w:val="20"/>
    </w:rPr>
  </w:style>
  <w:style w:type="character" w:customStyle="1" w:styleId="EmailStyle2792">
    <w:name w:val="EmailStyle2792"/>
    <w:basedOn w:val="DefaultParagraphFont"/>
    <w:semiHidden/>
    <w:rsid w:val="00496814"/>
    <w:rPr>
      <w:rFonts w:ascii="Arial" w:hAnsi="Arial" w:cs="Arial"/>
      <w:color w:val="993366"/>
      <w:sz w:val="20"/>
    </w:rPr>
  </w:style>
  <w:style w:type="character" w:customStyle="1" w:styleId="EmailStyle2802">
    <w:name w:val="EmailStyle2802"/>
    <w:basedOn w:val="DefaultParagraphFont"/>
    <w:semiHidden/>
    <w:rsid w:val="00496814"/>
    <w:rPr>
      <w:rFonts w:ascii="Arial" w:hAnsi="Arial" w:cs="Arial"/>
      <w:color w:val="000080"/>
      <w:sz w:val="20"/>
    </w:rPr>
  </w:style>
  <w:style w:type="character" w:customStyle="1" w:styleId="EmailStyle2812">
    <w:name w:val="EmailStyle2812"/>
    <w:basedOn w:val="DefaultParagraphFont"/>
    <w:semiHidden/>
    <w:rsid w:val="00496814"/>
    <w:rPr>
      <w:rFonts w:ascii="Arial" w:hAnsi="Arial" w:cs="Arial"/>
      <w:color w:val="993366"/>
      <w:sz w:val="20"/>
    </w:rPr>
  </w:style>
  <w:style w:type="character" w:customStyle="1" w:styleId="EmailStyle2822">
    <w:name w:val="EmailStyle2822"/>
    <w:basedOn w:val="DefaultParagraphFont"/>
    <w:semiHidden/>
    <w:rsid w:val="00496814"/>
    <w:rPr>
      <w:rFonts w:ascii="Arial" w:hAnsi="Arial" w:cs="Arial"/>
      <w:color w:val="000080"/>
      <w:sz w:val="20"/>
    </w:rPr>
  </w:style>
  <w:style w:type="character" w:customStyle="1" w:styleId="EmailStyle2832">
    <w:name w:val="EmailStyle2832"/>
    <w:basedOn w:val="DefaultParagraphFont"/>
    <w:semiHidden/>
    <w:rsid w:val="00496814"/>
    <w:rPr>
      <w:rFonts w:ascii="Arial" w:hAnsi="Arial" w:cs="Arial"/>
      <w:color w:val="993366"/>
      <w:sz w:val="20"/>
    </w:rPr>
  </w:style>
  <w:style w:type="character" w:customStyle="1" w:styleId="EmailStyle2842">
    <w:name w:val="EmailStyle2842"/>
    <w:basedOn w:val="DefaultParagraphFont"/>
    <w:semiHidden/>
    <w:rsid w:val="00496814"/>
    <w:rPr>
      <w:rFonts w:ascii="Arial" w:hAnsi="Arial" w:cs="Arial"/>
      <w:color w:val="000080"/>
      <w:sz w:val="20"/>
    </w:rPr>
  </w:style>
  <w:style w:type="character" w:customStyle="1" w:styleId="EmailStyle2852">
    <w:name w:val="EmailStyle2852"/>
    <w:basedOn w:val="DefaultParagraphFont"/>
    <w:semiHidden/>
    <w:rsid w:val="00496814"/>
    <w:rPr>
      <w:rFonts w:ascii="Arial" w:hAnsi="Arial" w:cs="Arial"/>
      <w:color w:val="993366"/>
      <w:sz w:val="20"/>
    </w:rPr>
  </w:style>
  <w:style w:type="character" w:customStyle="1" w:styleId="EmailStyle2862">
    <w:name w:val="EmailStyle2862"/>
    <w:basedOn w:val="DefaultParagraphFont"/>
    <w:semiHidden/>
    <w:rsid w:val="00496814"/>
    <w:rPr>
      <w:rFonts w:ascii="Arial" w:hAnsi="Arial" w:cs="Arial"/>
      <w:color w:val="000080"/>
      <w:sz w:val="20"/>
    </w:rPr>
  </w:style>
  <w:style w:type="character" w:customStyle="1" w:styleId="EmailStyle2872">
    <w:name w:val="EmailStyle2872"/>
    <w:basedOn w:val="DefaultParagraphFont"/>
    <w:semiHidden/>
    <w:rsid w:val="00496814"/>
    <w:rPr>
      <w:rFonts w:ascii="Arial" w:hAnsi="Arial" w:cs="Arial"/>
      <w:color w:val="993366"/>
      <w:sz w:val="20"/>
    </w:rPr>
  </w:style>
  <w:style w:type="character" w:customStyle="1" w:styleId="EmailStyle2882">
    <w:name w:val="EmailStyle2882"/>
    <w:basedOn w:val="DefaultParagraphFont"/>
    <w:semiHidden/>
    <w:rsid w:val="00496814"/>
    <w:rPr>
      <w:rFonts w:ascii="Arial" w:hAnsi="Arial" w:cs="Arial"/>
      <w:color w:val="000080"/>
      <w:sz w:val="20"/>
    </w:rPr>
  </w:style>
  <w:style w:type="character" w:customStyle="1" w:styleId="EmailStyle2892">
    <w:name w:val="EmailStyle2892"/>
    <w:basedOn w:val="DefaultParagraphFont"/>
    <w:semiHidden/>
    <w:rsid w:val="00496814"/>
    <w:rPr>
      <w:rFonts w:ascii="Arial" w:hAnsi="Arial" w:cs="Arial"/>
      <w:color w:val="993366"/>
      <w:sz w:val="20"/>
    </w:rPr>
  </w:style>
  <w:style w:type="character" w:customStyle="1" w:styleId="EmailStyle2902">
    <w:name w:val="EmailStyle2902"/>
    <w:basedOn w:val="DefaultParagraphFont"/>
    <w:semiHidden/>
    <w:rsid w:val="00496814"/>
    <w:rPr>
      <w:rFonts w:ascii="Arial" w:hAnsi="Arial" w:cs="Arial"/>
      <w:color w:val="000080"/>
      <w:sz w:val="20"/>
    </w:rPr>
  </w:style>
  <w:style w:type="character" w:customStyle="1" w:styleId="EmailStyle2912">
    <w:name w:val="EmailStyle2912"/>
    <w:basedOn w:val="DefaultParagraphFont"/>
    <w:semiHidden/>
    <w:rsid w:val="00496814"/>
    <w:rPr>
      <w:rFonts w:ascii="Arial" w:hAnsi="Arial" w:cs="Arial"/>
      <w:color w:val="993366"/>
      <w:sz w:val="20"/>
    </w:rPr>
  </w:style>
  <w:style w:type="character" w:customStyle="1" w:styleId="EmailStyle2922">
    <w:name w:val="EmailStyle2922"/>
    <w:basedOn w:val="DefaultParagraphFont"/>
    <w:semiHidden/>
    <w:rsid w:val="00496814"/>
    <w:rPr>
      <w:rFonts w:ascii="Arial" w:hAnsi="Arial" w:cs="Arial"/>
      <w:color w:val="000080"/>
      <w:sz w:val="20"/>
    </w:rPr>
  </w:style>
  <w:style w:type="character" w:customStyle="1" w:styleId="EmailStyle2932">
    <w:name w:val="EmailStyle2932"/>
    <w:basedOn w:val="DefaultParagraphFont"/>
    <w:semiHidden/>
    <w:rsid w:val="00496814"/>
    <w:rPr>
      <w:rFonts w:ascii="Arial" w:hAnsi="Arial" w:cs="Arial"/>
      <w:color w:val="993366"/>
      <w:sz w:val="20"/>
    </w:rPr>
  </w:style>
  <w:style w:type="character" w:customStyle="1" w:styleId="EmailStyle2942">
    <w:name w:val="EmailStyle2942"/>
    <w:basedOn w:val="DefaultParagraphFont"/>
    <w:semiHidden/>
    <w:rsid w:val="00496814"/>
    <w:rPr>
      <w:rFonts w:ascii="Arial" w:hAnsi="Arial" w:cs="Arial"/>
      <w:color w:val="000080"/>
      <w:sz w:val="20"/>
    </w:rPr>
  </w:style>
  <w:style w:type="paragraph" w:customStyle="1" w:styleId="HeadingBody2">
    <w:name w:val="Heading Body 2"/>
    <w:basedOn w:val="Normal"/>
    <w:uiPriority w:val="99"/>
    <w:rsid w:val="00496814"/>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496814"/>
    <w:pPr>
      <w:widowControl w:val="0"/>
      <w:pBdr>
        <w:bottom w:val="none" w:sz="0" w:space="0" w:color="auto"/>
      </w:pBdr>
      <w:spacing w:before="80" w:after="0"/>
      <w:contextualSpacing w:val="0"/>
    </w:pPr>
    <w:rPr>
      <w:rFonts w:ascii="Arial" w:eastAsia="Times New Roman" w:hAnsi="Arial" w:cs="Times New Roman"/>
      <w:b/>
      <w:sz w:val="36"/>
      <w:szCs w:val="20"/>
    </w:rPr>
  </w:style>
  <w:style w:type="character" w:customStyle="1" w:styleId="ISODocumentChapterTileChar">
    <w:name w:val="ISO Document/Chapter Tile Char"/>
    <w:basedOn w:val="TitleChar"/>
    <w:link w:val="ISODocumentChapterTile"/>
    <w:rsid w:val="00496814"/>
    <w:rPr>
      <w:rFonts w:ascii="Arial" w:eastAsia="Times New Roman" w:hAnsi="Arial" w:cs="Times New Roman"/>
      <w:b/>
      <w:spacing w:val="5"/>
      <w:kern w:val="28"/>
      <w:sz w:val="36"/>
      <w:szCs w:val="20"/>
    </w:rPr>
  </w:style>
  <w:style w:type="paragraph" w:customStyle="1" w:styleId="BulletedPara">
    <w:name w:val="Bulleted Para"/>
    <w:uiPriority w:val="99"/>
    <w:rsid w:val="00496814"/>
    <w:pPr>
      <w:numPr>
        <w:numId w:val="29"/>
      </w:numPr>
      <w:spacing w:before="120" w:after="120" w:line="240" w:lineRule="auto"/>
      <w:jc w:val="both"/>
    </w:pPr>
    <w:rPr>
      <w:rFonts w:ascii="Times New Roman" w:eastAsia="Times New Roman" w:hAnsi="Times New Roman" w:cs="Times New Roman"/>
      <w:color w:val="62777F" w:themeColor="text1"/>
      <w:sz w:val="24"/>
      <w:szCs w:val="20"/>
    </w:rPr>
  </w:style>
  <w:style w:type="table" w:styleId="MediumGrid1-Accent6">
    <w:name w:val="Medium Grid 1 Accent 6"/>
    <w:basedOn w:val="TableNormal"/>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96814"/>
    <w:rPr>
      <w:rFonts w:ascii="Arial" w:hAnsi="Arial" w:cs="Arial"/>
      <w:color w:val="993366"/>
      <w:sz w:val="20"/>
    </w:rPr>
  </w:style>
  <w:style w:type="character" w:customStyle="1" w:styleId="EmailStyle3012">
    <w:name w:val="EmailStyle3012"/>
    <w:basedOn w:val="DefaultParagraphFont"/>
    <w:semiHidden/>
    <w:rsid w:val="00496814"/>
    <w:rPr>
      <w:rFonts w:ascii="Arial" w:hAnsi="Arial" w:cs="Arial"/>
      <w:color w:val="000080"/>
      <w:sz w:val="20"/>
    </w:rPr>
  </w:style>
  <w:style w:type="character" w:customStyle="1" w:styleId="EmailStyle3022">
    <w:name w:val="EmailStyle3022"/>
    <w:basedOn w:val="DefaultParagraphFont"/>
    <w:semiHidden/>
    <w:rsid w:val="00496814"/>
    <w:rPr>
      <w:rFonts w:ascii="Arial" w:hAnsi="Arial" w:cs="Arial"/>
      <w:color w:val="993366"/>
      <w:sz w:val="20"/>
    </w:rPr>
  </w:style>
  <w:style w:type="character" w:customStyle="1" w:styleId="EmailStyle3032">
    <w:name w:val="EmailStyle3032"/>
    <w:basedOn w:val="DefaultParagraphFont"/>
    <w:semiHidden/>
    <w:rsid w:val="00496814"/>
    <w:rPr>
      <w:rFonts w:ascii="Arial" w:hAnsi="Arial" w:cs="Arial"/>
      <w:color w:val="000080"/>
      <w:sz w:val="20"/>
    </w:rPr>
  </w:style>
  <w:style w:type="character" w:customStyle="1" w:styleId="EmailStyle3042">
    <w:name w:val="EmailStyle3042"/>
    <w:basedOn w:val="DefaultParagraphFont"/>
    <w:semiHidden/>
    <w:rsid w:val="00496814"/>
    <w:rPr>
      <w:rFonts w:ascii="Arial" w:hAnsi="Arial" w:cs="Arial"/>
      <w:color w:val="993366"/>
      <w:sz w:val="20"/>
    </w:rPr>
  </w:style>
  <w:style w:type="character" w:customStyle="1" w:styleId="EmailStyle3052">
    <w:name w:val="EmailStyle3052"/>
    <w:basedOn w:val="DefaultParagraphFont"/>
    <w:semiHidden/>
    <w:rsid w:val="00496814"/>
    <w:rPr>
      <w:rFonts w:ascii="Arial" w:hAnsi="Arial" w:cs="Arial"/>
      <w:color w:val="000080"/>
      <w:sz w:val="20"/>
    </w:rPr>
  </w:style>
  <w:style w:type="character" w:customStyle="1" w:styleId="EmailStyle3062">
    <w:name w:val="EmailStyle3062"/>
    <w:basedOn w:val="DefaultParagraphFont"/>
    <w:semiHidden/>
    <w:rsid w:val="00496814"/>
    <w:rPr>
      <w:rFonts w:ascii="Arial" w:hAnsi="Arial" w:cs="Arial"/>
      <w:color w:val="993366"/>
      <w:sz w:val="20"/>
    </w:rPr>
  </w:style>
  <w:style w:type="character" w:customStyle="1" w:styleId="EmailStyle3072">
    <w:name w:val="EmailStyle3072"/>
    <w:basedOn w:val="DefaultParagraphFont"/>
    <w:semiHidden/>
    <w:rsid w:val="00496814"/>
    <w:rPr>
      <w:rFonts w:ascii="Arial" w:hAnsi="Arial" w:cs="Arial"/>
      <w:color w:val="000080"/>
      <w:sz w:val="20"/>
    </w:rPr>
  </w:style>
  <w:style w:type="character" w:customStyle="1" w:styleId="EmailStyle3082">
    <w:name w:val="EmailStyle3082"/>
    <w:basedOn w:val="DefaultParagraphFont"/>
    <w:semiHidden/>
    <w:rsid w:val="00496814"/>
    <w:rPr>
      <w:rFonts w:ascii="Arial" w:hAnsi="Arial" w:cs="Arial"/>
      <w:color w:val="993366"/>
      <w:sz w:val="20"/>
    </w:rPr>
  </w:style>
  <w:style w:type="character" w:customStyle="1" w:styleId="EmailStyle3092">
    <w:name w:val="EmailStyle3092"/>
    <w:basedOn w:val="DefaultParagraphFont"/>
    <w:semiHidden/>
    <w:rsid w:val="00496814"/>
    <w:rPr>
      <w:rFonts w:ascii="Arial" w:hAnsi="Arial" w:cs="Arial"/>
      <w:color w:val="000080"/>
      <w:sz w:val="20"/>
    </w:rPr>
  </w:style>
  <w:style w:type="character" w:customStyle="1" w:styleId="EmailStyle3102">
    <w:name w:val="EmailStyle3102"/>
    <w:basedOn w:val="DefaultParagraphFont"/>
    <w:semiHidden/>
    <w:rsid w:val="00496814"/>
    <w:rPr>
      <w:rFonts w:ascii="Arial" w:hAnsi="Arial" w:cs="Arial"/>
      <w:color w:val="993366"/>
      <w:sz w:val="20"/>
    </w:rPr>
  </w:style>
  <w:style w:type="character" w:customStyle="1" w:styleId="EmailStyle3112">
    <w:name w:val="EmailStyle3112"/>
    <w:basedOn w:val="DefaultParagraphFont"/>
    <w:semiHidden/>
    <w:rsid w:val="00496814"/>
    <w:rPr>
      <w:rFonts w:ascii="Arial" w:hAnsi="Arial" w:cs="Arial"/>
      <w:color w:val="000080"/>
      <w:sz w:val="20"/>
    </w:rPr>
  </w:style>
  <w:style w:type="character" w:customStyle="1" w:styleId="EmailStyle3122">
    <w:name w:val="EmailStyle3122"/>
    <w:basedOn w:val="DefaultParagraphFont"/>
    <w:semiHidden/>
    <w:rsid w:val="00496814"/>
    <w:rPr>
      <w:rFonts w:ascii="Arial" w:hAnsi="Arial" w:cs="Arial"/>
      <w:color w:val="993366"/>
      <w:sz w:val="20"/>
    </w:rPr>
  </w:style>
  <w:style w:type="character" w:customStyle="1" w:styleId="EmailStyle3132">
    <w:name w:val="EmailStyle3132"/>
    <w:basedOn w:val="DefaultParagraphFont"/>
    <w:semiHidden/>
    <w:rsid w:val="00496814"/>
    <w:rPr>
      <w:rFonts w:ascii="Arial" w:hAnsi="Arial" w:cs="Arial"/>
      <w:color w:val="000080"/>
      <w:sz w:val="20"/>
    </w:rPr>
  </w:style>
  <w:style w:type="character" w:customStyle="1" w:styleId="EmailStyle3142">
    <w:name w:val="EmailStyle3142"/>
    <w:basedOn w:val="DefaultParagraphFont"/>
    <w:semiHidden/>
    <w:rsid w:val="00496814"/>
    <w:rPr>
      <w:rFonts w:ascii="Arial" w:hAnsi="Arial" w:cs="Arial"/>
      <w:color w:val="993366"/>
      <w:sz w:val="20"/>
    </w:rPr>
  </w:style>
  <w:style w:type="character" w:customStyle="1" w:styleId="EmailStyle3152">
    <w:name w:val="EmailStyle3152"/>
    <w:basedOn w:val="DefaultParagraphFont"/>
    <w:semiHidden/>
    <w:rsid w:val="00496814"/>
    <w:rPr>
      <w:rFonts w:ascii="Arial" w:hAnsi="Arial" w:cs="Arial"/>
      <w:color w:val="000080"/>
      <w:sz w:val="20"/>
    </w:rPr>
  </w:style>
  <w:style w:type="character" w:customStyle="1" w:styleId="EmailStyle3162">
    <w:name w:val="EmailStyle3162"/>
    <w:basedOn w:val="DefaultParagraphFont"/>
    <w:semiHidden/>
    <w:rsid w:val="00496814"/>
    <w:rPr>
      <w:rFonts w:ascii="Arial" w:hAnsi="Arial" w:cs="Arial"/>
      <w:color w:val="993366"/>
      <w:sz w:val="20"/>
    </w:rPr>
  </w:style>
  <w:style w:type="character" w:customStyle="1" w:styleId="EmailStyle3172">
    <w:name w:val="EmailStyle3172"/>
    <w:basedOn w:val="DefaultParagraphFont"/>
    <w:semiHidden/>
    <w:rsid w:val="00496814"/>
    <w:rPr>
      <w:rFonts w:ascii="Arial" w:hAnsi="Arial" w:cs="Arial"/>
      <w:color w:val="000080"/>
      <w:sz w:val="20"/>
    </w:rPr>
  </w:style>
  <w:style w:type="character" w:customStyle="1" w:styleId="EmailStyle3182">
    <w:name w:val="EmailStyle3182"/>
    <w:basedOn w:val="DefaultParagraphFont"/>
    <w:semiHidden/>
    <w:rsid w:val="00496814"/>
    <w:rPr>
      <w:rFonts w:ascii="Arial" w:hAnsi="Arial" w:cs="Arial"/>
      <w:color w:val="993366"/>
      <w:sz w:val="20"/>
    </w:rPr>
  </w:style>
  <w:style w:type="character" w:customStyle="1" w:styleId="EmailStyle3192">
    <w:name w:val="EmailStyle3192"/>
    <w:basedOn w:val="DefaultParagraphFont"/>
    <w:semiHidden/>
    <w:rsid w:val="00496814"/>
    <w:rPr>
      <w:rFonts w:ascii="Arial" w:hAnsi="Arial" w:cs="Arial"/>
      <w:color w:val="000080"/>
      <w:sz w:val="20"/>
    </w:rPr>
  </w:style>
  <w:style w:type="paragraph" w:customStyle="1" w:styleId="asdf">
    <w:name w:val="asdf"/>
    <w:basedOn w:val="Normal"/>
    <w:uiPriority w:val="99"/>
    <w:rsid w:val="00496814"/>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96814"/>
    <w:rPr>
      <w:rFonts w:ascii="Arial" w:hAnsi="Arial" w:cs="Arial" w:hint="default"/>
      <w:sz w:val="21"/>
      <w:szCs w:val="21"/>
    </w:rPr>
  </w:style>
  <w:style w:type="character" w:customStyle="1" w:styleId="EmailStyle3222">
    <w:name w:val="EmailStyle3222"/>
    <w:basedOn w:val="DefaultParagraphFont"/>
    <w:semiHidden/>
    <w:rsid w:val="00496814"/>
    <w:rPr>
      <w:rFonts w:ascii="Arial" w:hAnsi="Arial" w:cs="Arial"/>
      <w:color w:val="993366"/>
      <w:sz w:val="20"/>
    </w:rPr>
  </w:style>
  <w:style w:type="character" w:customStyle="1" w:styleId="EmailStyle3232">
    <w:name w:val="EmailStyle3232"/>
    <w:basedOn w:val="DefaultParagraphFont"/>
    <w:semiHidden/>
    <w:rsid w:val="00496814"/>
    <w:rPr>
      <w:rFonts w:ascii="Arial" w:hAnsi="Arial" w:cs="Arial"/>
      <w:color w:val="000080"/>
      <w:sz w:val="20"/>
    </w:rPr>
  </w:style>
  <w:style w:type="character" w:customStyle="1" w:styleId="EmailStyle3242">
    <w:name w:val="EmailStyle3242"/>
    <w:basedOn w:val="DefaultParagraphFont"/>
    <w:semiHidden/>
    <w:rsid w:val="00496814"/>
    <w:rPr>
      <w:rFonts w:ascii="Arial" w:hAnsi="Arial" w:cs="Arial"/>
      <w:color w:val="993366"/>
      <w:sz w:val="20"/>
    </w:rPr>
  </w:style>
  <w:style w:type="character" w:customStyle="1" w:styleId="EmailStyle3252">
    <w:name w:val="EmailStyle3252"/>
    <w:basedOn w:val="DefaultParagraphFont"/>
    <w:semiHidden/>
    <w:rsid w:val="00496814"/>
    <w:rPr>
      <w:rFonts w:ascii="Arial" w:hAnsi="Arial" w:cs="Arial"/>
      <w:color w:val="000080"/>
      <w:sz w:val="20"/>
    </w:rPr>
  </w:style>
  <w:style w:type="character" w:customStyle="1" w:styleId="EmailStyle3262">
    <w:name w:val="EmailStyle3262"/>
    <w:basedOn w:val="DefaultParagraphFont"/>
    <w:semiHidden/>
    <w:rsid w:val="00496814"/>
    <w:rPr>
      <w:rFonts w:ascii="Arial" w:hAnsi="Arial" w:cs="Arial"/>
      <w:color w:val="000080"/>
      <w:sz w:val="20"/>
    </w:rPr>
  </w:style>
  <w:style w:type="character" w:customStyle="1" w:styleId="EmailStyle3272">
    <w:name w:val="EmailStyle3272"/>
    <w:basedOn w:val="DefaultParagraphFont"/>
    <w:semiHidden/>
    <w:rsid w:val="00496814"/>
    <w:rPr>
      <w:rFonts w:ascii="Arial" w:hAnsi="Arial" w:cs="Arial"/>
      <w:color w:val="993366"/>
      <w:sz w:val="20"/>
    </w:rPr>
  </w:style>
  <w:style w:type="character" w:customStyle="1" w:styleId="EmailStyle3282">
    <w:name w:val="EmailStyle3282"/>
    <w:basedOn w:val="DefaultParagraphFont"/>
    <w:semiHidden/>
    <w:rsid w:val="00496814"/>
    <w:rPr>
      <w:rFonts w:ascii="Arial" w:hAnsi="Arial" w:cs="Arial"/>
      <w:color w:val="000080"/>
      <w:sz w:val="20"/>
    </w:rPr>
  </w:style>
  <w:style w:type="character" w:customStyle="1" w:styleId="EmailStyle3292">
    <w:name w:val="EmailStyle3292"/>
    <w:basedOn w:val="DefaultParagraphFont"/>
    <w:semiHidden/>
    <w:rsid w:val="00496814"/>
    <w:rPr>
      <w:rFonts w:ascii="Arial" w:hAnsi="Arial" w:cs="Arial"/>
      <w:color w:val="993366"/>
      <w:sz w:val="20"/>
    </w:rPr>
  </w:style>
  <w:style w:type="character" w:customStyle="1" w:styleId="EmailStyle3302">
    <w:name w:val="EmailStyle3302"/>
    <w:basedOn w:val="DefaultParagraphFont"/>
    <w:semiHidden/>
    <w:rsid w:val="00496814"/>
    <w:rPr>
      <w:rFonts w:ascii="Arial" w:hAnsi="Arial" w:cs="Arial"/>
      <w:color w:val="000080"/>
      <w:sz w:val="20"/>
    </w:rPr>
  </w:style>
  <w:style w:type="character" w:customStyle="1" w:styleId="EmailStyle3312">
    <w:name w:val="EmailStyle3312"/>
    <w:basedOn w:val="DefaultParagraphFont"/>
    <w:semiHidden/>
    <w:rsid w:val="00496814"/>
    <w:rPr>
      <w:rFonts w:ascii="Arial" w:hAnsi="Arial" w:cs="Arial"/>
      <w:color w:val="000080"/>
      <w:sz w:val="20"/>
    </w:rPr>
  </w:style>
  <w:style w:type="paragraph" w:customStyle="1" w:styleId="00BodyText5">
    <w:name w:val="00 Body Text .5"/>
    <w:basedOn w:val="Normal"/>
    <w:uiPriority w:val="99"/>
    <w:rsid w:val="00496814"/>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96814"/>
    <w:pPr>
      <w:widowControl w:val="0"/>
      <w:spacing w:after="120" w:line="240" w:lineRule="auto"/>
    </w:pPr>
    <w:rPr>
      <w:i/>
      <w:sz w:val="16"/>
      <w:szCs w:val="14"/>
    </w:rPr>
  </w:style>
  <w:style w:type="character" w:customStyle="1" w:styleId="TextBoxTextChar">
    <w:name w:val="Text Box Text Char"/>
    <w:basedOn w:val="DefaultParagraphFont"/>
    <w:link w:val="TextBoxText"/>
    <w:rsid w:val="00496814"/>
    <w:rPr>
      <w:rFonts w:ascii="Cambria" w:hAnsi="Cambria" w:cs="Times New Roman"/>
      <w:i/>
      <w:sz w:val="16"/>
      <w:szCs w:val="14"/>
    </w:rPr>
  </w:style>
  <w:style w:type="character" w:customStyle="1" w:styleId="EmailStyle3352">
    <w:name w:val="EmailStyle3352"/>
    <w:basedOn w:val="DefaultParagraphFont"/>
    <w:semiHidden/>
    <w:rsid w:val="00496814"/>
    <w:rPr>
      <w:rFonts w:ascii="Arial" w:hAnsi="Arial" w:cs="Arial"/>
      <w:color w:val="993366"/>
      <w:sz w:val="20"/>
    </w:rPr>
  </w:style>
  <w:style w:type="character" w:customStyle="1" w:styleId="EmailStyle3362">
    <w:name w:val="EmailStyle3362"/>
    <w:basedOn w:val="DefaultParagraphFont"/>
    <w:semiHidden/>
    <w:rsid w:val="00496814"/>
    <w:rPr>
      <w:rFonts w:ascii="Arial" w:hAnsi="Arial" w:cs="Arial"/>
      <w:color w:val="000080"/>
      <w:sz w:val="20"/>
    </w:rPr>
  </w:style>
  <w:style w:type="character" w:customStyle="1" w:styleId="EmailStyle3372">
    <w:name w:val="EmailStyle3372"/>
    <w:basedOn w:val="DefaultParagraphFont"/>
    <w:semiHidden/>
    <w:rsid w:val="00496814"/>
    <w:rPr>
      <w:rFonts w:ascii="Arial" w:hAnsi="Arial" w:cs="Arial"/>
      <w:color w:val="993366"/>
      <w:sz w:val="20"/>
    </w:rPr>
  </w:style>
  <w:style w:type="character" w:customStyle="1" w:styleId="EmailStyle3382">
    <w:name w:val="EmailStyle3382"/>
    <w:basedOn w:val="DefaultParagraphFont"/>
    <w:semiHidden/>
    <w:rsid w:val="00496814"/>
    <w:rPr>
      <w:rFonts w:ascii="Arial" w:hAnsi="Arial" w:cs="Arial"/>
      <w:color w:val="000080"/>
      <w:sz w:val="20"/>
    </w:rPr>
  </w:style>
  <w:style w:type="character" w:customStyle="1" w:styleId="EmailStyle3392">
    <w:name w:val="EmailStyle3392"/>
    <w:basedOn w:val="DefaultParagraphFont"/>
    <w:semiHidden/>
    <w:rsid w:val="00496814"/>
    <w:rPr>
      <w:rFonts w:ascii="Arial" w:hAnsi="Arial" w:cs="Arial"/>
      <w:color w:val="000080"/>
      <w:sz w:val="20"/>
    </w:rPr>
  </w:style>
  <w:style w:type="character" w:customStyle="1" w:styleId="EmailStyle3402">
    <w:name w:val="EmailStyle3402"/>
    <w:basedOn w:val="DefaultParagraphFont"/>
    <w:semiHidden/>
    <w:rsid w:val="00496814"/>
    <w:rPr>
      <w:rFonts w:ascii="Arial" w:hAnsi="Arial" w:cs="Arial"/>
      <w:color w:val="993366"/>
      <w:sz w:val="20"/>
    </w:rPr>
  </w:style>
  <w:style w:type="character" w:customStyle="1" w:styleId="EmailStyle3412">
    <w:name w:val="EmailStyle3412"/>
    <w:basedOn w:val="DefaultParagraphFont"/>
    <w:semiHidden/>
    <w:rsid w:val="00496814"/>
    <w:rPr>
      <w:rFonts w:ascii="Arial" w:hAnsi="Arial" w:cs="Arial"/>
      <w:color w:val="000080"/>
      <w:sz w:val="20"/>
    </w:rPr>
  </w:style>
  <w:style w:type="character" w:customStyle="1" w:styleId="EmailStyle3422">
    <w:name w:val="EmailStyle3422"/>
    <w:basedOn w:val="DefaultParagraphFont"/>
    <w:semiHidden/>
    <w:rsid w:val="00496814"/>
    <w:rPr>
      <w:rFonts w:ascii="Arial" w:hAnsi="Arial" w:cs="Arial"/>
      <w:color w:val="993366"/>
      <w:sz w:val="20"/>
    </w:rPr>
  </w:style>
  <w:style w:type="character" w:customStyle="1" w:styleId="EmailStyle3432">
    <w:name w:val="EmailStyle3432"/>
    <w:basedOn w:val="DefaultParagraphFont"/>
    <w:semiHidden/>
    <w:rsid w:val="00496814"/>
    <w:rPr>
      <w:rFonts w:ascii="Arial" w:hAnsi="Arial" w:cs="Arial"/>
      <w:color w:val="000080"/>
      <w:sz w:val="20"/>
    </w:rPr>
  </w:style>
  <w:style w:type="character" w:customStyle="1" w:styleId="EmailStyle3442">
    <w:name w:val="EmailStyle3442"/>
    <w:basedOn w:val="DefaultParagraphFont"/>
    <w:semiHidden/>
    <w:rsid w:val="00496814"/>
    <w:rPr>
      <w:rFonts w:ascii="Arial" w:hAnsi="Arial" w:cs="Arial"/>
      <w:color w:val="000080"/>
      <w:sz w:val="20"/>
    </w:rPr>
  </w:style>
  <w:style w:type="paragraph" w:customStyle="1" w:styleId="Pa4">
    <w:name w:val="Pa4"/>
    <w:basedOn w:val="Default"/>
    <w:next w:val="Default"/>
    <w:uiPriority w:val="99"/>
    <w:rsid w:val="00496814"/>
    <w:pPr>
      <w:spacing w:after="80" w:line="201" w:lineRule="atLeast"/>
    </w:pPr>
    <w:rPr>
      <w:rFonts w:ascii="Helvetica 45 Light" w:hAnsi="Helvetica 45 Light"/>
      <w:color w:val="auto"/>
    </w:rPr>
  </w:style>
  <w:style w:type="paragraph" w:customStyle="1" w:styleId="Pa5">
    <w:name w:val="Pa5"/>
    <w:basedOn w:val="Normal"/>
    <w:next w:val="Normal"/>
    <w:uiPriority w:val="99"/>
    <w:rsid w:val="00496814"/>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496814"/>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496814"/>
    <w:rPr>
      <w:rFonts w:cs="Gotham Narrow Medium"/>
      <w:color w:val="000000"/>
      <w:sz w:val="45"/>
      <w:szCs w:val="45"/>
    </w:rPr>
  </w:style>
  <w:style w:type="character" w:customStyle="1" w:styleId="EmailStyle3502">
    <w:name w:val="EmailStyle3502"/>
    <w:basedOn w:val="DefaultParagraphFont"/>
    <w:semiHidden/>
    <w:rsid w:val="00496814"/>
    <w:rPr>
      <w:rFonts w:ascii="Arial" w:hAnsi="Arial" w:cs="Arial"/>
      <w:color w:val="993366"/>
      <w:sz w:val="20"/>
    </w:rPr>
  </w:style>
  <w:style w:type="character" w:customStyle="1" w:styleId="EmailStyle3512">
    <w:name w:val="EmailStyle3512"/>
    <w:basedOn w:val="DefaultParagraphFont"/>
    <w:semiHidden/>
    <w:rsid w:val="00496814"/>
    <w:rPr>
      <w:rFonts w:ascii="Arial" w:hAnsi="Arial" w:cs="Arial"/>
      <w:color w:val="000080"/>
      <w:sz w:val="20"/>
    </w:rPr>
  </w:style>
  <w:style w:type="character" w:customStyle="1" w:styleId="EmailStyle3522">
    <w:name w:val="EmailStyle3522"/>
    <w:basedOn w:val="DefaultParagraphFont"/>
    <w:semiHidden/>
    <w:rsid w:val="00496814"/>
    <w:rPr>
      <w:rFonts w:ascii="Arial" w:hAnsi="Arial" w:cs="Arial"/>
      <w:color w:val="000080"/>
      <w:sz w:val="20"/>
    </w:rPr>
  </w:style>
  <w:style w:type="character" w:customStyle="1" w:styleId="EmailStyle3532">
    <w:name w:val="EmailStyle3532"/>
    <w:basedOn w:val="DefaultParagraphFont"/>
    <w:semiHidden/>
    <w:rsid w:val="00496814"/>
    <w:rPr>
      <w:rFonts w:ascii="Arial" w:hAnsi="Arial" w:cs="Arial"/>
      <w:color w:val="000080"/>
      <w:sz w:val="20"/>
    </w:rPr>
  </w:style>
  <w:style w:type="character" w:customStyle="1" w:styleId="EmailStyle3542">
    <w:name w:val="EmailStyle3542"/>
    <w:basedOn w:val="DefaultParagraphFont"/>
    <w:semiHidden/>
    <w:rsid w:val="00496814"/>
    <w:rPr>
      <w:rFonts w:ascii="Arial" w:hAnsi="Arial" w:cs="Arial"/>
      <w:color w:val="993366"/>
      <w:sz w:val="20"/>
    </w:rPr>
  </w:style>
  <w:style w:type="character" w:customStyle="1" w:styleId="EmailStyle3552">
    <w:name w:val="EmailStyle3552"/>
    <w:basedOn w:val="DefaultParagraphFont"/>
    <w:semiHidden/>
    <w:rsid w:val="00496814"/>
    <w:rPr>
      <w:rFonts w:ascii="Arial" w:hAnsi="Arial" w:cs="Arial"/>
      <w:color w:val="993366"/>
      <w:sz w:val="20"/>
    </w:rPr>
  </w:style>
  <w:style w:type="character" w:customStyle="1" w:styleId="EmailStyle3562">
    <w:name w:val="EmailStyle3562"/>
    <w:basedOn w:val="DefaultParagraphFont"/>
    <w:semiHidden/>
    <w:rsid w:val="00496814"/>
    <w:rPr>
      <w:rFonts w:ascii="Arial" w:hAnsi="Arial" w:cs="Arial"/>
      <w:color w:val="993366"/>
      <w:sz w:val="20"/>
    </w:rPr>
  </w:style>
  <w:style w:type="character" w:customStyle="1" w:styleId="EmailStyle3572">
    <w:name w:val="EmailStyle3572"/>
    <w:basedOn w:val="DefaultParagraphFont"/>
    <w:semiHidden/>
    <w:rsid w:val="00496814"/>
    <w:rPr>
      <w:rFonts w:ascii="Arial" w:hAnsi="Arial" w:cs="Arial"/>
      <w:color w:val="993366"/>
      <w:sz w:val="20"/>
    </w:rPr>
  </w:style>
  <w:style w:type="character" w:customStyle="1" w:styleId="EmailStyle3582">
    <w:name w:val="EmailStyle3582"/>
    <w:basedOn w:val="DefaultParagraphFont"/>
    <w:semiHidden/>
    <w:rsid w:val="00496814"/>
    <w:rPr>
      <w:rFonts w:ascii="Arial" w:hAnsi="Arial" w:cs="Arial"/>
      <w:color w:val="993366"/>
      <w:sz w:val="20"/>
    </w:rPr>
  </w:style>
  <w:style w:type="character" w:customStyle="1" w:styleId="EmailStyle3592">
    <w:name w:val="EmailStyle3592"/>
    <w:basedOn w:val="DefaultParagraphFont"/>
    <w:semiHidden/>
    <w:rsid w:val="00496814"/>
    <w:rPr>
      <w:rFonts w:ascii="Arial" w:hAnsi="Arial" w:cs="Arial"/>
      <w:color w:val="993366"/>
      <w:sz w:val="20"/>
    </w:rPr>
  </w:style>
  <w:style w:type="character" w:customStyle="1" w:styleId="EmailStyle3602">
    <w:name w:val="EmailStyle3602"/>
    <w:basedOn w:val="DefaultParagraphFont"/>
    <w:semiHidden/>
    <w:rsid w:val="00496814"/>
    <w:rPr>
      <w:rFonts w:ascii="Arial" w:hAnsi="Arial" w:cs="Arial"/>
      <w:color w:val="993366"/>
      <w:sz w:val="20"/>
    </w:rPr>
  </w:style>
  <w:style w:type="character" w:customStyle="1" w:styleId="EmailStyle3612">
    <w:name w:val="EmailStyle3612"/>
    <w:basedOn w:val="DefaultParagraphFont"/>
    <w:semiHidden/>
    <w:rsid w:val="00496814"/>
    <w:rPr>
      <w:rFonts w:ascii="Arial" w:hAnsi="Arial" w:cs="Arial"/>
      <w:color w:val="993366"/>
      <w:sz w:val="20"/>
    </w:rPr>
  </w:style>
  <w:style w:type="character" w:customStyle="1" w:styleId="EmailStyle3622">
    <w:name w:val="EmailStyle3622"/>
    <w:basedOn w:val="DefaultParagraphFont"/>
    <w:semiHidden/>
    <w:rsid w:val="00496814"/>
    <w:rPr>
      <w:rFonts w:ascii="Arial" w:hAnsi="Arial" w:cs="Arial"/>
      <w:color w:val="993366"/>
      <w:sz w:val="20"/>
    </w:rPr>
  </w:style>
  <w:style w:type="character" w:styleId="HTMLCite">
    <w:name w:val="HTML Cite"/>
    <w:basedOn w:val="DefaultParagraphFont"/>
    <w:uiPriority w:val="99"/>
    <w:semiHidden/>
    <w:unhideWhenUsed/>
    <w:rsid w:val="00496814"/>
    <w:rPr>
      <w:i/>
      <w:iCs/>
    </w:rPr>
  </w:style>
  <w:style w:type="paragraph" w:customStyle="1" w:styleId="Label1-ISO-NE">
    <w:name w:val="Label 1 - ISO-NE"/>
    <w:basedOn w:val="Normal"/>
    <w:link w:val="Label1-ISO-NEChar"/>
    <w:qFormat/>
    <w:rsid w:val="00496814"/>
    <w:pPr>
      <w:spacing w:before="240"/>
    </w:pPr>
    <w:rPr>
      <w:rFonts w:ascii="Arial Bold" w:eastAsia="Times New Roman" w:hAnsi="Arial Bold"/>
      <w:bCs/>
    </w:rPr>
  </w:style>
  <w:style w:type="character" w:customStyle="1" w:styleId="Label1-ISO-NEChar">
    <w:name w:val="Label 1 - ISO-NE Char"/>
    <w:basedOn w:val="CaptionChar"/>
    <w:link w:val="Label1-ISO-NE"/>
    <w:locked/>
    <w:rsid w:val="00496814"/>
    <w:rPr>
      <w:rFonts w:ascii="Arial Bold" w:eastAsia="Times New Roman" w:hAnsi="Arial Bold" w:cs="Times New Roman"/>
      <w:b w:val="0"/>
      <w:bCs/>
      <w:sz w:val="20"/>
      <w:szCs w:val="20"/>
    </w:rPr>
  </w:style>
  <w:style w:type="table" w:customStyle="1" w:styleId="LightGrid-Accent11">
    <w:name w:val="Light Grid - Accent 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496814"/>
    <w:rPr>
      <w:rFonts w:ascii="Arial" w:hAnsi="Arial" w:cs="Arial"/>
      <w:color w:val="993366"/>
      <w:sz w:val="20"/>
    </w:rPr>
  </w:style>
  <w:style w:type="character" w:customStyle="1" w:styleId="EmailStyle3682">
    <w:name w:val="EmailStyle3682"/>
    <w:basedOn w:val="DefaultParagraphFont"/>
    <w:semiHidden/>
    <w:rsid w:val="00496814"/>
    <w:rPr>
      <w:rFonts w:ascii="Arial" w:hAnsi="Arial" w:cs="Arial"/>
      <w:color w:val="000080"/>
      <w:sz w:val="20"/>
    </w:rPr>
  </w:style>
  <w:style w:type="character" w:customStyle="1" w:styleId="EmailStyle3692">
    <w:name w:val="EmailStyle3692"/>
    <w:basedOn w:val="DefaultParagraphFont"/>
    <w:semiHidden/>
    <w:rsid w:val="00496814"/>
    <w:rPr>
      <w:rFonts w:ascii="Arial" w:hAnsi="Arial" w:cs="Arial"/>
      <w:color w:val="993366"/>
      <w:sz w:val="20"/>
    </w:rPr>
  </w:style>
  <w:style w:type="character" w:customStyle="1" w:styleId="EmailStyle3702">
    <w:name w:val="EmailStyle3702"/>
    <w:basedOn w:val="DefaultParagraphFont"/>
    <w:semiHidden/>
    <w:rsid w:val="00496814"/>
    <w:rPr>
      <w:rFonts w:ascii="Arial" w:hAnsi="Arial" w:cs="Arial"/>
      <w:color w:val="000080"/>
      <w:sz w:val="20"/>
    </w:rPr>
  </w:style>
  <w:style w:type="character" w:customStyle="1" w:styleId="EmailStyle3712">
    <w:name w:val="EmailStyle3712"/>
    <w:basedOn w:val="DefaultParagraphFont"/>
    <w:semiHidden/>
    <w:rsid w:val="00496814"/>
    <w:rPr>
      <w:rFonts w:ascii="Arial" w:hAnsi="Arial" w:cs="Arial"/>
      <w:color w:val="993366"/>
      <w:sz w:val="20"/>
    </w:rPr>
  </w:style>
  <w:style w:type="character" w:customStyle="1" w:styleId="EmailStyle3722">
    <w:name w:val="EmailStyle3722"/>
    <w:basedOn w:val="DefaultParagraphFont"/>
    <w:semiHidden/>
    <w:rsid w:val="00496814"/>
    <w:rPr>
      <w:rFonts w:ascii="Arial" w:hAnsi="Arial" w:cs="Arial"/>
      <w:color w:val="000080"/>
      <w:sz w:val="20"/>
    </w:rPr>
  </w:style>
  <w:style w:type="character" w:customStyle="1" w:styleId="EmailStyle3732">
    <w:name w:val="EmailStyle3732"/>
    <w:basedOn w:val="DefaultParagraphFont"/>
    <w:semiHidden/>
    <w:rsid w:val="00496814"/>
    <w:rPr>
      <w:rFonts w:ascii="Arial" w:hAnsi="Arial" w:cs="Arial"/>
      <w:color w:val="993366"/>
      <w:sz w:val="20"/>
    </w:rPr>
  </w:style>
  <w:style w:type="character" w:customStyle="1" w:styleId="EmailStyle3742">
    <w:name w:val="EmailStyle3742"/>
    <w:basedOn w:val="DefaultParagraphFont"/>
    <w:semiHidden/>
    <w:rsid w:val="00496814"/>
    <w:rPr>
      <w:rFonts w:ascii="Arial" w:hAnsi="Arial" w:cs="Arial"/>
      <w:color w:val="000080"/>
      <w:sz w:val="20"/>
    </w:rPr>
  </w:style>
  <w:style w:type="character" w:customStyle="1" w:styleId="EmailStyle3752">
    <w:name w:val="EmailStyle3752"/>
    <w:basedOn w:val="DefaultParagraphFont"/>
    <w:semiHidden/>
    <w:rsid w:val="00496814"/>
    <w:rPr>
      <w:rFonts w:ascii="Arial" w:hAnsi="Arial" w:cs="Arial"/>
      <w:color w:val="993366"/>
      <w:sz w:val="20"/>
    </w:rPr>
  </w:style>
  <w:style w:type="character" w:customStyle="1" w:styleId="EmailStyle3762">
    <w:name w:val="EmailStyle3762"/>
    <w:basedOn w:val="DefaultParagraphFont"/>
    <w:semiHidden/>
    <w:rsid w:val="00496814"/>
    <w:rPr>
      <w:rFonts w:ascii="Arial" w:hAnsi="Arial" w:cs="Arial"/>
      <w:color w:val="000080"/>
      <w:sz w:val="20"/>
    </w:rPr>
  </w:style>
  <w:style w:type="character" w:customStyle="1" w:styleId="EmailStyle3772">
    <w:name w:val="EmailStyle3772"/>
    <w:basedOn w:val="DefaultParagraphFont"/>
    <w:semiHidden/>
    <w:rsid w:val="00496814"/>
    <w:rPr>
      <w:rFonts w:ascii="Arial" w:hAnsi="Arial" w:cs="Arial"/>
      <w:color w:val="993366"/>
      <w:sz w:val="20"/>
    </w:rPr>
  </w:style>
  <w:style w:type="character" w:customStyle="1" w:styleId="EmailStyle3782">
    <w:name w:val="EmailStyle3782"/>
    <w:basedOn w:val="DefaultParagraphFont"/>
    <w:semiHidden/>
    <w:rsid w:val="00496814"/>
    <w:rPr>
      <w:rFonts w:ascii="Arial" w:hAnsi="Arial" w:cs="Arial"/>
      <w:color w:val="000080"/>
      <w:sz w:val="20"/>
    </w:rPr>
  </w:style>
  <w:style w:type="character" w:customStyle="1" w:styleId="EmailStyle3792">
    <w:name w:val="EmailStyle3792"/>
    <w:basedOn w:val="DefaultParagraphFont"/>
    <w:semiHidden/>
    <w:rsid w:val="00496814"/>
    <w:rPr>
      <w:rFonts w:ascii="Arial" w:hAnsi="Arial" w:cs="Arial"/>
      <w:color w:val="993366"/>
      <w:sz w:val="20"/>
    </w:rPr>
  </w:style>
  <w:style w:type="character" w:customStyle="1" w:styleId="EmailStyle3802">
    <w:name w:val="EmailStyle3802"/>
    <w:basedOn w:val="DefaultParagraphFont"/>
    <w:semiHidden/>
    <w:rsid w:val="00496814"/>
    <w:rPr>
      <w:rFonts w:ascii="Arial" w:hAnsi="Arial" w:cs="Arial"/>
      <w:color w:val="000080"/>
      <w:sz w:val="20"/>
    </w:rPr>
  </w:style>
  <w:style w:type="character" w:customStyle="1" w:styleId="EmailStyle3812">
    <w:name w:val="EmailStyle3812"/>
    <w:basedOn w:val="DefaultParagraphFont"/>
    <w:semiHidden/>
    <w:rsid w:val="00496814"/>
    <w:rPr>
      <w:rFonts w:ascii="Arial" w:hAnsi="Arial" w:cs="Arial"/>
      <w:color w:val="993366"/>
      <w:sz w:val="20"/>
    </w:rPr>
  </w:style>
  <w:style w:type="character" w:customStyle="1" w:styleId="EmailStyle3822">
    <w:name w:val="EmailStyle3822"/>
    <w:basedOn w:val="DefaultParagraphFont"/>
    <w:semiHidden/>
    <w:rsid w:val="00496814"/>
    <w:rPr>
      <w:rFonts w:ascii="Arial" w:hAnsi="Arial" w:cs="Arial"/>
      <w:color w:val="000080"/>
      <w:sz w:val="20"/>
    </w:rPr>
  </w:style>
  <w:style w:type="character" w:customStyle="1" w:styleId="EmailStyle3832">
    <w:name w:val="EmailStyle3832"/>
    <w:basedOn w:val="DefaultParagraphFont"/>
    <w:semiHidden/>
    <w:rsid w:val="00496814"/>
    <w:rPr>
      <w:rFonts w:ascii="Arial" w:hAnsi="Arial" w:cs="Arial"/>
      <w:color w:val="993366"/>
      <w:sz w:val="20"/>
    </w:rPr>
  </w:style>
  <w:style w:type="character" w:customStyle="1" w:styleId="EmailStyle3842">
    <w:name w:val="EmailStyle3842"/>
    <w:basedOn w:val="DefaultParagraphFont"/>
    <w:semiHidden/>
    <w:rsid w:val="00496814"/>
    <w:rPr>
      <w:rFonts w:ascii="Arial" w:hAnsi="Arial" w:cs="Arial"/>
      <w:color w:val="000080"/>
      <w:sz w:val="20"/>
    </w:rPr>
  </w:style>
  <w:style w:type="character" w:customStyle="1" w:styleId="EmailStyle3852">
    <w:name w:val="EmailStyle3852"/>
    <w:basedOn w:val="DefaultParagraphFont"/>
    <w:semiHidden/>
    <w:rsid w:val="00496814"/>
    <w:rPr>
      <w:rFonts w:ascii="Arial" w:hAnsi="Arial" w:cs="Arial"/>
      <w:color w:val="993366"/>
      <w:sz w:val="20"/>
    </w:rPr>
  </w:style>
  <w:style w:type="character" w:customStyle="1" w:styleId="EmailStyle3862">
    <w:name w:val="EmailStyle3862"/>
    <w:basedOn w:val="DefaultParagraphFont"/>
    <w:semiHidden/>
    <w:rsid w:val="00496814"/>
    <w:rPr>
      <w:rFonts w:ascii="Arial" w:hAnsi="Arial" w:cs="Arial"/>
      <w:color w:val="000080"/>
      <w:sz w:val="20"/>
    </w:rPr>
  </w:style>
  <w:style w:type="character" w:customStyle="1" w:styleId="EmailStyle3872">
    <w:name w:val="EmailStyle3872"/>
    <w:basedOn w:val="DefaultParagraphFont"/>
    <w:semiHidden/>
    <w:rsid w:val="00496814"/>
    <w:rPr>
      <w:rFonts w:ascii="Arial" w:hAnsi="Arial" w:cs="Arial"/>
      <w:color w:val="993366"/>
      <w:sz w:val="20"/>
    </w:rPr>
  </w:style>
  <w:style w:type="character" w:customStyle="1" w:styleId="EmailStyle3882">
    <w:name w:val="EmailStyle3882"/>
    <w:basedOn w:val="DefaultParagraphFont"/>
    <w:semiHidden/>
    <w:rsid w:val="00496814"/>
    <w:rPr>
      <w:rFonts w:ascii="Arial" w:hAnsi="Arial" w:cs="Arial"/>
      <w:color w:val="000080"/>
      <w:sz w:val="20"/>
    </w:rPr>
  </w:style>
  <w:style w:type="character" w:customStyle="1" w:styleId="EmailStyle3892">
    <w:name w:val="EmailStyle3892"/>
    <w:basedOn w:val="DefaultParagraphFont"/>
    <w:semiHidden/>
    <w:rsid w:val="00496814"/>
    <w:rPr>
      <w:rFonts w:ascii="Arial" w:hAnsi="Arial" w:cs="Arial"/>
      <w:color w:val="993366"/>
      <w:sz w:val="20"/>
    </w:rPr>
  </w:style>
  <w:style w:type="character" w:customStyle="1" w:styleId="EmailStyle3902">
    <w:name w:val="EmailStyle3902"/>
    <w:basedOn w:val="DefaultParagraphFont"/>
    <w:semiHidden/>
    <w:rsid w:val="00496814"/>
    <w:rPr>
      <w:rFonts w:ascii="Arial" w:hAnsi="Arial" w:cs="Arial"/>
      <w:color w:val="000080"/>
      <w:sz w:val="20"/>
    </w:rPr>
  </w:style>
  <w:style w:type="character" w:customStyle="1" w:styleId="EmailStyle3912">
    <w:name w:val="EmailStyle3912"/>
    <w:basedOn w:val="DefaultParagraphFont"/>
    <w:semiHidden/>
    <w:rsid w:val="00496814"/>
    <w:rPr>
      <w:rFonts w:ascii="Arial" w:hAnsi="Arial" w:cs="Arial"/>
      <w:color w:val="993366"/>
      <w:sz w:val="20"/>
    </w:rPr>
  </w:style>
  <w:style w:type="character" w:customStyle="1" w:styleId="EmailStyle3922">
    <w:name w:val="EmailStyle3922"/>
    <w:basedOn w:val="DefaultParagraphFont"/>
    <w:semiHidden/>
    <w:rsid w:val="00496814"/>
    <w:rPr>
      <w:rFonts w:ascii="Arial" w:hAnsi="Arial" w:cs="Arial"/>
      <w:color w:val="000080"/>
      <w:sz w:val="20"/>
    </w:rPr>
  </w:style>
  <w:style w:type="character" w:customStyle="1" w:styleId="EmailStyle3932">
    <w:name w:val="EmailStyle3932"/>
    <w:basedOn w:val="DefaultParagraphFont"/>
    <w:semiHidden/>
    <w:rsid w:val="00496814"/>
    <w:rPr>
      <w:rFonts w:ascii="Arial" w:hAnsi="Arial" w:cs="Arial"/>
      <w:color w:val="993366"/>
      <w:sz w:val="20"/>
    </w:rPr>
  </w:style>
  <w:style w:type="character" w:customStyle="1" w:styleId="EmailStyle3942">
    <w:name w:val="EmailStyle3942"/>
    <w:basedOn w:val="DefaultParagraphFont"/>
    <w:semiHidden/>
    <w:rsid w:val="00496814"/>
    <w:rPr>
      <w:rFonts w:ascii="Arial" w:hAnsi="Arial" w:cs="Arial"/>
      <w:color w:val="000080"/>
      <w:sz w:val="20"/>
    </w:rPr>
  </w:style>
  <w:style w:type="character" w:customStyle="1" w:styleId="EmailStyle3952">
    <w:name w:val="EmailStyle3952"/>
    <w:basedOn w:val="DefaultParagraphFont"/>
    <w:semiHidden/>
    <w:rsid w:val="00496814"/>
    <w:rPr>
      <w:rFonts w:ascii="Arial" w:hAnsi="Arial" w:cs="Arial"/>
      <w:color w:val="993366"/>
      <w:sz w:val="20"/>
    </w:rPr>
  </w:style>
  <w:style w:type="character" w:customStyle="1" w:styleId="EmailStyle3962">
    <w:name w:val="EmailStyle3962"/>
    <w:basedOn w:val="DefaultParagraphFont"/>
    <w:semiHidden/>
    <w:rsid w:val="00496814"/>
    <w:rPr>
      <w:rFonts w:ascii="Arial" w:hAnsi="Arial" w:cs="Arial"/>
      <w:color w:val="000080"/>
      <w:sz w:val="20"/>
    </w:rPr>
  </w:style>
  <w:style w:type="character" w:customStyle="1" w:styleId="EmailStyle3972">
    <w:name w:val="EmailStyle3972"/>
    <w:basedOn w:val="DefaultParagraphFont"/>
    <w:semiHidden/>
    <w:rsid w:val="00496814"/>
    <w:rPr>
      <w:rFonts w:ascii="Arial" w:hAnsi="Arial" w:cs="Arial"/>
      <w:color w:val="993366"/>
      <w:sz w:val="20"/>
    </w:rPr>
  </w:style>
  <w:style w:type="character" w:customStyle="1" w:styleId="EmailStyle3982">
    <w:name w:val="EmailStyle3982"/>
    <w:basedOn w:val="DefaultParagraphFont"/>
    <w:semiHidden/>
    <w:rsid w:val="00496814"/>
    <w:rPr>
      <w:rFonts w:ascii="Arial" w:hAnsi="Arial" w:cs="Arial"/>
      <w:color w:val="000080"/>
      <w:sz w:val="20"/>
    </w:rPr>
  </w:style>
  <w:style w:type="character" w:customStyle="1" w:styleId="EmailStyle3992">
    <w:name w:val="EmailStyle3992"/>
    <w:basedOn w:val="DefaultParagraphFont"/>
    <w:semiHidden/>
    <w:rsid w:val="00496814"/>
    <w:rPr>
      <w:rFonts w:ascii="Arial" w:hAnsi="Arial" w:cs="Arial"/>
      <w:color w:val="993366"/>
      <w:sz w:val="20"/>
    </w:rPr>
  </w:style>
  <w:style w:type="character" w:customStyle="1" w:styleId="EmailStyle4002">
    <w:name w:val="EmailStyle4002"/>
    <w:basedOn w:val="DefaultParagraphFont"/>
    <w:semiHidden/>
    <w:rsid w:val="00496814"/>
    <w:rPr>
      <w:rFonts w:ascii="Arial" w:hAnsi="Arial" w:cs="Arial"/>
      <w:color w:val="000080"/>
      <w:sz w:val="20"/>
    </w:rPr>
  </w:style>
  <w:style w:type="character" w:customStyle="1" w:styleId="EmailStyle4012">
    <w:name w:val="EmailStyle4012"/>
    <w:basedOn w:val="DefaultParagraphFont"/>
    <w:semiHidden/>
    <w:rsid w:val="00496814"/>
    <w:rPr>
      <w:rFonts w:ascii="Arial" w:hAnsi="Arial" w:cs="Arial"/>
      <w:color w:val="993366"/>
      <w:sz w:val="20"/>
    </w:rPr>
  </w:style>
  <w:style w:type="character" w:customStyle="1" w:styleId="EmailStyle4022">
    <w:name w:val="EmailStyle4022"/>
    <w:basedOn w:val="DefaultParagraphFont"/>
    <w:semiHidden/>
    <w:rsid w:val="00496814"/>
    <w:rPr>
      <w:rFonts w:ascii="Arial" w:hAnsi="Arial" w:cs="Arial"/>
      <w:color w:val="000080"/>
      <w:sz w:val="20"/>
    </w:rPr>
  </w:style>
  <w:style w:type="character" w:customStyle="1" w:styleId="EmailStyle4032">
    <w:name w:val="EmailStyle4032"/>
    <w:basedOn w:val="DefaultParagraphFont"/>
    <w:semiHidden/>
    <w:rsid w:val="00496814"/>
    <w:rPr>
      <w:rFonts w:ascii="Arial" w:hAnsi="Arial" w:cs="Arial"/>
      <w:color w:val="993366"/>
      <w:sz w:val="20"/>
    </w:rPr>
  </w:style>
  <w:style w:type="character" w:customStyle="1" w:styleId="EmailStyle4042">
    <w:name w:val="EmailStyle4042"/>
    <w:basedOn w:val="DefaultParagraphFont"/>
    <w:semiHidden/>
    <w:rsid w:val="00496814"/>
    <w:rPr>
      <w:rFonts w:ascii="Arial" w:hAnsi="Arial" w:cs="Arial"/>
      <w:color w:val="000080"/>
      <w:sz w:val="20"/>
    </w:rPr>
  </w:style>
  <w:style w:type="character" w:customStyle="1" w:styleId="EmailStyle4052">
    <w:name w:val="EmailStyle4052"/>
    <w:basedOn w:val="DefaultParagraphFont"/>
    <w:semiHidden/>
    <w:rsid w:val="00496814"/>
    <w:rPr>
      <w:rFonts w:ascii="Arial" w:hAnsi="Arial" w:cs="Arial"/>
      <w:color w:val="993366"/>
      <w:sz w:val="20"/>
    </w:rPr>
  </w:style>
  <w:style w:type="character" w:customStyle="1" w:styleId="EmailStyle4062">
    <w:name w:val="EmailStyle4062"/>
    <w:basedOn w:val="DefaultParagraphFont"/>
    <w:semiHidden/>
    <w:rsid w:val="00496814"/>
    <w:rPr>
      <w:rFonts w:ascii="Arial" w:hAnsi="Arial" w:cs="Arial"/>
      <w:color w:val="000080"/>
      <w:sz w:val="20"/>
    </w:rPr>
  </w:style>
  <w:style w:type="character" w:customStyle="1" w:styleId="EmailStyle4072">
    <w:name w:val="EmailStyle4072"/>
    <w:basedOn w:val="DefaultParagraphFont"/>
    <w:semiHidden/>
    <w:rsid w:val="00496814"/>
    <w:rPr>
      <w:rFonts w:ascii="Arial" w:hAnsi="Arial" w:cs="Arial"/>
      <w:color w:val="993366"/>
      <w:sz w:val="20"/>
    </w:rPr>
  </w:style>
  <w:style w:type="character" w:customStyle="1" w:styleId="EmailStyle4082">
    <w:name w:val="EmailStyle4082"/>
    <w:basedOn w:val="DefaultParagraphFont"/>
    <w:semiHidden/>
    <w:rsid w:val="00496814"/>
    <w:rPr>
      <w:rFonts w:ascii="Arial" w:hAnsi="Arial" w:cs="Arial"/>
      <w:color w:val="000080"/>
      <w:sz w:val="20"/>
    </w:rPr>
  </w:style>
  <w:style w:type="character" w:customStyle="1" w:styleId="EmailStyle4092">
    <w:name w:val="EmailStyle4092"/>
    <w:basedOn w:val="DefaultParagraphFont"/>
    <w:semiHidden/>
    <w:rsid w:val="00496814"/>
    <w:rPr>
      <w:rFonts w:ascii="Arial" w:hAnsi="Arial" w:cs="Arial"/>
      <w:color w:val="993366"/>
      <w:sz w:val="20"/>
    </w:rPr>
  </w:style>
  <w:style w:type="character" w:customStyle="1" w:styleId="EmailStyle4102">
    <w:name w:val="EmailStyle4102"/>
    <w:basedOn w:val="DefaultParagraphFont"/>
    <w:semiHidden/>
    <w:rsid w:val="00496814"/>
    <w:rPr>
      <w:rFonts w:ascii="Arial" w:hAnsi="Arial" w:cs="Arial"/>
      <w:color w:val="000080"/>
      <w:sz w:val="20"/>
    </w:rPr>
  </w:style>
  <w:style w:type="character" w:customStyle="1" w:styleId="EmailStyle4112">
    <w:name w:val="EmailStyle4112"/>
    <w:basedOn w:val="DefaultParagraphFont"/>
    <w:semiHidden/>
    <w:rsid w:val="00496814"/>
    <w:rPr>
      <w:rFonts w:ascii="Arial" w:hAnsi="Arial" w:cs="Arial"/>
      <w:color w:val="993366"/>
      <w:sz w:val="20"/>
    </w:rPr>
  </w:style>
  <w:style w:type="character" w:customStyle="1" w:styleId="EmailStyle4122">
    <w:name w:val="EmailStyle4122"/>
    <w:basedOn w:val="DefaultParagraphFont"/>
    <w:semiHidden/>
    <w:rsid w:val="00496814"/>
    <w:rPr>
      <w:rFonts w:ascii="Arial" w:hAnsi="Arial" w:cs="Arial"/>
      <w:color w:val="000080"/>
      <w:sz w:val="20"/>
    </w:rPr>
  </w:style>
  <w:style w:type="character" w:customStyle="1" w:styleId="EmailStyle4132">
    <w:name w:val="EmailStyle4132"/>
    <w:basedOn w:val="DefaultParagraphFont"/>
    <w:semiHidden/>
    <w:rsid w:val="00496814"/>
    <w:rPr>
      <w:rFonts w:ascii="Arial" w:hAnsi="Arial" w:cs="Arial"/>
      <w:color w:val="993366"/>
      <w:sz w:val="20"/>
    </w:rPr>
  </w:style>
  <w:style w:type="character" w:customStyle="1" w:styleId="EmailStyle4142">
    <w:name w:val="EmailStyle4142"/>
    <w:basedOn w:val="DefaultParagraphFont"/>
    <w:semiHidden/>
    <w:rsid w:val="00496814"/>
    <w:rPr>
      <w:rFonts w:ascii="Arial" w:hAnsi="Arial" w:cs="Arial"/>
      <w:color w:val="000080"/>
      <w:sz w:val="20"/>
    </w:rPr>
  </w:style>
  <w:style w:type="character" w:customStyle="1" w:styleId="EmailStyle4152">
    <w:name w:val="EmailStyle4152"/>
    <w:basedOn w:val="DefaultParagraphFont"/>
    <w:semiHidden/>
    <w:rsid w:val="00496814"/>
    <w:rPr>
      <w:rFonts w:ascii="Arial" w:hAnsi="Arial" w:cs="Arial"/>
      <w:color w:val="993366"/>
      <w:sz w:val="20"/>
    </w:rPr>
  </w:style>
  <w:style w:type="character" w:customStyle="1" w:styleId="EmailStyle4162">
    <w:name w:val="EmailStyle4162"/>
    <w:basedOn w:val="DefaultParagraphFont"/>
    <w:semiHidden/>
    <w:rsid w:val="00496814"/>
    <w:rPr>
      <w:rFonts w:ascii="Arial" w:hAnsi="Arial" w:cs="Arial"/>
      <w:color w:val="000080"/>
      <w:sz w:val="20"/>
    </w:rPr>
  </w:style>
  <w:style w:type="character" w:customStyle="1" w:styleId="EmailStyle4172">
    <w:name w:val="EmailStyle4172"/>
    <w:basedOn w:val="DefaultParagraphFont"/>
    <w:semiHidden/>
    <w:rsid w:val="00496814"/>
    <w:rPr>
      <w:rFonts w:ascii="Arial" w:hAnsi="Arial" w:cs="Arial"/>
      <w:color w:val="993366"/>
      <w:sz w:val="20"/>
    </w:rPr>
  </w:style>
  <w:style w:type="character" w:customStyle="1" w:styleId="EmailStyle4182">
    <w:name w:val="EmailStyle4182"/>
    <w:basedOn w:val="DefaultParagraphFont"/>
    <w:semiHidden/>
    <w:rsid w:val="00496814"/>
    <w:rPr>
      <w:rFonts w:ascii="Arial" w:hAnsi="Arial" w:cs="Arial"/>
      <w:color w:val="000080"/>
      <w:sz w:val="20"/>
    </w:rPr>
  </w:style>
  <w:style w:type="character" w:customStyle="1" w:styleId="EmailStyle4192">
    <w:name w:val="EmailStyle4192"/>
    <w:basedOn w:val="DefaultParagraphFont"/>
    <w:semiHidden/>
    <w:rsid w:val="00496814"/>
    <w:rPr>
      <w:rFonts w:ascii="Arial" w:hAnsi="Arial" w:cs="Arial"/>
      <w:color w:val="993366"/>
      <w:sz w:val="20"/>
    </w:rPr>
  </w:style>
  <w:style w:type="character" w:customStyle="1" w:styleId="EmailStyle4202">
    <w:name w:val="EmailStyle4202"/>
    <w:basedOn w:val="DefaultParagraphFont"/>
    <w:semiHidden/>
    <w:rsid w:val="00496814"/>
    <w:rPr>
      <w:rFonts w:ascii="Arial" w:hAnsi="Arial" w:cs="Arial"/>
      <w:color w:val="000080"/>
      <w:sz w:val="20"/>
    </w:rPr>
  </w:style>
  <w:style w:type="character" w:customStyle="1" w:styleId="EmailStyle4212">
    <w:name w:val="EmailStyle4212"/>
    <w:basedOn w:val="DefaultParagraphFont"/>
    <w:semiHidden/>
    <w:rsid w:val="00496814"/>
    <w:rPr>
      <w:rFonts w:ascii="Arial" w:hAnsi="Arial" w:cs="Arial"/>
      <w:color w:val="993366"/>
      <w:sz w:val="20"/>
    </w:rPr>
  </w:style>
  <w:style w:type="character" w:customStyle="1" w:styleId="EmailStyle4222">
    <w:name w:val="EmailStyle4222"/>
    <w:basedOn w:val="DefaultParagraphFont"/>
    <w:semiHidden/>
    <w:rsid w:val="00496814"/>
    <w:rPr>
      <w:rFonts w:ascii="Arial" w:hAnsi="Arial" w:cs="Arial"/>
      <w:color w:val="000080"/>
      <w:sz w:val="20"/>
    </w:rPr>
  </w:style>
  <w:style w:type="character" w:customStyle="1" w:styleId="EmailStyle4232">
    <w:name w:val="EmailStyle4232"/>
    <w:basedOn w:val="DefaultParagraphFont"/>
    <w:semiHidden/>
    <w:rsid w:val="00496814"/>
    <w:rPr>
      <w:rFonts w:ascii="Arial" w:hAnsi="Arial" w:cs="Arial"/>
      <w:color w:val="993366"/>
      <w:sz w:val="20"/>
    </w:rPr>
  </w:style>
  <w:style w:type="character" w:customStyle="1" w:styleId="EmailStyle4242">
    <w:name w:val="EmailStyle4242"/>
    <w:basedOn w:val="DefaultParagraphFont"/>
    <w:semiHidden/>
    <w:rsid w:val="00496814"/>
    <w:rPr>
      <w:rFonts w:ascii="Arial" w:hAnsi="Arial" w:cs="Arial"/>
      <w:color w:val="000080"/>
      <w:sz w:val="20"/>
    </w:rPr>
  </w:style>
  <w:style w:type="character" w:customStyle="1" w:styleId="EmailStyle4252">
    <w:name w:val="EmailStyle4252"/>
    <w:basedOn w:val="DefaultParagraphFont"/>
    <w:semiHidden/>
    <w:rsid w:val="00496814"/>
    <w:rPr>
      <w:rFonts w:ascii="Arial" w:hAnsi="Arial" w:cs="Arial"/>
      <w:color w:val="993366"/>
      <w:sz w:val="20"/>
    </w:rPr>
  </w:style>
  <w:style w:type="character" w:customStyle="1" w:styleId="EmailStyle4262">
    <w:name w:val="EmailStyle4262"/>
    <w:basedOn w:val="DefaultParagraphFont"/>
    <w:semiHidden/>
    <w:rsid w:val="00496814"/>
    <w:rPr>
      <w:rFonts w:ascii="Arial" w:hAnsi="Arial" w:cs="Arial"/>
      <w:color w:val="000080"/>
      <w:sz w:val="20"/>
    </w:rPr>
  </w:style>
  <w:style w:type="character" w:customStyle="1" w:styleId="EmailStyle4272">
    <w:name w:val="EmailStyle4272"/>
    <w:basedOn w:val="DefaultParagraphFont"/>
    <w:semiHidden/>
    <w:rsid w:val="00496814"/>
    <w:rPr>
      <w:rFonts w:ascii="Arial" w:hAnsi="Arial" w:cs="Arial"/>
      <w:color w:val="993366"/>
      <w:sz w:val="20"/>
    </w:rPr>
  </w:style>
  <w:style w:type="character" w:customStyle="1" w:styleId="EmailStyle4282">
    <w:name w:val="EmailStyle4282"/>
    <w:basedOn w:val="DefaultParagraphFont"/>
    <w:semiHidden/>
    <w:rsid w:val="00496814"/>
    <w:rPr>
      <w:rFonts w:ascii="Arial" w:hAnsi="Arial" w:cs="Arial"/>
      <w:color w:val="000080"/>
      <w:sz w:val="20"/>
    </w:rPr>
  </w:style>
  <w:style w:type="character" w:customStyle="1" w:styleId="EmailStyle4292">
    <w:name w:val="EmailStyle4292"/>
    <w:basedOn w:val="DefaultParagraphFont"/>
    <w:semiHidden/>
    <w:rsid w:val="00496814"/>
    <w:rPr>
      <w:rFonts w:ascii="Arial" w:hAnsi="Arial" w:cs="Arial"/>
      <w:color w:val="993366"/>
      <w:sz w:val="20"/>
    </w:rPr>
  </w:style>
  <w:style w:type="character" w:customStyle="1" w:styleId="EmailStyle4302">
    <w:name w:val="EmailStyle4302"/>
    <w:basedOn w:val="DefaultParagraphFont"/>
    <w:semiHidden/>
    <w:rsid w:val="00496814"/>
    <w:rPr>
      <w:rFonts w:ascii="Arial" w:hAnsi="Arial" w:cs="Arial"/>
      <w:color w:val="000080"/>
      <w:sz w:val="20"/>
    </w:rPr>
  </w:style>
  <w:style w:type="character" w:customStyle="1" w:styleId="EmailStyle4312">
    <w:name w:val="EmailStyle4312"/>
    <w:basedOn w:val="DefaultParagraphFont"/>
    <w:semiHidden/>
    <w:rsid w:val="00496814"/>
    <w:rPr>
      <w:rFonts w:ascii="Arial" w:hAnsi="Arial" w:cs="Arial"/>
      <w:color w:val="000080"/>
      <w:sz w:val="20"/>
    </w:rPr>
  </w:style>
  <w:style w:type="character" w:customStyle="1" w:styleId="EmailStyle4322">
    <w:name w:val="EmailStyle4322"/>
    <w:basedOn w:val="DefaultParagraphFont"/>
    <w:semiHidden/>
    <w:rsid w:val="00496814"/>
    <w:rPr>
      <w:rFonts w:ascii="Arial" w:hAnsi="Arial" w:cs="Arial"/>
      <w:color w:val="993366"/>
      <w:sz w:val="20"/>
    </w:rPr>
  </w:style>
  <w:style w:type="character" w:customStyle="1" w:styleId="EmailStyle4332">
    <w:name w:val="EmailStyle4332"/>
    <w:basedOn w:val="DefaultParagraphFont"/>
    <w:semiHidden/>
    <w:rsid w:val="00496814"/>
    <w:rPr>
      <w:rFonts w:ascii="Arial" w:hAnsi="Arial" w:cs="Arial"/>
      <w:color w:val="000080"/>
      <w:sz w:val="20"/>
    </w:rPr>
  </w:style>
  <w:style w:type="character" w:customStyle="1" w:styleId="EmailStyle4342">
    <w:name w:val="EmailStyle4342"/>
    <w:basedOn w:val="DefaultParagraphFont"/>
    <w:semiHidden/>
    <w:rsid w:val="00496814"/>
    <w:rPr>
      <w:rFonts w:ascii="Arial" w:hAnsi="Arial" w:cs="Arial"/>
      <w:color w:val="993366"/>
      <w:sz w:val="20"/>
    </w:rPr>
  </w:style>
  <w:style w:type="character" w:customStyle="1" w:styleId="EmailStyle4352">
    <w:name w:val="EmailStyle4352"/>
    <w:basedOn w:val="DefaultParagraphFont"/>
    <w:semiHidden/>
    <w:rsid w:val="00496814"/>
    <w:rPr>
      <w:rFonts w:ascii="Arial" w:hAnsi="Arial" w:cs="Arial"/>
      <w:color w:val="000080"/>
      <w:sz w:val="20"/>
    </w:rPr>
  </w:style>
  <w:style w:type="character" w:customStyle="1" w:styleId="EmailStyle4362">
    <w:name w:val="EmailStyle4362"/>
    <w:basedOn w:val="DefaultParagraphFont"/>
    <w:semiHidden/>
    <w:rsid w:val="00496814"/>
    <w:rPr>
      <w:rFonts w:ascii="Arial" w:hAnsi="Arial" w:cs="Arial"/>
      <w:color w:val="000080"/>
      <w:sz w:val="20"/>
    </w:rPr>
  </w:style>
  <w:style w:type="character" w:customStyle="1" w:styleId="EmailStyle4372">
    <w:name w:val="EmailStyle4372"/>
    <w:basedOn w:val="DefaultParagraphFont"/>
    <w:semiHidden/>
    <w:rsid w:val="00496814"/>
    <w:rPr>
      <w:rFonts w:ascii="Arial" w:hAnsi="Arial" w:cs="Arial"/>
      <w:color w:val="993366"/>
      <w:sz w:val="20"/>
    </w:rPr>
  </w:style>
  <w:style w:type="character" w:customStyle="1" w:styleId="EmailStyle4382">
    <w:name w:val="EmailStyle4382"/>
    <w:basedOn w:val="DefaultParagraphFont"/>
    <w:semiHidden/>
    <w:rsid w:val="00496814"/>
    <w:rPr>
      <w:rFonts w:ascii="Arial" w:hAnsi="Arial" w:cs="Arial"/>
      <w:color w:val="000080"/>
      <w:sz w:val="20"/>
    </w:rPr>
  </w:style>
  <w:style w:type="character" w:customStyle="1" w:styleId="EmailStyle4392">
    <w:name w:val="EmailStyle4392"/>
    <w:basedOn w:val="DefaultParagraphFont"/>
    <w:semiHidden/>
    <w:rsid w:val="00496814"/>
    <w:rPr>
      <w:rFonts w:ascii="Arial" w:hAnsi="Arial" w:cs="Arial"/>
      <w:color w:val="993366"/>
      <w:sz w:val="20"/>
    </w:rPr>
  </w:style>
  <w:style w:type="character" w:customStyle="1" w:styleId="EmailStyle4402">
    <w:name w:val="EmailStyle4402"/>
    <w:basedOn w:val="DefaultParagraphFont"/>
    <w:semiHidden/>
    <w:rsid w:val="00496814"/>
    <w:rPr>
      <w:rFonts w:ascii="Arial" w:hAnsi="Arial" w:cs="Arial"/>
      <w:color w:val="000080"/>
      <w:sz w:val="20"/>
    </w:rPr>
  </w:style>
  <w:style w:type="character" w:customStyle="1" w:styleId="EmailStyle4412">
    <w:name w:val="EmailStyle4412"/>
    <w:basedOn w:val="DefaultParagraphFont"/>
    <w:semiHidden/>
    <w:rsid w:val="00496814"/>
    <w:rPr>
      <w:rFonts w:ascii="Arial" w:hAnsi="Arial" w:cs="Arial"/>
      <w:color w:val="000080"/>
      <w:sz w:val="20"/>
    </w:rPr>
  </w:style>
  <w:style w:type="character" w:customStyle="1" w:styleId="EmailStyle4422">
    <w:name w:val="EmailStyle4422"/>
    <w:basedOn w:val="DefaultParagraphFont"/>
    <w:semiHidden/>
    <w:rsid w:val="00496814"/>
    <w:rPr>
      <w:rFonts w:ascii="Arial" w:hAnsi="Arial" w:cs="Arial"/>
      <w:color w:val="993366"/>
      <w:sz w:val="20"/>
    </w:rPr>
  </w:style>
  <w:style w:type="character" w:customStyle="1" w:styleId="EmailStyle4432">
    <w:name w:val="EmailStyle4432"/>
    <w:basedOn w:val="DefaultParagraphFont"/>
    <w:semiHidden/>
    <w:rsid w:val="00496814"/>
    <w:rPr>
      <w:rFonts w:ascii="Arial" w:hAnsi="Arial" w:cs="Arial"/>
      <w:color w:val="000080"/>
      <w:sz w:val="20"/>
    </w:rPr>
  </w:style>
  <w:style w:type="character" w:customStyle="1" w:styleId="EmailStyle4442">
    <w:name w:val="EmailStyle4442"/>
    <w:basedOn w:val="DefaultParagraphFont"/>
    <w:semiHidden/>
    <w:rsid w:val="00496814"/>
    <w:rPr>
      <w:rFonts w:ascii="Arial" w:hAnsi="Arial" w:cs="Arial"/>
      <w:color w:val="993366"/>
      <w:sz w:val="20"/>
    </w:rPr>
  </w:style>
  <w:style w:type="character" w:customStyle="1" w:styleId="EmailStyle4452">
    <w:name w:val="EmailStyle4452"/>
    <w:basedOn w:val="DefaultParagraphFont"/>
    <w:semiHidden/>
    <w:rsid w:val="00496814"/>
    <w:rPr>
      <w:rFonts w:ascii="Arial" w:hAnsi="Arial" w:cs="Arial"/>
      <w:color w:val="000080"/>
      <w:sz w:val="20"/>
    </w:rPr>
  </w:style>
  <w:style w:type="character" w:customStyle="1" w:styleId="EmailStyle4462">
    <w:name w:val="EmailStyle4462"/>
    <w:basedOn w:val="DefaultParagraphFont"/>
    <w:semiHidden/>
    <w:rsid w:val="00496814"/>
    <w:rPr>
      <w:rFonts w:ascii="Arial" w:hAnsi="Arial" w:cs="Arial"/>
      <w:color w:val="000080"/>
      <w:sz w:val="20"/>
    </w:rPr>
  </w:style>
  <w:style w:type="paragraph" w:customStyle="1" w:styleId="PrefaceStyle2">
    <w:name w:val="Preface Style2"/>
    <w:basedOn w:val="Normal"/>
    <w:uiPriority w:val="99"/>
    <w:qFormat/>
    <w:rsid w:val="00496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uiPriority w:val="99"/>
    <w:rsid w:val="00496814"/>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496814"/>
    <w:rPr>
      <w:rFonts w:ascii="Arial" w:hAnsi="Arial" w:cs="Arial"/>
      <w:color w:val="993366"/>
      <w:sz w:val="20"/>
    </w:rPr>
  </w:style>
  <w:style w:type="character" w:customStyle="1" w:styleId="EmailStyle111">
    <w:name w:val="EmailStyle111"/>
    <w:basedOn w:val="DefaultParagraphFont"/>
    <w:semiHidden/>
    <w:rsid w:val="00496814"/>
    <w:rPr>
      <w:rFonts w:ascii="Arial" w:hAnsi="Arial" w:cs="Arial"/>
      <w:color w:val="000080"/>
      <w:sz w:val="20"/>
    </w:rPr>
  </w:style>
  <w:style w:type="character" w:customStyle="1" w:styleId="EmailStyle150">
    <w:name w:val="EmailStyle150"/>
    <w:basedOn w:val="DefaultParagraphFont"/>
    <w:semiHidden/>
    <w:rsid w:val="00496814"/>
    <w:rPr>
      <w:rFonts w:ascii="Arial" w:hAnsi="Arial" w:cs="Arial"/>
      <w:color w:val="993366"/>
      <w:sz w:val="20"/>
    </w:rPr>
  </w:style>
  <w:style w:type="character" w:customStyle="1" w:styleId="EmailStyle151">
    <w:name w:val="EmailStyle151"/>
    <w:basedOn w:val="DefaultParagraphFont"/>
    <w:semiHidden/>
    <w:rsid w:val="00496814"/>
    <w:rPr>
      <w:rFonts w:ascii="Arial" w:hAnsi="Arial" w:cs="Arial"/>
      <w:color w:val="000080"/>
      <w:sz w:val="20"/>
    </w:rPr>
  </w:style>
  <w:style w:type="character" w:customStyle="1" w:styleId="EmailStyle156">
    <w:name w:val="EmailStyle156"/>
    <w:basedOn w:val="DefaultParagraphFont"/>
    <w:semiHidden/>
    <w:rsid w:val="00496814"/>
    <w:rPr>
      <w:rFonts w:ascii="Arial" w:hAnsi="Arial" w:cs="Arial"/>
      <w:color w:val="993366"/>
      <w:sz w:val="20"/>
    </w:rPr>
  </w:style>
  <w:style w:type="character" w:customStyle="1" w:styleId="EmailStyle157">
    <w:name w:val="EmailStyle157"/>
    <w:basedOn w:val="DefaultParagraphFont"/>
    <w:semiHidden/>
    <w:rsid w:val="00496814"/>
    <w:rPr>
      <w:rFonts w:ascii="Arial" w:hAnsi="Arial" w:cs="Arial"/>
      <w:color w:val="000080"/>
      <w:sz w:val="20"/>
    </w:rPr>
  </w:style>
  <w:style w:type="character" w:customStyle="1" w:styleId="EmailStyle248">
    <w:name w:val="EmailStyle248"/>
    <w:basedOn w:val="DefaultParagraphFont"/>
    <w:semiHidden/>
    <w:rsid w:val="00496814"/>
    <w:rPr>
      <w:rFonts w:ascii="Arial" w:hAnsi="Arial" w:cs="Arial"/>
      <w:color w:val="993366"/>
      <w:sz w:val="20"/>
    </w:rPr>
  </w:style>
  <w:style w:type="character" w:customStyle="1" w:styleId="EmailStyle249">
    <w:name w:val="EmailStyle249"/>
    <w:basedOn w:val="DefaultParagraphFont"/>
    <w:semiHidden/>
    <w:rsid w:val="00496814"/>
    <w:rPr>
      <w:rFonts w:ascii="Arial" w:hAnsi="Arial" w:cs="Arial"/>
      <w:color w:val="000080"/>
      <w:sz w:val="20"/>
    </w:rPr>
  </w:style>
  <w:style w:type="character" w:customStyle="1" w:styleId="EmailStyle250">
    <w:name w:val="EmailStyle250"/>
    <w:basedOn w:val="DefaultParagraphFont"/>
    <w:semiHidden/>
    <w:rsid w:val="00496814"/>
    <w:rPr>
      <w:rFonts w:ascii="Arial" w:hAnsi="Arial" w:cs="Arial"/>
      <w:color w:val="993366"/>
      <w:sz w:val="20"/>
    </w:rPr>
  </w:style>
  <w:style w:type="character" w:customStyle="1" w:styleId="EmailStyle251">
    <w:name w:val="EmailStyle251"/>
    <w:basedOn w:val="DefaultParagraphFont"/>
    <w:semiHidden/>
    <w:rsid w:val="00496814"/>
    <w:rPr>
      <w:rFonts w:ascii="Arial" w:hAnsi="Arial" w:cs="Arial"/>
      <w:color w:val="000080"/>
      <w:sz w:val="20"/>
    </w:rPr>
  </w:style>
  <w:style w:type="character" w:customStyle="1" w:styleId="EmailStyle252">
    <w:name w:val="EmailStyle252"/>
    <w:basedOn w:val="DefaultParagraphFont"/>
    <w:semiHidden/>
    <w:rsid w:val="00496814"/>
    <w:rPr>
      <w:rFonts w:ascii="Arial" w:hAnsi="Arial" w:cs="Arial"/>
      <w:color w:val="993366"/>
      <w:sz w:val="20"/>
    </w:rPr>
  </w:style>
  <w:style w:type="character" w:customStyle="1" w:styleId="EmailStyle253">
    <w:name w:val="EmailStyle253"/>
    <w:basedOn w:val="DefaultParagraphFont"/>
    <w:semiHidden/>
    <w:rsid w:val="00496814"/>
    <w:rPr>
      <w:rFonts w:ascii="Arial" w:hAnsi="Arial" w:cs="Arial"/>
      <w:color w:val="000080"/>
      <w:sz w:val="20"/>
    </w:rPr>
  </w:style>
  <w:style w:type="character" w:customStyle="1" w:styleId="EmailStyle258">
    <w:name w:val="EmailStyle258"/>
    <w:basedOn w:val="DefaultParagraphFont"/>
    <w:semiHidden/>
    <w:rsid w:val="00496814"/>
    <w:rPr>
      <w:rFonts w:ascii="Arial" w:hAnsi="Arial" w:cs="Arial"/>
      <w:color w:val="993366"/>
      <w:sz w:val="20"/>
    </w:rPr>
  </w:style>
  <w:style w:type="character" w:customStyle="1" w:styleId="EmailStyle259">
    <w:name w:val="EmailStyle259"/>
    <w:basedOn w:val="DefaultParagraphFont"/>
    <w:semiHidden/>
    <w:rsid w:val="00496814"/>
    <w:rPr>
      <w:rFonts w:ascii="Arial" w:hAnsi="Arial" w:cs="Arial"/>
      <w:color w:val="000080"/>
      <w:sz w:val="20"/>
    </w:rPr>
  </w:style>
  <w:style w:type="character" w:customStyle="1" w:styleId="EmailStyle260">
    <w:name w:val="EmailStyle260"/>
    <w:basedOn w:val="DefaultParagraphFont"/>
    <w:semiHidden/>
    <w:rsid w:val="00496814"/>
    <w:rPr>
      <w:rFonts w:ascii="Arial" w:hAnsi="Arial" w:cs="Arial"/>
      <w:color w:val="993366"/>
      <w:sz w:val="20"/>
    </w:rPr>
  </w:style>
  <w:style w:type="character" w:customStyle="1" w:styleId="EmailStyle261">
    <w:name w:val="EmailStyle261"/>
    <w:basedOn w:val="DefaultParagraphFont"/>
    <w:semiHidden/>
    <w:rsid w:val="00496814"/>
    <w:rPr>
      <w:rFonts w:ascii="Arial" w:hAnsi="Arial" w:cs="Arial"/>
      <w:color w:val="000080"/>
      <w:sz w:val="20"/>
    </w:rPr>
  </w:style>
  <w:style w:type="character" w:customStyle="1" w:styleId="EmailStyle262">
    <w:name w:val="EmailStyle262"/>
    <w:basedOn w:val="DefaultParagraphFont"/>
    <w:semiHidden/>
    <w:rsid w:val="00496814"/>
    <w:rPr>
      <w:rFonts w:ascii="Arial" w:hAnsi="Arial" w:cs="Arial"/>
      <w:color w:val="993366"/>
      <w:sz w:val="20"/>
    </w:rPr>
  </w:style>
  <w:style w:type="character" w:customStyle="1" w:styleId="EmailStyle263">
    <w:name w:val="EmailStyle263"/>
    <w:basedOn w:val="DefaultParagraphFont"/>
    <w:semiHidden/>
    <w:rsid w:val="00496814"/>
    <w:rPr>
      <w:rFonts w:ascii="Arial" w:hAnsi="Arial" w:cs="Arial"/>
      <w:color w:val="000080"/>
      <w:sz w:val="20"/>
    </w:rPr>
  </w:style>
  <w:style w:type="character" w:customStyle="1" w:styleId="EmailStyle265">
    <w:name w:val="EmailStyle265"/>
    <w:basedOn w:val="DefaultParagraphFont"/>
    <w:semiHidden/>
    <w:rsid w:val="00496814"/>
    <w:rPr>
      <w:rFonts w:ascii="Arial" w:hAnsi="Arial" w:cs="Arial"/>
      <w:color w:val="993366"/>
      <w:sz w:val="20"/>
    </w:rPr>
  </w:style>
  <w:style w:type="character" w:customStyle="1" w:styleId="EmailStyle266">
    <w:name w:val="EmailStyle266"/>
    <w:basedOn w:val="DefaultParagraphFont"/>
    <w:semiHidden/>
    <w:rsid w:val="00496814"/>
    <w:rPr>
      <w:rFonts w:ascii="Arial" w:hAnsi="Arial" w:cs="Arial"/>
      <w:color w:val="000080"/>
      <w:sz w:val="20"/>
    </w:rPr>
  </w:style>
  <w:style w:type="character" w:customStyle="1" w:styleId="EmailStyle275">
    <w:name w:val="EmailStyle275"/>
    <w:basedOn w:val="DefaultParagraphFont"/>
    <w:semiHidden/>
    <w:rsid w:val="00496814"/>
    <w:rPr>
      <w:rFonts w:ascii="Arial" w:hAnsi="Arial" w:cs="Arial"/>
      <w:color w:val="993366"/>
      <w:sz w:val="20"/>
    </w:rPr>
  </w:style>
  <w:style w:type="character" w:customStyle="1" w:styleId="EmailStyle276">
    <w:name w:val="EmailStyle276"/>
    <w:basedOn w:val="DefaultParagraphFont"/>
    <w:semiHidden/>
    <w:rsid w:val="00496814"/>
    <w:rPr>
      <w:rFonts w:ascii="Arial" w:hAnsi="Arial" w:cs="Arial"/>
      <w:color w:val="000080"/>
      <w:sz w:val="20"/>
    </w:rPr>
  </w:style>
  <w:style w:type="character" w:customStyle="1" w:styleId="EmailStyle277">
    <w:name w:val="EmailStyle277"/>
    <w:basedOn w:val="DefaultParagraphFont"/>
    <w:semiHidden/>
    <w:rsid w:val="00496814"/>
    <w:rPr>
      <w:rFonts w:ascii="Arial" w:hAnsi="Arial" w:cs="Arial"/>
      <w:color w:val="993366"/>
      <w:sz w:val="20"/>
    </w:rPr>
  </w:style>
  <w:style w:type="character" w:customStyle="1" w:styleId="EmailStyle278">
    <w:name w:val="EmailStyle278"/>
    <w:basedOn w:val="DefaultParagraphFont"/>
    <w:semiHidden/>
    <w:rsid w:val="00496814"/>
    <w:rPr>
      <w:rFonts w:ascii="Arial" w:hAnsi="Arial" w:cs="Arial"/>
      <w:color w:val="000080"/>
      <w:sz w:val="20"/>
    </w:rPr>
  </w:style>
  <w:style w:type="character" w:customStyle="1" w:styleId="EmailStyle279">
    <w:name w:val="EmailStyle279"/>
    <w:basedOn w:val="DefaultParagraphFont"/>
    <w:semiHidden/>
    <w:rsid w:val="00496814"/>
    <w:rPr>
      <w:rFonts w:ascii="Arial" w:hAnsi="Arial" w:cs="Arial"/>
      <w:color w:val="993366"/>
      <w:sz w:val="20"/>
    </w:rPr>
  </w:style>
  <w:style w:type="character" w:customStyle="1" w:styleId="EmailStyle280">
    <w:name w:val="EmailStyle280"/>
    <w:basedOn w:val="DefaultParagraphFont"/>
    <w:semiHidden/>
    <w:rsid w:val="00496814"/>
    <w:rPr>
      <w:rFonts w:ascii="Arial" w:hAnsi="Arial" w:cs="Arial"/>
      <w:color w:val="000080"/>
      <w:sz w:val="20"/>
    </w:rPr>
  </w:style>
  <w:style w:type="character" w:customStyle="1" w:styleId="EmailStyle281">
    <w:name w:val="EmailStyle281"/>
    <w:basedOn w:val="DefaultParagraphFont"/>
    <w:semiHidden/>
    <w:rsid w:val="00496814"/>
    <w:rPr>
      <w:rFonts w:ascii="Arial" w:hAnsi="Arial" w:cs="Arial"/>
      <w:color w:val="993366"/>
      <w:sz w:val="20"/>
    </w:rPr>
  </w:style>
  <w:style w:type="character" w:customStyle="1" w:styleId="EmailStyle282">
    <w:name w:val="EmailStyle282"/>
    <w:basedOn w:val="DefaultParagraphFont"/>
    <w:semiHidden/>
    <w:rsid w:val="00496814"/>
    <w:rPr>
      <w:rFonts w:ascii="Arial" w:hAnsi="Arial" w:cs="Arial"/>
      <w:color w:val="000080"/>
      <w:sz w:val="20"/>
    </w:rPr>
  </w:style>
  <w:style w:type="character" w:customStyle="1" w:styleId="EmailStyle283">
    <w:name w:val="EmailStyle283"/>
    <w:basedOn w:val="DefaultParagraphFont"/>
    <w:semiHidden/>
    <w:rsid w:val="00496814"/>
    <w:rPr>
      <w:rFonts w:ascii="Arial" w:hAnsi="Arial" w:cs="Arial"/>
      <w:color w:val="993366"/>
      <w:sz w:val="20"/>
    </w:rPr>
  </w:style>
  <w:style w:type="character" w:customStyle="1" w:styleId="EmailStyle284">
    <w:name w:val="EmailStyle284"/>
    <w:basedOn w:val="DefaultParagraphFont"/>
    <w:semiHidden/>
    <w:rsid w:val="00496814"/>
    <w:rPr>
      <w:rFonts w:ascii="Arial" w:hAnsi="Arial" w:cs="Arial"/>
      <w:color w:val="000080"/>
      <w:sz w:val="20"/>
    </w:rPr>
  </w:style>
  <w:style w:type="character" w:customStyle="1" w:styleId="EmailStyle285">
    <w:name w:val="EmailStyle285"/>
    <w:basedOn w:val="DefaultParagraphFont"/>
    <w:semiHidden/>
    <w:rsid w:val="00496814"/>
    <w:rPr>
      <w:rFonts w:ascii="Arial" w:hAnsi="Arial" w:cs="Arial"/>
      <w:color w:val="993366"/>
      <w:sz w:val="20"/>
    </w:rPr>
  </w:style>
  <w:style w:type="character" w:customStyle="1" w:styleId="EmailStyle286">
    <w:name w:val="EmailStyle286"/>
    <w:basedOn w:val="DefaultParagraphFont"/>
    <w:semiHidden/>
    <w:rsid w:val="00496814"/>
    <w:rPr>
      <w:rFonts w:ascii="Arial" w:hAnsi="Arial" w:cs="Arial"/>
      <w:color w:val="000080"/>
      <w:sz w:val="20"/>
    </w:rPr>
  </w:style>
  <w:style w:type="character" w:customStyle="1" w:styleId="EmailStyle287">
    <w:name w:val="EmailStyle287"/>
    <w:basedOn w:val="DefaultParagraphFont"/>
    <w:semiHidden/>
    <w:rsid w:val="00496814"/>
    <w:rPr>
      <w:rFonts w:ascii="Arial" w:hAnsi="Arial" w:cs="Arial"/>
      <w:color w:val="993366"/>
      <w:sz w:val="20"/>
    </w:rPr>
  </w:style>
  <w:style w:type="character" w:customStyle="1" w:styleId="EmailStyle288">
    <w:name w:val="EmailStyle288"/>
    <w:basedOn w:val="DefaultParagraphFont"/>
    <w:semiHidden/>
    <w:rsid w:val="00496814"/>
    <w:rPr>
      <w:rFonts w:ascii="Arial" w:hAnsi="Arial" w:cs="Arial"/>
      <w:color w:val="000080"/>
      <w:sz w:val="20"/>
    </w:rPr>
  </w:style>
  <w:style w:type="character" w:customStyle="1" w:styleId="EmailStyle289">
    <w:name w:val="EmailStyle289"/>
    <w:basedOn w:val="DefaultParagraphFont"/>
    <w:semiHidden/>
    <w:rsid w:val="00496814"/>
    <w:rPr>
      <w:rFonts w:ascii="Arial" w:hAnsi="Arial" w:cs="Arial"/>
      <w:color w:val="993366"/>
      <w:sz w:val="20"/>
    </w:rPr>
  </w:style>
  <w:style w:type="character" w:customStyle="1" w:styleId="EmailStyle290">
    <w:name w:val="EmailStyle290"/>
    <w:basedOn w:val="DefaultParagraphFont"/>
    <w:semiHidden/>
    <w:rsid w:val="00496814"/>
    <w:rPr>
      <w:rFonts w:ascii="Arial" w:hAnsi="Arial" w:cs="Arial"/>
      <w:color w:val="000080"/>
      <w:sz w:val="20"/>
    </w:rPr>
  </w:style>
  <w:style w:type="character" w:customStyle="1" w:styleId="EmailStyle291">
    <w:name w:val="EmailStyle291"/>
    <w:basedOn w:val="DefaultParagraphFont"/>
    <w:semiHidden/>
    <w:rsid w:val="00496814"/>
    <w:rPr>
      <w:rFonts w:ascii="Arial" w:hAnsi="Arial" w:cs="Arial"/>
      <w:color w:val="993366"/>
      <w:sz w:val="20"/>
    </w:rPr>
  </w:style>
  <w:style w:type="character" w:customStyle="1" w:styleId="EmailStyle292">
    <w:name w:val="EmailStyle292"/>
    <w:basedOn w:val="DefaultParagraphFont"/>
    <w:semiHidden/>
    <w:rsid w:val="00496814"/>
    <w:rPr>
      <w:rFonts w:ascii="Arial" w:hAnsi="Arial" w:cs="Arial"/>
      <w:color w:val="000080"/>
      <w:sz w:val="20"/>
    </w:rPr>
  </w:style>
  <w:style w:type="character" w:customStyle="1" w:styleId="EmailStyle293">
    <w:name w:val="EmailStyle293"/>
    <w:basedOn w:val="DefaultParagraphFont"/>
    <w:semiHidden/>
    <w:rsid w:val="00496814"/>
    <w:rPr>
      <w:rFonts w:ascii="Arial" w:hAnsi="Arial" w:cs="Arial"/>
      <w:color w:val="993366"/>
      <w:sz w:val="20"/>
    </w:rPr>
  </w:style>
  <w:style w:type="character" w:customStyle="1" w:styleId="EmailStyle294">
    <w:name w:val="EmailStyle294"/>
    <w:basedOn w:val="DefaultParagraphFont"/>
    <w:semiHidden/>
    <w:rsid w:val="00496814"/>
    <w:rPr>
      <w:rFonts w:ascii="Arial" w:hAnsi="Arial" w:cs="Arial"/>
      <w:color w:val="000080"/>
      <w:sz w:val="20"/>
    </w:rPr>
  </w:style>
  <w:style w:type="character" w:customStyle="1" w:styleId="EmailStyle300">
    <w:name w:val="EmailStyle300"/>
    <w:basedOn w:val="DefaultParagraphFont"/>
    <w:semiHidden/>
    <w:rsid w:val="00496814"/>
    <w:rPr>
      <w:rFonts w:ascii="Arial" w:hAnsi="Arial" w:cs="Arial"/>
      <w:color w:val="993366"/>
      <w:sz w:val="20"/>
    </w:rPr>
  </w:style>
  <w:style w:type="character" w:customStyle="1" w:styleId="EmailStyle301">
    <w:name w:val="EmailStyle301"/>
    <w:basedOn w:val="DefaultParagraphFont"/>
    <w:semiHidden/>
    <w:rsid w:val="00496814"/>
    <w:rPr>
      <w:rFonts w:ascii="Arial" w:hAnsi="Arial" w:cs="Arial"/>
      <w:color w:val="000080"/>
      <w:sz w:val="20"/>
    </w:rPr>
  </w:style>
  <w:style w:type="character" w:customStyle="1" w:styleId="EmailStyle302">
    <w:name w:val="EmailStyle302"/>
    <w:basedOn w:val="DefaultParagraphFont"/>
    <w:semiHidden/>
    <w:rsid w:val="00496814"/>
    <w:rPr>
      <w:rFonts w:ascii="Arial" w:hAnsi="Arial" w:cs="Arial"/>
      <w:color w:val="993366"/>
      <w:sz w:val="20"/>
    </w:rPr>
  </w:style>
  <w:style w:type="character" w:customStyle="1" w:styleId="EmailStyle303">
    <w:name w:val="EmailStyle303"/>
    <w:basedOn w:val="DefaultParagraphFont"/>
    <w:semiHidden/>
    <w:rsid w:val="00496814"/>
    <w:rPr>
      <w:rFonts w:ascii="Arial" w:hAnsi="Arial" w:cs="Arial"/>
      <w:color w:val="000080"/>
      <w:sz w:val="20"/>
    </w:rPr>
  </w:style>
  <w:style w:type="character" w:customStyle="1" w:styleId="EmailStyle304">
    <w:name w:val="EmailStyle304"/>
    <w:basedOn w:val="DefaultParagraphFont"/>
    <w:semiHidden/>
    <w:rsid w:val="00496814"/>
    <w:rPr>
      <w:rFonts w:ascii="Arial" w:hAnsi="Arial" w:cs="Arial"/>
      <w:color w:val="993366"/>
      <w:sz w:val="20"/>
    </w:rPr>
  </w:style>
  <w:style w:type="character" w:customStyle="1" w:styleId="EmailStyle305">
    <w:name w:val="EmailStyle305"/>
    <w:basedOn w:val="DefaultParagraphFont"/>
    <w:semiHidden/>
    <w:rsid w:val="00496814"/>
    <w:rPr>
      <w:rFonts w:ascii="Arial" w:hAnsi="Arial" w:cs="Arial"/>
      <w:color w:val="000080"/>
      <w:sz w:val="20"/>
    </w:rPr>
  </w:style>
  <w:style w:type="character" w:customStyle="1" w:styleId="EmailStyle306">
    <w:name w:val="EmailStyle306"/>
    <w:basedOn w:val="DefaultParagraphFont"/>
    <w:semiHidden/>
    <w:rsid w:val="00496814"/>
    <w:rPr>
      <w:rFonts w:ascii="Arial" w:hAnsi="Arial" w:cs="Arial"/>
      <w:color w:val="993366"/>
      <w:sz w:val="20"/>
    </w:rPr>
  </w:style>
  <w:style w:type="character" w:customStyle="1" w:styleId="EmailStyle307">
    <w:name w:val="EmailStyle307"/>
    <w:basedOn w:val="DefaultParagraphFont"/>
    <w:semiHidden/>
    <w:rsid w:val="00496814"/>
    <w:rPr>
      <w:rFonts w:ascii="Arial" w:hAnsi="Arial" w:cs="Arial"/>
      <w:color w:val="000080"/>
      <w:sz w:val="20"/>
    </w:rPr>
  </w:style>
  <w:style w:type="character" w:customStyle="1" w:styleId="EmailStyle308">
    <w:name w:val="EmailStyle308"/>
    <w:basedOn w:val="DefaultParagraphFont"/>
    <w:semiHidden/>
    <w:rsid w:val="00496814"/>
    <w:rPr>
      <w:rFonts w:ascii="Arial" w:hAnsi="Arial" w:cs="Arial"/>
      <w:color w:val="993366"/>
      <w:sz w:val="20"/>
    </w:rPr>
  </w:style>
  <w:style w:type="character" w:customStyle="1" w:styleId="EmailStyle309">
    <w:name w:val="EmailStyle309"/>
    <w:basedOn w:val="DefaultParagraphFont"/>
    <w:semiHidden/>
    <w:rsid w:val="00496814"/>
    <w:rPr>
      <w:rFonts w:ascii="Arial" w:hAnsi="Arial" w:cs="Arial"/>
      <w:color w:val="000080"/>
      <w:sz w:val="20"/>
    </w:rPr>
  </w:style>
  <w:style w:type="character" w:customStyle="1" w:styleId="EmailStyle310">
    <w:name w:val="EmailStyle310"/>
    <w:basedOn w:val="DefaultParagraphFont"/>
    <w:semiHidden/>
    <w:rsid w:val="00496814"/>
    <w:rPr>
      <w:rFonts w:ascii="Arial" w:hAnsi="Arial" w:cs="Arial"/>
      <w:color w:val="993366"/>
      <w:sz w:val="20"/>
    </w:rPr>
  </w:style>
  <w:style w:type="character" w:customStyle="1" w:styleId="EmailStyle311">
    <w:name w:val="EmailStyle311"/>
    <w:basedOn w:val="DefaultParagraphFont"/>
    <w:semiHidden/>
    <w:rsid w:val="00496814"/>
    <w:rPr>
      <w:rFonts w:ascii="Arial" w:hAnsi="Arial" w:cs="Arial"/>
      <w:color w:val="000080"/>
      <w:sz w:val="20"/>
    </w:rPr>
  </w:style>
  <w:style w:type="character" w:customStyle="1" w:styleId="EmailStyle312">
    <w:name w:val="EmailStyle312"/>
    <w:basedOn w:val="DefaultParagraphFont"/>
    <w:semiHidden/>
    <w:rsid w:val="00496814"/>
    <w:rPr>
      <w:rFonts w:ascii="Arial" w:hAnsi="Arial" w:cs="Arial"/>
      <w:color w:val="993366"/>
      <w:sz w:val="20"/>
    </w:rPr>
  </w:style>
  <w:style w:type="character" w:customStyle="1" w:styleId="EmailStyle313">
    <w:name w:val="EmailStyle313"/>
    <w:basedOn w:val="DefaultParagraphFont"/>
    <w:semiHidden/>
    <w:rsid w:val="00496814"/>
    <w:rPr>
      <w:rFonts w:ascii="Arial" w:hAnsi="Arial" w:cs="Arial"/>
      <w:color w:val="000080"/>
      <w:sz w:val="20"/>
    </w:rPr>
  </w:style>
  <w:style w:type="character" w:customStyle="1" w:styleId="EmailStyle314">
    <w:name w:val="EmailStyle314"/>
    <w:basedOn w:val="DefaultParagraphFont"/>
    <w:semiHidden/>
    <w:rsid w:val="00496814"/>
    <w:rPr>
      <w:rFonts w:ascii="Arial" w:hAnsi="Arial" w:cs="Arial"/>
      <w:color w:val="993366"/>
      <w:sz w:val="20"/>
    </w:rPr>
  </w:style>
  <w:style w:type="character" w:customStyle="1" w:styleId="EmailStyle315">
    <w:name w:val="EmailStyle315"/>
    <w:basedOn w:val="DefaultParagraphFont"/>
    <w:semiHidden/>
    <w:rsid w:val="00496814"/>
    <w:rPr>
      <w:rFonts w:ascii="Arial" w:hAnsi="Arial" w:cs="Arial"/>
      <w:color w:val="000080"/>
      <w:sz w:val="20"/>
    </w:rPr>
  </w:style>
  <w:style w:type="character" w:customStyle="1" w:styleId="EmailStyle316">
    <w:name w:val="EmailStyle316"/>
    <w:basedOn w:val="DefaultParagraphFont"/>
    <w:semiHidden/>
    <w:rsid w:val="00496814"/>
    <w:rPr>
      <w:rFonts w:ascii="Arial" w:hAnsi="Arial" w:cs="Arial"/>
      <w:color w:val="993366"/>
      <w:sz w:val="20"/>
    </w:rPr>
  </w:style>
  <w:style w:type="character" w:customStyle="1" w:styleId="EmailStyle317">
    <w:name w:val="EmailStyle317"/>
    <w:basedOn w:val="DefaultParagraphFont"/>
    <w:semiHidden/>
    <w:rsid w:val="00496814"/>
    <w:rPr>
      <w:rFonts w:ascii="Arial" w:hAnsi="Arial" w:cs="Arial"/>
      <w:color w:val="000080"/>
      <w:sz w:val="20"/>
    </w:rPr>
  </w:style>
  <w:style w:type="character" w:customStyle="1" w:styleId="EmailStyle318">
    <w:name w:val="EmailStyle318"/>
    <w:basedOn w:val="DefaultParagraphFont"/>
    <w:semiHidden/>
    <w:rsid w:val="00496814"/>
    <w:rPr>
      <w:rFonts w:ascii="Arial" w:hAnsi="Arial" w:cs="Arial"/>
      <w:color w:val="993366"/>
      <w:sz w:val="20"/>
    </w:rPr>
  </w:style>
  <w:style w:type="character" w:customStyle="1" w:styleId="EmailStyle319">
    <w:name w:val="EmailStyle319"/>
    <w:basedOn w:val="DefaultParagraphFont"/>
    <w:semiHidden/>
    <w:rsid w:val="00496814"/>
    <w:rPr>
      <w:rFonts w:ascii="Arial" w:hAnsi="Arial" w:cs="Arial"/>
      <w:color w:val="000080"/>
      <w:sz w:val="20"/>
    </w:rPr>
  </w:style>
  <w:style w:type="character" w:customStyle="1" w:styleId="EmailStyle322">
    <w:name w:val="EmailStyle322"/>
    <w:basedOn w:val="DefaultParagraphFont"/>
    <w:semiHidden/>
    <w:rsid w:val="00496814"/>
    <w:rPr>
      <w:rFonts w:ascii="Arial" w:hAnsi="Arial" w:cs="Arial"/>
      <w:color w:val="993366"/>
      <w:sz w:val="20"/>
    </w:rPr>
  </w:style>
  <w:style w:type="character" w:customStyle="1" w:styleId="EmailStyle323">
    <w:name w:val="EmailStyle323"/>
    <w:basedOn w:val="DefaultParagraphFont"/>
    <w:semiHidden/>
    <w:rsid w:val="00496814"/>
    <w:rPr>
      <w:rFonts w:ascii="Arial" w:hAnsi="Arial" w:cs="Arial"/>
      <w:color w:val="000080"/>
      <w:sz w:val="20"/>
    </w:rPr>
  </w:style>
  <w:style w:type="character" w:customStyle="1" w:styleId="EmailStyle324">
    <w:name w:val="EmailStyle324"/>
    <w:basedOn w:val="DefaultParagraphFont"/>
    <w:semiHidden/>
    <w:rsid w:val="00496814"/>
    <w:rPr>
      <w:rFonts w:ascii="Arial" w:hAnsi="Arial" w:cs="Arial"/>
      <w:color w:val="993366"/>
      <w:sz w:val="20"/>
    </w:rPr>
  </w:style>
  <w:style w:type="character" w:customStyle="1" w:styleId="EmailStyle325">
    <w:name w:val="EmailStyle325"/>
    <w:basedOn w:val="DefaultParagraphFont"/>
    <w:semiHidden/>
    <w:rsid w:val="00496814"/>
    <w:rPr>
      <w:rFonts w:ascii="Arial" w:hAnsi="Arial" w:cs="Arial"/>
      <w:color w:val="000080"/>
      <w:sz w:val="20"/>
    </w:rPr>
  </w:style>
  <w:style w:type="character" w:customStyle="1" w:styleId="EmailStyle326">
    <w:name w:val="EmailStyle326"/>
    <w:basedOn w:val="DefaultParagraphFont"/>
    <w:semiHidden/>
    <w:rsid w:val="00496814"/>
    <w:rPr>
      <w:rFonts w:ascii="Arial" w:hAnsi="Arial" w:cs="Arial"/>
      <w:color w:val="000080"/>
      <w:sz w:val="20"/>
    </w:rPr>
  </w:style>
  <w:style w:type="character" w:customStyle="1" w:styleId="EmailStyle327">
    <w:name w:val="EmailStyle327"/>
    <w:basedOn w:val="DefaultParagraphFont"/>
    <w:semiHidden/>
    <w:rsid w:val="00496814"/>
    <w:rPr>
      <w:rFonts w:ascii="Arial" w:hAnsi="Arial" w:cs="Arial"/>
      <w:color w:val="993366"/>
      <w:sz w:val="20"/>
    </w:rPr>
  </w:style>
  <w:style w:type="character" w:customStyle="1" w:styleId="EmailStyle328">
    <w:name w:val="EmailStyle328"/>
    <w:basedOn w:val="DefaultParagraphFont"/>
    <w:semiHidden/>
    <w:rsid w:val="00496814"/>
    <w:rPr>
      <w:rFonts w:ascii="Arial" w:hAnsi="Arial" w:cs="Arial"/>
      <w:color w:val="000080"/>
      <w:sz w:val="20"/>
    </w:rPr>
  </w:style>
  <w:style w:type="character" w:customStyle="1" w:styleId="EmailStyle329">
    <w:name w:val="EmailStyle329"/>
    <w:basedOn w:val="DefaultParagraphFont"/>
    <w:semiHidden/>
    <w:rsid w:val="00496814"/>
    <w:rPr>
      <w:rFonts w:ascii="Arial" w:hAnsi="Arial" w:cs="Arial"/>
      <w:color w:val="993366"/>
      <w:sz w:val="20"/>
    </w:rPr>
  </w:style>
  <w:style w:type="character" w:customStyle="1" w:styleId="EmailStyle330">
    <w:name w:val="EmailStyle330"/>
    <w:basedOn w:val="DefaultParagraphFont"/>
    <w:semiHidden/>
    <w:rsid w:val="00496814"/>
    <w:rPr>
      <w:rFonts w:ascii="Arial" w:hAnsi="Arial" w:cs="Arial"/>
      <w:color w:val="000080"/>
      <w:sz w:val="20"/>
    </w:rPr>
  </w:style>
  <w:style w:type="character" w:customStyle="1" w:styleId="EmailStyle331">
    <w:name w:val="EmailStyle331"/>
    <w:basedOn w:val="DefaultParagraphFont"/>
    <w:semiHidden/>
    <w:rsid w:val="00496814"/>
    <w:rPr>
      <w:rFonts w:ascii="Arial" w:hAnsi="Arial" w:cs="Arial"/>
      <w:color w:val="000080"/>
      <w:sz w:val="20"/>
    </w:rPr>
  </w:style>
  <w:style w:type="character" w:customStyle="1" w:styleId="EmailStyle335">
    <w:name w:val="EmailStyle335"/>
    <w:basedOn w:val="DefaultParagraphFont"/>
    <w:semiHidden/>
    <w:rsid w:val="00496814"/>
    <w:rPr>
      <w:rFonts w:ascii="Arial" w:hAnsi="Arial" w:cs="Arial"/>
      <w:color w:val="993366"/>
      <w:sz w:val="20"/>
    </w:rPr>
  </w:style>
  <w:style w:type="character" w:customStyle="1" w:styleId="EmailStyle336">
    <w:name w:val="EmailStyle336"/>
    <w:basedOn w:val="DefaultParagraphFont"/>
    <w:semiHidden/>
    <w:rsid w:val="00496814"/>
    <w:rPr>
      <w:rFonts w:ascii="Arial" w:hAnsi="Arial" w:cs="Arial"/>
      <w:color w:val="000080"/>
      <w:sz w:val="20"/>
    </w:rPr>
  </w:style>
  <w:style w:type="character" w:customStyle="1" w:styleId="EmailStyle337">
    <w:name w:val="EmailStyle337"/>
    <w:basedOn w:val="DefaultParagraphFont"/>
    <w:semiHidden/>
    <w:rsid w:val="00496814"/>
    <w:rPr>
      <w:rFonts w:ascii="Arial" w:hAnsi="Arial" w:cs="Arial"/>
      <w:color w:val="993366"/>
      <w:sz w:val="20"/>
    </w:rPr>
  </w:style>
  <w:style w:type="character" w:customStyle="1" w:styleId="EmailStyle338">
    <w:name w:val="EmailStyle338"/>
    <w:basedOn w:val="DefaultParagraphFont"/>
    <w:semiHidden/>
    <w:rsid w:val="00496814"/>
    <w:rPr>
      <w:rFonts w:ascii="Arial" w:hAnsi="Arial" w:cs="Arial"/>
      <w:color w:val="000080"/>
      <w:sz w:val="20"/>
    </w:rPr>
  </w:style>
  <w:style w:type="character" w:customStyle="1" w:styleId="EmailStyle339">
    <w:name w:val="EmailStyle339"/>
    <w:basedOn w:val="DefaultParagraphFont"/>
    <w:semiHidden/>
    <w:rsid w:val="00496814"/>
    <w:rPr>
      <w:rFonts w:ascii="Arial" w:hAnsi="Arial" w:cs="Arial"/>
      <w:color w:val="000080"/>
      <w:sz w:val="20"/>
    </w:rPr>
  </w:style>
  <w:style w:type="character" w:customStyle="1" w:styleId="EmailStyle340">
    <w:name w:val="EmailStyle340"/>
    <w:basedOn w:val="DefaultParagraphFont"/>
    <w:semiHidden/>
    <w:rsid w:val="00496814"/>
    <w:rPr>
      <w:rFonts w:ascii="Arial" w:hAnsi="Arial" w:cs="Arial"/>
      <w:color w:val="993366"/>
      <w:sz w:val="20"/>
    </w:rPr>
  </w:style>
  <w:style w:type="character" w:customStyle="1" w:styleId="EmailStyle341">
    <w:name w:val="EmailStyle341"/>
    <w:basedOn w:val="DefaultParagraphFont"/>
    <w:semiHidden/>
    <w:rsid w:val="00496814"/>
    <w:rPr>
      <w:rFonts w:ascii="Arial" w:hAnsi="Arial" w:cs="Arial"/>
      <w:color w:val="000080"/>
      <w:sz w:val="20"/>
    </w:rPr>
  </w:style>
  <w:style w:type="character" w:customStyle="1" w:styleId="EmailStyle342">
    <w:name w:val="EmailStyle342"/>
    <w:basedOn w:val="DefaultParagraphFont"/>
    <w:semiHidden/>
    <w:rsid w:val="00496814"/>
    <w:rPr>
      <w:rFonts w:ascii="Arial" w:hAnsi="Arial" w:cs="Arial"/>
      <w:color w:val="993366"/>
      <w:sz w:val="20"/>
    </w:rPr>
  </w:style>
  <w:style w:type="character" w:customStyle="1" w:styleId="EmailStyle343">
    <w:name w:val="EmailStyle343"/>
    <w:basedOn w:val="DefaultParagraphFont"/>
    <w:semiHidden/>
    <w:rsid w:val="00496814"/>
    <w:rPr>
      <w:rFonts w:ascii="Arial" w:hAnsi="Arial" w:cs="Arial"/>
      <w:color w:val="000080"/>
      <w:sz w:val="20"/>
    </w:rPr>
  </w:style>
  <w:style w:type="character" w:customStyle="1" w:styleId="EmailStyle344">
    <w:name w:val="EmailStyle344"/>
    <w:basedOn w:val="DefaultParagraphFont"/>
    <w:semiHidden/>
    <w:rsid w:val="00496814"/>
    <w:rPr>
      <w:rFonts w:ascii="Arial" w:hAnsi="Arial" w:cs="Arial"/>
      <w:color w:val="000080"/>
      <w:sz w:val="20"/>
    </w:rPr>
  </w:style>
  <w:style w:type="character" w:customStyle="1" w:styleId="EmailStyle350">
    <w:name w:val="EmailStyle350"/>
    <w:basedOn w:val="DefaultParagraphFont"/>
    <w:semiHidden/>
    <w:rsid w:val="00496814"/>
    <w:rPr>
      <w:rFonts w:ascii="Arial" w:hAnsi="Arial" w:cs="Arial"/>
      <w:color w:val="993366"/>
      <w:sz w:val="20"/>
    </w:rPr>
  </w:style>
  <w:style w:type="character" w:customStyle="1" w:styleId="EmailStyle351">
    <w:name w:val="EmailStyle351"/>
    <w:basedOn w:val="DefaultParagraphFont"/>
    <w:semiHidden/>
    <w:rsid w:val="00496814"/>
    <w:rPr>
      <w:rFonts w:ascii="Arial" w:hAnsi="Arial" w:cs="Arial"/>
      <w:color w:val="000080"/>
      <w:sz w:val="20"/>
    </w:rPr>
  </w:style>
  <w:style w:type="character" w:customStyle="1" w:styleId="EmailStyle352">
    <w:name w:val="EmailStyle352"/>
    <w:basedOn w:val="DefaultParagraphFont"/>
    <w:semiHidden/>
    <w:rsid w:val="00496814"/>
    <w:rPr>
      <w:rFonts w:ascii="Arial" w:hAnsi="Arial" w:cs="Arial"/>
      <w:color w:val="000080"/>
      <w:sz w:val="20"/>
    </w:rPr>
  </w:style>
  <w:style w:type="character" w:customStyle="1" w:styleId="EmailStyle353">
    <w:name w:val="EmailStyle353"/>
    <w:basedOn w:val="DefaultParagraphFont"/>
    <w:semiHidden/>
    <w:rsid w:val="00496814"/>
    <w:rPr>
      <w:rFonts w:ascii="Arial" w:hAnsi="Arial" w:cs="Arial"/>
      <w:color w:val="000080"/>
      <w:sz w:val="20"/>
    </w:rPr>
  </w:style>
  <w:style w:type="character" w:customStyle="1" w:styleId="EmailStyle354">
    <w:name w:val="EmailStyle354"/>
    <w:basedOn w:val="DefaultParagraphFont"/>
    <w:semiHidden/>
    <w:rsid w:val="00496814"/>
    <w:rPr>
      <w:rFonts w:ascii="Arial" w:hAnsi="Arial" w:cs="Arial"/>
      <w:color w:val="993366"/>
      <w:sz w:val="20"/>
    </w:rPr>
  </w:style>
  <w:style w:type="character" w:customStyle="1" w:styleId="EmailStyle355">
    <w:name w:val="EmailStyle355"/>
    <w:basedOn w:val="DefaultParagraphFont"/>
    <w:semiHidden/>
    <w:rsid w:val="00496814"/>
    <w:rPr>
      <w:rFonts w:ascii="Arial" w:hAnsi="Arial" w:cs="Arial"/>
      <w:color w:val="993366"/>
      <w:sz w:val="20"/>
    </w:rPr>
  </w:style>
  <w:style w:type="character" w:customStyle="1" w:styleId="EmailStyle356">
    <w:name w:val="EmailStyle356"/>
    <w:basedOn w:val="DefaultParagraphFont"/>
    <w:semiHidden/>
    <w:rsid w:val="00496814"/>
    <w:rPr>
      <w:rFonts w:ascii="Arial" w:hAnsi="Arial" w:cs="Arial"/>
      <w:color w:val="993366"/>
      <w:sz w:val="20"/>
    </w:rPr>
  </w:style>
  <w:style w:type="character" w:customStyle="1" w:styleId="EmailStyle357">
    <w:name w:val="EmailStyle357"/>
    <w:basedOn w:val="DefaultParagraphFont"/>
    <w:semiHidden/>
    <w:rsid w:val="00496814"/>
    <w:rPr>
      <w:rFonts w:ascii="Arial" w:hAnsi="Arial" w:cs="Arial"/>
      <w:color w:val="993366"/>
      <w:sz w:val="20"/>
    </w:rPr>
  </w:style>
  <w:style w:type="character" w:customStyle="1" w:styleId="EmailStyle358">
    <w:name w:val="EmailStyle358"/>
    <w:basedOn w:val="DefaultParagraphFont"/>
    <w:semiHidden/>
    <w:rsid w:val="00496814"/>
    <w:rPr>
      <w:rFonts w:ascii="Arial" w:hAnsi="Arial" w:cs="Arial"/>
      <w:color w:val="993366"/>
      <w:sz w:val="20"/>
    </w:rPr>
  </w:style>
  <w:style w:type="character" w:customStyle="1" w:styleId="EmailStyle359">
    <w:name w:val="EmailStyle359"/>
    <w:basedOn w:val="DefaultParagraphFont"/>
    <w:semiHidden/>
    <w:rsid w:val="00496814"/>
    <w:rPr>
      <w:rFonts w:ascii="Arial" w:hAnsi="Arial" w:cs="Arial"/>
      <w:color w:val="993366"/>
      <w:sz w:val="20"/>
    </w:rPr>
  </w:style>
  <w:style w:type="character" w:customStyle="1" w:styleId="EmailStyle360">
    <w:name w:val="EmailStyle360"/>
    <w:basedOn w:val="DefaultParagraphFont"/>
    <w:semiHidden/>
    <w:rsid w:val="00496814"/>
    <w:rPr>
      <w:rFonts w:ascii="Arial" w:hAnsi="Arial" w:cs="Arial"/>
      <w:color w:val="993366"/>
      <w:sz w:val="20"/>
    </w:rPr>
  </w:style>
  <w:style w:type="character" w:customStyle="1" w:styleId="EmailStyle361">
    <w:name w:val="EmailStyle361"/>
    <w:basedOn w:val="DefaultParagraphFont"/>
    <w:semiHidden/>
    <w:rsid w:val="00496814"/>
    <w:rPr>
      <w:rFonts w:ascii="Arial" w:hAnsi="Arial" w:cs="Arial"/>
      <w:color w:val="993366"/>
      <w:sz w:val="20"/>
    </w:rPr>
  </w:style>
  <w:style w:type="character" w:customStyle="1" w:styleId="EmailStyle362">
    <w:name w:val="EmailStyle362"/>
    <w:basedOn w:val="DefaultParagraphFont"/>
    <w:semiHidden/>
    <w:rsid w:val="00496814"/>
    <w:rPr>
      <w:rFonts w:ascii="Arial" w:hAnsi="Arial" w:cs="Arial"/>
      <w:color w:val="993366"/>
      <w:sz w:val="20"/>
    </w:rPr>
  </w:style>
  <w:style w:type="character" w:customStyle="1" w:styleId="EmailStyle3671">
    <w:name w:val="EmailStyle3671"/>
    <w:basedOn w:val="DefaultParagraphFont"/>
    <w:semiHidden/>
    <w:rsid w:val="00496814"/>
    <w:rPr>
      <w:rFonts w:ascii="Arial" w:hAnsi="Arial" w:cs="Arial"/>
      <w:color w:val="993366"/>
      <w:sz w:val="20"/>
    </w:rPr>
  </w:style>
  <w:style w:type="character" w:customStyle="1" w:styleId="EmailStyle3681">
    <w:name w:val="EmailStyle3681"/>
    <w:basedOn w:val="DefaultParagraphFont"/>
    <w:semiHidden/>
    <w:rsid w:val="00496814"/>
    <w:rPr>
      <w:rFonts w:ascii="Arial" w:hAnsi="Arial" w:cs="Arial"/>
      <w:color w:val="000080"/>
      <w:sz w:val="20"/>
    </w:rPr>
  </w:style>
  <w:style w:type="character" w:customStyle="1" w:styleId="EmailStyle3691">
    <w:name w:val="EmailStyle3691"/>
    <w:basedOn w:val="DefaultParagraphFont"/>
    <w:semiHidden/>
    <w:rsid w:val="00496814"/>
    <w:rPr>
      <w:rFonts w:ascii="Arial" w:hAnsi="Arial" w:cs="Arial"/>
      <w:color w:val="993366"/>
      <w:sz w:val="20"/>
    </w:rPr>
  </w:style>
  <w:style w:type="character" w:customStyle="1" w:styleId="EmailStyle3701">
    <w:name w:val="EmailStyle3701"/>
    <w:basedOn w:val="DefaultParagraphFont"/>
    <w:semiHidden/>
    <w:rsid w:val="00496814"/>
    <w:rPr>
      <w:rFonts w:ascii="Arial" w:hAnsi="Arial" w:cs="Arial"/>
      <w:color w:val="000080"/>
      <w:sz w:val="20"/>
    </w:rPr>
  </w:style>
  <w:style w:type="character" w:customStyle="1" w:styleId="EmailStyle3711">
    <w:name w:val="EmailStyle3711"/>
    <w:basedOn w:val="DefaultParagraphFont"/>
    <w:semiHidden/>
    <w:rsid w:val="00496814"/>
    <w:rPr>
      <w:rFonts w:ascii="Arial" w:hAnsi="Arial" w:cs="Arial"/>
      <w:color w:val="993366"/>
      <w:sz w:val="20"/>
    </w:rPr>
  </w:style>
  <w:style w:type="character" w:customStyle="1" w:styleId="EmailStyle3721">
    <w:name w:val="EmailStyle3721"/>
    <w:basedOn w:val="DefaultParagraphFont"/>
    <w:semiHidden/>
    <w:rsid w:val="00496814"/>
    <w:rPr>
      <w:rFonts w:ascii="Arial" w:hAnsi="Arial" w:cs="Arial"/>
      <w:color w:val="000080"/>
      <w:sz w:val="20"/>
    </w:rPr>
  </w:style>
  <w:style w:type="character" w:customStyle="1" w:styleId="EmailStyle3731">
    <w:name w:val="EmailStyle3731"/>
    <w:basedOn w:val="DefaultParagraphFont"/>
    <w:semiHidden/>
    <w:rsid w:val="00496814"/>
    <w:rPr>
      <w:rFonts w:ascii="Arial" w:hAnsi="Arial" w:cs="Arial"/>
      <w:color w:val="993366"/>
      <w:sz w:val="20"/>
    </w:rPr>
  </w:style>
  <w:style w:type="character" w:customStyle="1" w:styleId="EmailStyle3741">
    <w:name w:val="EmailStyle3741"/>
    <w:basedOn w:val="DefaultParagraphFont"/>
    <w:semiHidden/>
    <w:rsid w:val="00496814"/>
    <w:rPr>
      <w:rFonts w:ascii="Arial" w:hAnsi="Arial" w:cs="Arial"/>
      <w:color w:val="000080"/>
      <w:sz w:val="20"/>
    </w:rPr>
  </w:style>
  <w:style w:type="character" w:customStyle="1" w:styleId="EmailStyle3751">
    <w:name w:val="EmailStyle3751"/>
    <w:basedOn w:val="DefaultParagraphFont"/>
    <w:semiHidden/>
    <w:rsid w:val="00496814"/>
    <w:rPr>
      <w:rFonts w:ascii="Arial" w:hAnsi="Arial" w:cs="Arial"/>
      <w:color w:val="993366"/>
      <w:sz w:val="20"/>
    </w:rPr>
  </w:style>
  <w:style w:type="character" w:customStyle="1" w:styleId="EmailStyle3761">
    <w:name w:val="EmailStyle3761"/>
    <w:basedOn w:val="DefaultParagraphFont"/>
    <w:semiHidden/>
    <w:rsid w:val="00496814"/>
    <w:rPr>
      <w:rFonts w:ascii="Arial" w:hAnsi="Arial" w:cs="Arial"/>
      <w:color w:val="000080"/>
      <w:sz w:val="20"/>
    </w:rPr>
  </w:style>
  <w:style w:type="character" w:customStyle="1" w:styleId="EmailStyle3771">
    <w:name w:val="EmailStyle3771"/>
    <w:basedOn w:val="DefaultParagraphFont"/>
    <w:semiHidden/>
    <w:rsid w:val="00496814"/>
    <w:rPr>
      <w:rFonts w:ascii="Arial" w:hAnsi="Arial" w:cs="Arial"/>
      <w:color w:val="993366"/>
      <w:sz w:val="20"/>
    </w:rPr>
  </w:style>
  <w:style w:type="character" w:customStyle="1" w:styleId="EmailStyle3781">
    <w:name w:val="EmailStyle3781"/>
    <w:basedOn w:val="DefaultParagraphFont"/>
    <w:semiHidden/>
    <w:rsid w:val="00496814"/>
    <w:rPr>
      <w:rFonts w:ascii="Arial" w:hAnsi="Arial" w:cs="Arial"/>
      <w:color w:val="000080"/>
      <w:sz w:val="20"/>
    </w:rPr>
  </w:style>
  <w:style w:type="character" w:customStyle="1" w:styleId="EmailStyle3791">
    <w:name w:val="EmailStyle3791"/>
    <w:basedOn w:val="DefaultParagraphFont"/>
    <w:semiHidden/>
    <w:rsid w:val="00496814"/>
    <w:rPr>
      <w:rFonts w:ascii="Arial" w:hAnsi="Arial" w:cs="Arial"/>
      <w:color w:val="993366"/>
      <w:sz w:val="20"/>
    </w:rPr>
  </w:style>
  <w:style w:type="character" w:customStyle="1" w:styleId="EmailStyle3801">
    <w:name w:val="EmailStyle3801"/>
    <w:basedOn w:val="DefaultParagraphFont"/>
    <w:semiHidden/>
    <w:rsid w:val="00496814"/>
    <w:rPr>
      <w:rFonts w:ascii="Arial" w:hAnsi="Arial" w:cs="Arial"/>
      <w:color w:val="000080"/>
      <w:sz w:val="20"/>
    </w:rPr>
  </w:style>
  <w:style w:type="character" w:customStyle="1" w:styleId="EmailStyle3811">
    <w:name w:val="EmailStyle3811"/>
    <w:basedOn w:val="DefaultParagraphFont"/>
    <w:semiHidden/>
    <w:rsid w:val="00496814"/>
    <w:rPr>
      <w:rFonts w:ascii="Arial" w:hAnsi="Arial" w:cs="Arial"/>
      <w:color w:val="993366"/>
      <w:sz w:val="20"/>
    </w:rPr>
  </w:style>
  <w:style w:type="character" w:customStyle="1" w:styleId="EmailStyle3821">
    <w:name w:val="EmailStyle3821"/>
    <w:basedOn w:val="DefaultParagraphFont"/>
    <w:semiHidden/>
    <w:rsid w:val="00496814"/>
    <w:rPr>
      <w:rFonts w:ascii="Arial" w:hAnsi="Arial" w:cs="Arial"/>
      <w:color w:val="000080"/>
      <w:sz w:val="20"/>
    </w:rPr>
  </w:style>
  <w:style w:type="character" w:customStyle="1" w:styleId="EmailStyle3831">
    <w:name w:val="EmailStyle3831"/>
    <w:basedOn w:val="DefaultParagraphFont"/>
    <w:semiHidden/>
    <w:rsid w:val="00496814"/>
    <w:rPr>
      <w:rFonts w:ascii="Arial" w:hAnsi="Arial" w:cs="Arial"/>
      <w:color w:val="993366"/>
      <w:sz w:val="20"/>
    </w:rPr>
  </w:style>
  <w:style w:type="character" w:customStyle="1" w:styleId="EmailStyle3841">
    <w:name w:val="EmailStyle3841"/>
    <w:basedOn w:val="DefaultParagraphFont"/>
    <w:semiHidden/>
    <w:rsid w:val="00496814"/>
    <w:rPr>
      <w:rFonts w:ascii="Arial" w:hAnsi="Arial" w:cs="Arial"/>
      <w:color w:val="000080"/>
      <w:sz w:val="20"/>
    </w:rPr>
  </w:style>
  <w:style w:type="character" w:customStyle="1" w:styleId="EmailStyle3851">
    <w:name w:val="EmailStyle3851"/>
    <w:basedOn w:val="DefaultParagraphFont"/>
    <w:semiHidden/>
    <w:rsid w:val="00496814"/>
    <w:rPr>
      <w:rFonts w:ascii="Arial" w:hAnsi="Arial" w:cs="Arial"/>
      <w:color w:val="993366"/>
      <w:sz w:val="20"/>
    </w:rPr>
  </w:style>
  <w:style w:type="character" w:customStyle="1" w:styleId="EmailStyle3861">
    <w:name w:val="EmailStyle3861"/>
    <w:basedOn w:val="DefaultParagraphFont"/>
    <w:semiHidden/>
    <w:rsid w:val="00496814"/>
    <w:rPr>
      <w:rFonts w:ascii="Arial" w:hAnsi="Arial" w:cs="Arial"/>
      <w:color w:val="000080"/>
      <w:sz w:val="20"/>
    </w:rPr>
  </w:style>
  <w:style w:type="character" w:customStyle="1" w:styleId="EmailStyle3871">
    <w:name w:val="EmailStyle3871"/>
    <w:basedOn w:val="DefaultParagraphFont"/>
    <w:semiHidden/>
    <w:rsid w:val="00496814"/>
    <w:rPr>
      <w:rFonts w:ascii="Arial" w:hAnsi="Arial" w:cs="Arial"/>
      <w:color w:val="993366"/>
      <w:sz w:val="20"/>
    </w:rPr>
  </w:style>
  <w:style w:type="character" w:customStyle="1" w:styleId="EmailStyle3881">
    <w:name w:val="EmailStyle3881"/>
    <w:basedOn w:val="DefaultParagraphFont"/>
    <w:semiHidden/>
    <w:rsid w:val="00496814"/>
    <w:rPr>
      <w:rFonts w:ascii="Arial" w:hAnsi="Arial" w:cs="Arial"/>
      <w:color w:val="000080"/>
      <w:sz w:val="20"/>
    </w:rPr>
  </w:style>
  <w:style w:type="character" w:customStyle="1" w:styleId="EmailStyle3891">
    <w:name w:val="EmailStyle3891"/>
    <w:basedOn w:val="DefaultParagraphFont"/>
    <w:semiHidden/>
    <w:rsid w:val="00496814"/>
    <w:rPr>
      <w:rFonts w:ascii="Arial" w:hAnsi="Arial" w:cs="Arial"/>
      <w:color w:val="993366"/>
      <w:sz w:val="20"/>
    </w:rPr>
  </w:style>
  <w:style w:type="character" w:customStyle="1" w:styleId="EmailStyle3901">
    <w:name w:val="EmailStyle3901"/>
    <w:basedOn w:val="DefaultParagraphFont"/>
    <w:semiHidden/>
    <w:rsid w:val="00496814"/>
    <w:rPr>
      <w:rFonts w:ascii="Arial" w:hAnsi="Arial" w:cs="Arial"/>
      <w:color w:val="000080"/>
      <w:sz w:val="20"/>
    </w:rPr>
  </w:style>
  <w:style w:type="character" w:customStyle="1" w:styleId="EmailStyle3911">
    <w:name w:val="EmailStyle3911"/>
    <w:basedOn w:val="DefaultParagraphFont"/>
    <w:semiHidden/>
    <w:rsid w:val="00496814"/>
    <w:rPr>
      <w:rFonts w:ascii="Arial" w:hAnsi="Arial" w:cs="Arial"/>
      <w:color w:val="993366"/>
      <w:sz w:val="20"/>
    </w:rPr>
  </w:style>
  <w:style w:type="character" w:customStyle="1" w:styleId="EmailStyle3921">
    <w:name w:val="EmailStyle3921"/>
    <w:basedOn w:val="DefaultParagraphFont"/>
    <w:semiHidden/>
    <w:rsid w:val="00496814"/>
    <w:rPr>
      <w:rFonts w:ascii="Arial" w:hAnsi="Arial" w:cs="Arial"/>
      <w:color w:val="000080"/>
      <w:sz w:val="20"/>
    </w:rPr>
  </w:style>
  <w:style w:type="character" w:customStyle="1" w:styleId="EmailStyle3931">
    <w:name w:val="EmailStyle3931"/>
    <w:basedOn w:val="DefaultParagraphFont"/>
    <w:semiHidden/>
    <w:rsid w:val="00496814"/>
    <w:rPr>
      <w:rFonts w:ascii="Arial" w:hAnsi="Arial" w:cs="Arial"/>
      <w:color w:val="993366"/>
      <w:sz w:val="20"/>
    </w:rPr>
  </w:style>
  <w:style w:type="character" w:customStyle="1" w:styleId="EmailStyle3941">
    <w:name w:val="EmailStyle3941"/>
    <w:basedOn w:val="DefaultParagraphFont"/>
    <w:semiHidden/>
    <w:rsid w:val="00496814"/>
    <w:rPr>
      <w:rFonts w:ascii="Arial" w:hAnsi="Arial" w:cs="Arial"/>
      <w:color w:val="000080"/>
      <w:sz w:val="20"/>
    </w:rPr>
  </w:style>
  <w:style w:type="character" w:customStyle="1" w:styleId="EmailStyle3951">
    <w:name w:val="EmailStyle3951"/>
    <w:basedOn w:val="DefaultParagraphFont"/>
    <w:semiHidden/>
    <w:rsid w:val="00496814"/>
    <w:rPr>
      <w:rFonts w:ascii="Arial" w:hAnsi="Arial" w:cs="Arial"/>
      <w:color w:val="993366"/>
      <w:sz w:val="20"/>
    </w:rPr>
  </w:style>
  <w:style w:type="character" w:customStyle="1" w:styleId="EmailStyle3961">
    <w:name w:val="EmailStyle3961"/>
    <w:basedOn w:val="DefaultParagraphFont"/>
    <w:semiHidden/>
    <w:rsid w:val="00496814"/>
    <w:rPr>
      <w:rFonts w:ascii="Arial" w:hAnsi="Arial" w:cs="Arial"/>
      <w:color w:val="000080"/>
      <w:sz w:val="20"/>
    </w:rPr>
  </w:style>
  <w:style w:type="character" w:customStyle="1" w:styleId="EmailStyle3971">
    <w:name w:val="EmailStyle3971"/>
    <w:basedOn w:val="DefaultParagraphFont"/>
    <w:semiHidden/>
    <w:rsid w:val="00496814"/>
    <w:rPr>
      <w:rFonts w:ascii="Arial" w:hAnsi="Arial" w:cs="Arial"/>
      <w:color w:val="993366"/>
      <w:sz w:val="20"/>
    </w:rPr>
  </w:style>
  <w:style w:type="character" w:customStyle="1" w:styleId="EmailStyle3981">
    <w:name w:val="EmailStyle3981"/>
    <w:basedOn w:val="DefaultParagraphFont"/>
    <w:semiHidden/>
    <w:rsid w:val="00496814"/>
    <w:rPr>
      <w:rFonts w:ascii="Arial" w:hAnsi="Arial" w:cs="Arial"/>
      <w:color w:val="000080"/>
      <w:sz w:val="20"/>
    </w:rPr>
  </w:style>
  <w:style w:type="character" w:customStyle="1" w:styleId="EmailStyle3991">
    <w:name w:val="EmailStyle3991"/>
    <w:basedOn w:val="DefaultParagraphFont"/>
    <w:semiHidden/>
    <w:rsid w:val="00496814"/>
    <w:rPr>
      <w:rFonts w:ascii="Arial" w:hAnsi="Arial" w:cs="Arial"/>
      <w:color w:val="993366"/>
      <w:sz w:val="20"/>
    </w:rPr>
  </w:style>
  <w:style w:type="character" w:customStyle="1" w:styleId="EmailStyle4001">
    <w:name w:val="EmailStyle4001"/>
    <w:basedOn w:val="DefaultParagraphFont"/>
    <w:semiHidden/>
    <w:rsid w:val="00496814"/>
    <w:rPr>
      <w:rFonts w:ascii="Arial" w:hAnsi="Arial" w:cs="Arial"/>
      <w:color w:val="000080"/>
      <w:sz w:val="20"/>
    </w:rPr>
  </w:style>
  <w:style w:type="character" w:customStyle="1" w:styleId="EmailStyle4011">
    <w:name w:val="EmailStyle4011"/>
    <w:basedOn w:val="DefaultParagraphFont"/>
    <w:semiHidden/>
    <w:rsid w:val="00496814"/>
    <w:rPr>
      <w:rFonts w:ascii="Arial" w:hAnsi="Arial" w:cs="Arial"/>
      <w:color w:val="993366"/>
      <w:sz w:val="20"/>
    </w:rPr>
  </w:style>
  <w:style w:type="character" w:customStyle="1" w:styleId="EmailStyle4021">
    <w:name w:val="EmailStyle4021"/>
    <w:basedOn w:val="DefaultParagraphFont"/>
    <w:semiHidden/>
    <w:rsid w:val="00496814"/>
    <w:rPr>
      <w:rFonts w:ascii="Arial" w:hAnsi="Arial" w:cs="Arial"/>
      <w:color w:val="000080"/>
      <w:sz w:val="20"/>
    </w:rPr>
  </w:style>
  <w:style w:type="character" w:customStyle="1" w:styleId="EmailStyle4031">
    <w:name w:val="EmailStyle4031"/>
    <w:basedOn w:val="DefaultParagraphFont"/>
    <w:semiHidden/>
    <w:rsid w:val="00496814"/>
    <w:rPr>
      <w:rFonts w:ascii="Arial" w:hAnsi="Arial" w:cs="Arial"/>
      <w:color w:val="993366"/>
      <w:sz w:val="20"/>
    </w:rPr>
  </w:style>
  <w:style w:type="character" w:customStyle="1" w:styleId="EmailStyle4041">
    <w:name w:val="EmailStyle4041"/>
    <w:basedOn w:val="DefaultParagraphFont"/>
    <w:semiHidden/>
    <w:rsid w:val="00496814"/>
    <w:rPr>
      <w:rFonts w:ascii="Arial" w:hAnsi="Arial" w:cs="Arial"/>
      <w:color w:val="000080"/>
      <w:sz w:val="20"/>
    </w:rPr>
  </w:style>
  <w:style w:type="character" w:customStyle="1" w:styleId="EmailStyle4051">
    <w:name w:val="EmailStyle4051"/>
    <w:basedOn w:val="DefaultParagraphFont"/>
    <w:semiHidden/>
    <w:rsid w:val="00496814"/>
    <w:rPr>
      <w:rFonts w:ascii="Arial" w:hAnsi="Arial" w:cs="Arial"/>
      <w:color w:val="993366"/>
      <w:sz w:val="20"/>
    </w:rPr>
  </w:style>
  <w:style w:type="character" w:customStyle="1" w:styleId="EmailStyle4061">
    <w:name w:val="EmailStyle4061"/>
    <w:basedOn w:val="DefaultParagraphFont"/>
    <w:semiHidden/>
    <w:rsid w:val="00496814"/>
    <w:rPr>
      <w:rFonts w:ascii="Arial" w:hAnsi="Arial" w:cs="Arial"/>
      <w:color w:val="000080"/>
      <w:sz w:val="20"/>
    </w:rPr>
  </w:style>
  <w:style w:type="character" w:customStyle="1" w:styleId="EmailStyle4071">
    <w:name w:val="EmailStyle4071"/>
    <w:basedOn w:val="DefaultParagraphFont"/>
    <w:semiHidden/>
    <w:rsid w:val="00496814"/>
    <w:rPr>
      <w:rFonts w:ascii="Arial" w:hAnsi="Arial" w:cs="Arial"/>
      <w:color w:val="993366"/>
      <w:sz w:val="20"/>
    </w:rPr>
  </w:style>
  <w:style w:type="character" w:customStyle="1" w:styleId="EmailStyle4081">
    <w:name w:val="EmailStyle4081"/>
    <w:basedOn w:val="DefaultParagraphFont"/>
    <w:semiHidden/>
    <w:rsid w:val="00496814"/>
    <w:rPr>
      <w:rFonts w:ascii="Arial" w:hAnsi="Arial" w:cs="Arial"/>
      <w:color w:val="000080"/>
      <w:sz w:val="20"/>
    </w:rPr>
  </w:style>
  <w:style w:type="character" w:customStyle="1" w:styleId="EmailStyle4091">
    <w:name w:val="EmailStyle4091"/>
    <w:basedOn w:val="DefaultParagraphFont"/>
    <w:semiHidden/>
    <w:rsid w:val="00496814"/>
    <w:rPr>
      <w:rFonts w:ascii="Arial" w:hAnsi="Arial" w:cs="Arial"/>
      <w:color w:val="993366"/>
      <w:sz w:val="20"/>
    </w:rPr>
  </w:style>
  <w:style w:type="character" w:customStyle="1" w:styleId="EmailStyle4101">
    <w:name w:val="EmailStyle4101"/>
    <w:basedOn w:val="DefaultParagraphFont"/>
    <w:semiHidden/>
    <w:rsid w:val="00496814"/>
    <w:rPr>
      <w:rFonts w:ascii="Arial" w:hAnsi="Arial" w:cs="Arial"/>
      <w:color w:val="000080"/>
      <w:sz w:val="20"/>
    </w:rPr>
  </w:style>
  <w:style w:type="character" w:customStyle="1" w:styleId="EmailStyle4111">
    <w:name w:val="EmailStyle4111"/>
    <w:basedOn w:val="DefaultParagraphFont"/>
    <w:semiHidden/>
    <w:rsid w:val="00496814"/>
    <w:rPr>
      <w:rFonts w:ascii="Arial" w:hAnsi="Arial" w:cs="Arial"/>
      <w:color w:val="993366"/>
      <w:sz w:val="20"/>
    </w:rPr>
  </w:style>
  <w:style w:type="character" w:customStyle="1" w:styleId="EmailStyle4121">
    <w:name w:val="EmailStyle4121"/>
    <w:basedOn w:val="DefaultParagraphFont"/>
    <w:semiHidden/>
    <w:rsid w:val="00496814"/>
    <w:rPr>
      <w:rFonts w:ascii="Arial" w:hAnsi="Arial" w:cs="Arial"/>
      <w:color w:val="000080"/>
      <w:sz w:val="20"/>
    </w:rPr>
  </w:style>
  <w:style w:type="character" w:customStyle="1" w:styleId="EmailStyle4131">
    <w:name w:val="EmailStyle4131"/>
    <w:basedOn w:val="DefaultParagraphFont"/>
    <w:semiHidden/>
    <w:rsid w:val="00496814"/>
    <w:rPr>
      <w:rFonts w:ascii="Arial" w:hAnsi="Arial" w:cs="Arial"/>
      <w:color w:val="993366"/>
      <w:sz w:val="20"/>
    </w:rPr>
  </w:style>
  <w:style w:type="character" w:customStyle="1" w:styleId="EmailStyle4141">
    <w:name w:val="EmailStyle4141"/>
    <w:basedOn w:val="DefaultParagraphFont"/>
    <w:semiHidden/>
    <w:rsid w:val="00496814"/>
    <w:rPr>
      <w:rFonts w:ascii="Arial" w:hAnsi="Arial" w:cs="Arial"/>
      <w:color w:val="000080"/>
      <w:sz w:val="20"/>
    </w:rPr>
  </w:style>
  <w:style w:type="character" w:customStyle="1" w:styleId="EmailStyle4151">
    <w:name w:val="EmailStyle4151"/>
    <w:basedOn w:val="DefaultParagraphFont"/>
    <w:semiHidden/>
    <w:rsid w:val="00496814"/>
    <w:rPr>
      <w:rFonts w:ascii="Arial" w:hAnsi="Arial" w:cs="Arial"/>
      <w:color w:val="993366"/>
      <w:sz w:val="20"/>
    </w:rPr>
  </w:style>
  <w:style w:type="character" w:customStyle="1" w:styleId="EmailStyle4161">
    <w:name w:val="EmailStyle4161"/>
    <w:basedOn w:val="DefaultParagraphFont"/>
    <w:semiHidden/>
    <w:rsid w:val="00496814"/>
    <w:rPr>
      <w:rFonts w:ascii="Arial" w:hAnsi="Arial" w:cs="Arial"/>
      <w:color w:val="000080"/>
      <w:sz w:val="20"/>
    </w:rPr>
  </w:style>
  <w:style w:type="character" w:customStyle="1" w:styleId="EmailStyle4171">
    <w:name w:val="EmailStyle4171"/>
    <w:basedOn w:val="DefaultParagraphFont"/>
    <w:semiHidden/>
    <w:rsid w:val="00496814"/>
    <w:rPr>
      <w:rFonts w:ascii="Arial" w:hAnsi="Arial" w:cs="Arial"/>
      <w:color w:val="993366"/>
      <w:sz w:val="20"/>
    </w:rPr>
  </w:style>
  <w:style w:type="character" w:customStyle="1" w:styleId="EmailStyle4181">
    <w:name w:val="EmailStyle4181"/>
    <w:basedOn w:val="DefaultParagraphFont"/>
    <w:semiHidden/>
    <w:rsid w:val="00496814"/>
    <w:rPr>
      <w:rFonts w:ascii="Arial" w:hAnsi="Arial" w:cs="Arial"/>
      <w:color w:val="000080"/>
      <w:sz w:val="20"/>
    </w:rPr>
  </w:style>
  <w:style w:type="character" w:customStyle="1" w:styleId="EmailStyle4191">
    <w:name w:val="EmailStyle4191"/>
    <w:basedOn w:val="DefaultParagraphFont"/>
    <w:semiHidden/>
    <w:rsid w:val="00496814"/>
    <w:rPr>
      <w:rFonts w:ascii="Arial" w:hAnsi="Arial" w:cs="Arial"/>
      <w:color w:val="993366"/>
      <w:sz w:val="20"/>
    </w:rPr>
  </w:style>
  <w:style w:type="character" w:customStyle="1" w:styleId="EmailStyle4201">
    <w:name w:val="EmailStyle4201"/>
    <w:basedOn w:val="DefaultParagraphFont"/>
    <w:semiHidden/>
    <w:rsid w:val="00496814"/>
    <w:rPr>
      <w:rFonts w:ascii="Arial" w:hAnsi="Arial" w:cs="Arial"/>
      <w:color w:val="000080"/>
      <w:sz w:val="20"/>
    </w:rPr>
  </w:style>
  <w:style w:type="character" w:customStyle="1" w:styleId="EmailStyle4211">
    <w:name w:val="EmailStyle4211"/>
    <w:basedOn w:val="DefaultParagraphFont"/>
    <w:semiHidden/>
    <w:rsid w:val="00496814"/>
    <w:rPr>
      <w:rFonts w:ascii="Arial" w:hAnsi="Arial" w:cs="Arial"/>
      <w:color w:val="993366"/>
      <w:sz w:val="20"/>
    </w:rPr>
  </w:style>
  <w:style w:type="character" w:customStyle="1" w:styleId="EmailStyle4221">
    <w:name w:val="EmailStyle4221"/>
    <w:basedOn w:val="DefaultParagraphFont"/>
    <w:semiHidden/>
    <w:rsid w:val="00496814"/>
    <w:rPr>
      <w:rFonts w:ascii="Arial" w:hAnsi="Arial" w:cs="Arial"/>
      <w:color w:val="000080"/>
      <w:sz w:val="20"/>
    </w:rPr>
  </w:style>
  <w:style w:type="character" w:customStyle="1" w:styleId="EmailStyle4231">
    <w:name w:val="EmailStyle4231"/>
    <w:basedOn w:val="DefaultParagraphFont"/>
    <w:semiHidden/>
    <w:rsid w:val="00496814"/>
    <w:rPr>
      <w:rFonts w:ascii="Arial" w:hAnsi="Arial" w:cs="Arial"/>
      <w:color w:val="993366"/>
      <w:sz w:val="20"/>
    </w:rPr>
  </w:style>
  <w:style w:type="character" w:customStyle="1" w:styleId="EmailStyle4241">
    <w:name w:val="EmailStyle4241"/>
    <w:basedOn w:val="DefaultParagraphFont"/>
    <w:semiHidden/>
    <w:rsid w:val="00496814"/>
    <w:rPr>
      <w:rFonts w:ascii="Arial" w:hAnsi="Arial" w:cs="Arial"/>
      <w:color w:val="000080"/>
      <w:sz w:val="20"/>
    </w:rPr>
  </w:style>
  <w:style w:type="character" w:customStyle="1" w:styleId="EmailStyle4251">
    <w:name w:val="EmailStyle4251"/>
    <w:basedOn w:val="DefaultParagraphFont"/>
    <w:semiHidden/>
    <w:rsid w:val="00496814"/>
    <w:rPr>
      <w:rFonts w:ascii="Arial" w:hAnsi="Arial" w:cs="Arial"/>
      <w:color w:val="993366"/>
      <w:sz w:val="20"/>
    </w:rPr>
  </w:style>
  <w:style w:type="character" w:customStyle="1" w:styleId="EmailStyle4261">
    <w:name w:val="EmailStyle4261"/>
    <w:basedOn w:val="DefaultParagraphFont"/>
    <w:semiHidden/>
    <w:rsid w:val="00496814"/>
    <w:rPr>
      <w:rFonts w:ascii="Arial" w:hAnsi="Arial" w:cs="Arial"/>
      <w:color w:val="000080"/>
      <w:sz w:val="20"/>
    </w:rPr>
  </w:style>
  <w:style w:type="character" w:customStyle="1" w:styleId="EmailStyle4271">
    <w:name w:val="EmailStyle4271"/>
    <w:basedOn w:val="DefaultParagraphFont"/>
    <w:semiHidden/>
    <w:rsid w:val="00496814"/>
    <w:rPr>
      <w:rFonts w:ascii="Arial" w:hAnsi="Arial" w:cs="Arial"/>
      <w:color w:val="993366"/>
      <w:sz w:val="20"/>
    </w:rPr>
  </w:style>
  <w:style w:type="character" w:customStyle="1" w:styleId="EmailStyle4281">
    <w:name w:val="EmailStyle4281"/>
    <w:basedOn w:val="DefaultParagraphFont"/>
    <w:semiHidden/>
    <w:rsid w:val="00496814"/>
    <w:rPr>
      <w:rFonts w:ascii="Arial" w:hAnsi="Arial" w:cs="Arial"/>
      <w:color w:val="000080"/>
      <w:sz w:val="20"/>
    </w:rPr>
  </w:style>
  <w:style w:type="character" w:customStyle="1" w:styleId="EmailStyle4291">
    <w:name w:val="EmailStyle4291"/>
    <w:basedOn w:val="DefaultParagraphFont"/>
    <w:semiHidden/>
    <w:rsid w:val="00496814"/>
    <w:rPr>
      <w:rFonts w:ascii="Arial" w:hAnsi="Arial" w:cs="Arial"/>
      <w:color w:val="993366"/>
      <w:sz w:val="20"/>
    </w:rPr>
  </w:style>
  <w:style w:type="character" w:customStyle="1" w:styleId="EmailStyle4301">
    <w:name w:val="EmailStyle4301"/>
    <w:basedOn w:val="DefaultParagraphFont"/>
    <w:semiHidden/>
    <w:rsid w:val="00496814"/>
    <w:rPr>
      <w:rFonts w:ascii="Arial" w:hAnsi="Arial" w:cs="Arial"/>
      <w:color w:val="000080"/>
      <w:sz w:val="20"/>
    </w:rPr>
  </w:style>
  <w:style w:type="character" w:customStyle="1" w:styleId="EmailStyle4311">
    <w:name w:val="EmailStyle4311"/>
    <w:basedOn w:val="DefaultParagraphFont"/>
    <w:semiHidden/>
    <w:rsid w:val="00496814"/>
    <w:rPr>
      <w:rFonts w:ascii="Arial" w:hAnsi="Arial" w:cs="Arial"/>
      <w:color w:val="000080"/>
      <w:sz w:val="20"/>
    </w:rPr>
  </w:style>
  <w:style w:type="character" w:customStyle="1" w:styleId="EmailStyle4321">
    <w:name w:val="EmailStyle4321"/>
    <w:basedOn w:val="DefaultParagraphFont"/>
    <w:semiHidden/>
    <w:rsid w:val="00496814"/>
    <w:rPr>
      <w:rFonts w:ascii="Arial" w:hAnsi="Arial" w:cs="Arial"/>
      <w:color w:val="993366"/>
      <w:sz w:val="20"/>
    </w:rPr>
  </w:style>
  <w:style w:type="character" w:customStyle="1" w:styleId="EmailStyle4331">
    <w:name w:val="EmailStyle4331"/>
    <w:basedOn w:val="DefaultParagraphFont"/>
    <w:semiHidden/>
    <w:rsid w:val="00496814"/>
    <w:rPr>
      <w:rFonts w:ascii="Arial" w:hAnsi="Arial" w:cs="Arial"/>
      <w:color w:val="000080"/>
      <w:sz w:val="20"/>
    </w:rPr>
  </w:style>
  <w:style w:type="character" w:customStyle="1" w:styleId="EmailStyle4341">
    <w:name w:val="EmailStyle4341"/>
    <w:basedOn w:val="DefaultParagraphFont"/>
    <w:semiHidden/>
    <w:rsid w:val="00496814"/>
    <w:rPr>
      <w:rFonts w:ascii="Arial" w:hAnsi="Arial" w:cs="Arial"/>
      <w:color w:val="993366"/>
      <w:sz w:val="20"/>
    </w:rPr>
  </w:style>
  <w:style w:type="character" w:customStyle="1" w:styleId="EmailStyle4351">
    <w:name w:val="EmailStyle4351"/>
    <w:basedOn w:val="DefaultParagraphFont"/>
    <w:semiHidden/>
    <w:rsid w:val="00496814"/>
    <w:rPr>
      <w:rFonts w:ascii="Arial" w:hAnsi="Arial" w:cs="Arial"/>
      <w:color w:val="000080"/>
      <w:sz w:val="20"/>
    </w:rPr>
  </w:style>
  <w:style w:type="character" w:customStyle="1" w:styleId="EmailStyle4361">
    <w:name w:val="EmailStyle4361"/>
    <w:basedOn w:val="DefaultParagraphFont"/>
    <w:semiHidden/>
    <w:rsid w:val="00496814"/>
    <w:rPr>
      <w:rFonts w:ascii="Arial" w:hAnsi="Arial" w:cs="Arial"/>
      <w:color w:val="000080"/>
      <w:sz w:val="20"/>
    </w:rPr>
  </w:style>
  <w:style w:type="character" w:customStyle="1" w:styleId="EmailStyle4371">
    <w:name w:val="EmailStyle4371"/>
    <w:basedOn w:val="DefaultParagraphFont"/>
    <w:semiHidden/>
    <w:rsid w:val="00496814"/>
    <w:rPr>
      <w:rFonts w:ascii="Arial" w:hAnsi="Arial" w:cs="Arial"/>
      <w:color w:val="993366"/>
      <w:sz w:val="20"/>
    </w:rPr>
  </w:style>
  <w:style w:type="character" w:customStyle="1" w:styleId="EmailStyle4381">
    <w:name w:val="EmailStyle4381"/>
    <w:basedOn w:val="DefaultParagraphFont"/>
    <w:semiHidden/>
    <w:rsid w:val="00496814"/>
    <w:rPr>
      <w:rFonts w:ascii="Arial" w:hAnsi="Arial" w:cs="Arial"/>
      <w:color w:val="000080"/>
      <w:sz w:val="20"/>
    </w:rPr>
  </w:style>
  <w:style w:type="character" w:customStyle="1" w:styleId="EmailStyle4391">
    <w:name w:val="EmailStyle4391"/>
    <w:basedOn w:val="DefaultParagraphFont"/>
    <w:semiHidden/>
    <w:rsid w:val="00496814"/>
    <w:rPr>
      <w:rFonts w:ascii="Arial" w:hAnsi="Arial" w:cs="Arial"/>
      <w:color w:val="993366"/>
      <w:sz w:val="20"/>
    </w:rPr>
  </w:style>
  <w:style w:type="character" w:customStyle="1" w:styleId="EmailStyle4401">
    <w:name w:val="EmailStyle4401"/>
    <w:basedOn w:val="DefaultParagraphFont"/>
    <w:semiHidden/>
    <w:rsid w:val="00496814"/>
    <w:rPr>
      <w:rFonts w:ascii="Arial" w:hAnsi="Arial" w:cs="Arial"/>
      <w:color w:val="000080"/>
      <w:sz w:val="20"/>
    </w:rPr>
  </w:style>
  <w:style w:type="character" w:customStyle="1" w:styleId="EmailStyle4411">
    <w:name w:val="EmailStyle4411"/>
    <w:basedOn w:val="DefaultParagraphFont"/>
    <w:semiHidden/>
    <w:rsid w:val="00496814"/>
    <w:rPr>
      <w:rFonts w:ascii="Arial" w:hAnsi="Arial" w:cs="Arial"/>
      <w:color w:val="000080"/>
      <w:sz w:val="20"/>
    </w:rPr>
  </w:style>
  <w:style w:type="character" w:customStyle="1" w:styleId="EmailStyle4421">
    <w:name w:val="EmailStyle4421"/>
    <w:basedOn w:val="DefaultParagraphFont"/>
    <w:semiHidden/>
    <w:rsid w:val="00496814"/>
    <w:rPr>
      <w:rFonts w:ascii="Arial" w:hAnsi="Arial" w:cs="Arial"/>
      <w:color w:val="993366"/>
      <w:sz w:val="20"/>
    </w:rPr>
  </w:style>
  <w:style w:type="character" w:customStyle="1" w:styleId="EmailStyle4431">
    <w:name w:val="EmailStyle4431"/>
    <w:basedOn w:val="DefaultParagraphFont"/>
    <w:semiHidden/>
    <w:rsid w:val="00496814"/>
    <w:rPr>
      <w:rFonts w:ascii="Arial" w:hAnsi="Arial" w:cs="Arial"/>
      <w:color w:val="000080"/>
      <w:sz w:val="20"/>
    </w:rPr>
  </w:style>
  <w:style w:type="character" w:customStyle="1" w:styleId="EmailStyle4441">
    <w:name w:val="EmailStyle4441"/>
    <w:basedOn w:val="DefaultParagraphFont"/>
    <w:semiHidden/>
    <w:rsid w:val="00496814"/>
    <w:rPr>
      <w:rFonts w:ascii="Arial" w:hAnsi="Arial" w:cs="Arial"/>
      <w:color w:val="993366"/>
      <w:sz w:val="20"/>
    </w:rPr>
  </w:style>
  <w:style w:type="character" w:customStyle="1" w:styleId="EmailStyle4451">
    <w:name w:val="EmailStyle4451"/>
    <w:basedOn w:val="DefaultParagraphFont"/>
    <w:semiHidden/>
    <w:rsid w:val="00496814"/>
    <w:rPr>
      <w:rFonts w:ascii="Arial" w:hAnsi="Arial" w:cs="Arial"/>
      <w:color w:val="000080"/>
      <w:sz w:val="20"/>
    </w:rPr>
  </w:style>
  <w:style w:type="character" w:customStyle="1" w:styleId="EmailStyle4461">
    <w:name w:val="EmailStyle4461"/>
    <w:basedOn w:val="DefaultParagraphFont"/>
    <w:semiHidden/>
    <w:rsid w:val="00496814"/>
    <w:rPr>
      <w:rFonts w:ascii="Arial" w:hAnsi="Arial" w:cs="Arial"/>
      <w:color w:val="000080"/>
      <w:sz w:val="20"/>
    </w:rPr>
  </w:style>
  <w:style w:type="character" w:customStyle="1" w:styleId="EmailStyle448">
    <w:name w:val="EmailStyle448"/>
    <w:basedOn w:val="DefaultParagraphFont"/>
    <w:semiHidden/>
    <w:rsid w:val="00496814"/>
    <w:rPr>
      <w:rFonts w:ascii="Arial" w:hAnsi="Arial" w:cs="Arial"/>
      <w:color w:val="993366"/>
      <w:sz w:val="20"/>
    </w:rPr>
  </w:style>
  <w:style w:type="character" w:customStyle="1" w:styleId="EmailStyle449">
    <w:name w:val="EmailStyle449"/>
    <w:basedOn w:val="DefaultParagraphFont"/>
    <w:semiHidden/>
    <w:rsid w:val="00496814"/>
    <w:rPr>
      <w:rFonts w:ascii="Arial" w:hAnsi="Arial" w:cs="Arial"/>
      <w:color w:val="000080"/>
      <w:sz w:val="20"/>
    </w:rPr>
  </w:style>
  <w:style w:type="character" w:customStyle="1" w:styleId="EmailStyle450">
    <w:name w:val="EmailStyle450"/>
    <w:basedOn w:val="DefaultParagraphFont"/>
    <w:semiHidden/>
    <w:rsid w:val="00496814"/>
    <w:rPr>
      <w:rFonts w:ascii="Arial" w:hAnsi="Arial" w:cs="Arial"/>
      <w:color w:val="993366"/>
      <w:sz w:val="20"/>
    </w:rPr>
  </w:style>
  <w:style w:type="character" w:customStyle="1" w:styleId="EmailStyle451">
    <w:name w:val="EmailStyle451"/>
    <w:basedOn w:val="DefaultParagraphFont"/>
    <w:semiHidden/>
    <w:rsid w:val="00496814"/>
    <w:rPr>
      <w:rFonts w:ascii="Arial" w:hAnsi="Arial" w:cs="Arial"/>
      <w:color w:val="000080"/>
      <w:sz w:val="20"/>
    </w:rPr>
  </w:style>
  <w:style w:type="character" w:customStyle="1" w:styleId="EmailStyle452">
    <w:name w:val="EmailStyle452"/>
    <w:basedOn w:val="DefaultParagraphFont"/>
    <w:semiHidden/>
    <w:rsid w:val="00496814"/>
    <w:rPr>
      <w:rFonts w:ascii="Arial" w:hAnsi="Arial" w:cs="Arial"/>
      <w:color w:val="993366"/>
      <w:sz w:val="20"/>
    </w:rPr>
  </w:style>
  <w:style w:type="character" w:customStyle="1" w:styleId="EmailStyle453">
    <w:name w:val="EmailStyle453"/>
    <w:basedOn w:val="DefaultParagraphFont"/>
    <w:semiHidden/>
    <w:rsid w:val="00496814"/>
    <w:rPr>
      <w:rFonts w:ascii="Arial" w:hAnsi="Arial" w:cs="Arial"/>
      <w:color w:val="000080"/>
      <w:sz w:val="20"/>
    </w:rPr>
  </w:style>
  <w:style w:type="character" w:customStyle="1" w:styleId="EmailStyle454">
    <w:name w:val="EmailStyle454"/>
    <w:basedOn w:val="DefaultParagraphFont"/>
    <w:semiHidden/>
    <w:rsid w:val="00496814"/>
    <w:rPr>
      <w:rFonts w:ascii="Arial" w:hAnsi="Arial" w:cs="Arial"/>
      <w:color w:val="993366"/>
      <w:sz w:val="20"/>
    </w:rPr>
  </w:style>
  <w:style w:type="character" w:customStyle="1" w:styleId="EmailStyle455">
    <w:name w:val="EmailStyle455"/>
    <w:basedOn w:val="DefaultParagraphFont"/>
    <w:semiHidden/>
    <w:rsid w:val="00496814"/>
    <w:rPr>
      <w:rFonts w:ascii="Arial" w:hAnsi="Arial" w:cs="Arial"/>
      <w:color w:val="000080"/>
      <w:sz w:val="20"/>
    </w:rPr>
  </w:style>
  <w:style w:type="character" w:customStyle="1" w:styleId="EmailStyle456">
    <w:name w:val="EmailStyle456"/>
    <w:basedOn w:val="DefaultParagraphFont"/>
    <w:semiHidden/>
    <w:rsid w:val="00496814"/>
    <w:rPr>
      <w:rFonts w:ascii="Arial" w:hAnsi="Arial" w:cs="Arial"/>
      <w:color w:val="993366"/>
      <w:sz w:val="20"/>
    </w:rPr>
  </w:style>
  <w:style w:type="character" w:customStyle="1" w:styleId="EmailStyle457">
    <w:name w:val="EmailStyle457"/>
    <w:basedOn w:val="DefaultParagraphFont"/>
    <w:semiHidden/>
    <w:rsid w:val="00496814"/>
    <w:rPr>
      <w:rFonts w:ascii="Arial" w:hAnsi="Arial" w:cs="Arial"/>
      <w:color w:val="000080"/>
      <w:sz w:val="20"/>
    </w:rPr>
  </w:style>
  <w:style w:type="character" w:customStyle="1" w:styleId="EmailStyle458">
    <w:name w:val="EmailStyle458"/>
    <w:basedOn w:val="DefaultParagraphFont"/>
    <w:semiHidden/>
    <w:rsid w:val="00496814"/>
    <w:rPr>
      <w:rFonts w:ascii="Arial" w:hAnsi="Arial" w:cs="Arial"/>
      <w:color w:val="993366"/>
      <w:sz w:val="20"/>
    </w:rPr>
  </w:style>
  <w:style w:type="character" w:customStyle="1" w:styleId="EmailStyle459">
    <w:name w:val="EmailStyle459"/>
    <w:basedOn w:val="DefaultParagraphFont"/>
    <w:semiHidden/>
    <w:rsid w:val="00496814"/>
    <w:rPr>
      <w:rFonts w:ascii="Arial" w:hAnsi="Arial" w:cs="Arial"/>
      <w:color w:val="000080"/>
      <w:sz w:val="20"/>
    </w:rPr>
  </w:style>
  <w:style w:type="character" w:customStyle="1" w:styleId="EmailStyle460">
    <w:name w:val="EmailStyle460"/>
    <w:basedOn w:val="DefaultParagraphFont"/>
    <w:semiHidden/>
    <w:rsid w:val="00496814"/>
    <w:rPr>
      <w:rFonts w:ascii="Arial" w:hAnsi="Arial" w:cs="Arial"/>
      <w:color w:val="993366"/>
      <w:sz w:val="20"/>
    </w:rPr>
  </w:style>
  <w:style w:type="character" w:customStyle="1" w:styleId="EmailStyle461">
    <w:name w:val="EmailStyle461"/>
    <w:basedOn w:val="DefaultParagraphFont"/>
    <w:semiHidden/>
    <w:rsid w:val="00496814"/>
    <w:rPr>
      <w:rFonts w:ascii="Arial" w:hAnsi="Arial" w:cs="Arial"/>
      <w:color w:val="000080"/>
      <w:sz w:val="20"/>
    </w:rPr>
  </w:style>
  <w:style w:type="character" w:customStyle="1" w:styleId="EmailStyle462">
    <w:name w:val="EmailStyle462"/>
    <w:basedOn w:val="DefaultParagraphFont"/>
    <w:semiHidden/>
    <w:rsid w:val="00496814"/>
    <w:rPr>
      <w:rFonts w:ascii="Arial" w:hAnsi="Arial" w:cs="Arial"/>
      <w:color w:val="993366"/>
      <w:sz w:val="20"/>
    </w:rPr>
  </w:style>
  <w:style w:type="character" w:customStyle="1" w:styleId="EmailStyle463">
    <w:name w:val="EmailStyle463"/>
    <w:basedOn w:val="DefaultParagraphFont"/>
    <w:semiHidden/>
    <w:rsid w:val="00496814"/>
    <w:rPr>
      <w:rFonts w:ascii="Arial" w:hAnsi="Arial" w:cs="Arial"/>
      <w:color w:val="000080"/>
      <w:sz w:val="20"/>
    </w:rPr>
  </w:style>
  <w:style w:type="character" w:customStyle="1" w:styleId="EmailStyle464">
    <w:name w:val="EmailStyle464"/>
    <w:basedOn w:val="DefaultParagraphFont"/>
    <w:semiHidden/>
    <w:rsid w:val="00496814"/>
    <w:rPr>
      <w:rFonts w:ascii="Arial" w:hAnsi="Arial" w:cs="Arial"/>
      <w:color w:val="993366"/>
      <w:sz w:val="20"/>
    </w:rPr>
  </w:style>
  <w:style w:type="character" w:customStyle="1" w:styleId="EmailStyle465">
    <w:name w:val="EmailStyle465"/>
    <w:basedOn w:val="DefaultParagraphFont"/>
    <w:semiHidden/>
    <w:rsid w:val="00496814"/>
    <w:rPr>
      <w:rFonts w:ascii="Arial" w:hAnsi="Arial" w:cs="Arial"/>
      <w:color w:val="000080"/>
      <w:sz w:val="20"/>
    </w:rPr>
  </w:style>
  <w:style w:type="character" w:customStyle="1" w:styleId="EmailStyle466">
    <w:name w:val="EmailStyle466"/>
    <w:basedOn w:val="DefaultParagraphFont"/>
    <w:semiHidden/>
    <w:rsid w:val="00496814"/>
    <w:rPr>
      <w:rFonts w:ascii="Arial" w:hAnsi="Arial" w:cs="Arial"/>
      <w:color w:val="993366"/>
      <w:sz w:val="20"/>
    </w:rPr>
  </w:style>
  <w:style w:type="character" w:customStyle="1" w:styleId="EmailStyle467">
    <w:name w:val="EmailStyle467"/>
    <w:basedOn w:val="DefaultParagraphFont"/>
    <w:semiHidden/>
    <w:rsid w:val="00496814"/>
    <w:rPr>
      <w:rFonts w:ascii="Arial" w:hAnsi="Arial" w:cs="Arial"/>
      <w:color w:val="000080"/>
      <w:sz w:val="20"/>
    </w:rPr>
  </w:style>
  <w:style w:type="character" w:customStyle="1" w:styleId="EmailStyle468">
    <w:name w:val="EmailStyle468"/>
    <w:basedOn w:val="DefaultParagraphFont"/>
    <w:semiHidden/>
    <w:rsid w:val="00496814"/>
    <w:rPr>
      <w:rFonts w:ascii="Arial" w:hAnsi="Arial" w:cs="Arial"/>
      <w:color w:val="993366"/>
      <w:sz w:val="20"/>
    </w:rPr>
  </w:style>
  <w:style w:type="character" w:customStyle="1" w:styleId="EmailStyle469">
    <w:name w:val="EmailStyle469"/>
    <w:basedOn w:val="DefaultParagraphFont"/>
    <w:semiHidden/>
    <w:rsid w:val="00496814"/>
    <w:rPr>
      <w:rFonts w:ascii="Arial" w:hAnsi="Arial" w:cs="Arial"/>
      <w:color w:val="000080"/>
      <w:sz w:val="20"/>
    </w:rPr>
  </w:style>
  <w:style w:type="character" w:customStyle="1" w:styleId="EmailStyle470">
    <w:name w:val="EmailStyle470"/>
    <w:basedOn w:val="DefaultParagraphFont"/>
    <w:semiHidden/>
    <w:rsid w:val="00496814"/>
    <w:rPr>
      <w:rFonts w:ascii="Arial" w:hAnsi="Arial" w:cs="Arial"/>
      <w:color w:val="993366"/>
      <w:sz w:val="20"/>
    </w:rPr>
  </w:style>
  <w:style w:type="character" w:customStyle="1" w:styleId="EmailStyle471">
    <w:name w:val="EmailStyle471"/>
    <w:basedOn w:val="DefaultParagraphFont"/>
    <w:semiHidden/>
    <w:rsid w:val="00496814"/>
    <w:rPr>
      <w:rFonts w:ascii="Arial" w:hAnsi="Arial" w:cs="Arial"/>
      <w:color w:val="000080"/>
      <w:sz w:val="20"/>
    </w:rPr>
  </w:style>
  <w:style w:type="character" w:customStyle="1" w:styleId="EmailStyle472">
    <w:name w:val="EmailStyle472"/>
    <w:basedOn w:val="DefaultParagraphFont"/>
    <w:semiHidden/>
    <w:rsid w:val="00496814"/>
    <w:rPr>
      <w:rFonts w:ascii="Arial" w:hAnsi="Arial" w:cs="Arial"/>
      <w:color w:val="993366"/>
      <w:sz w:val="20"/>
    </w:rPr>
  </w:style>
  <w:style w:type="character" w:customStyle="1" w:styleId="EmailStyle473">
    <w:name w:val="EmailStyle473"/>
    <w:basedOn w:val="DefaultParagraphFont"/>
    <w:semiHidden/>
    <w:rsid w:val="00496814"/>
    <w:rPr>
      <w:rFonts w:ascii="Arial" w:hAnsi="Arial" w:cs="Arial"/>
      <w:color w:val="000080"/>
      <w:sz w:val="20"/>
    </w:rPr>
  </w:style>
  <w:style w:type="character" w:customStyle="1" w:styleId="EmailStyle474">
    <w:name w:val="EmailStyle474"/>
    <w:basedOn w:val="DefaultParagraphFont"/>
    <w:semiHidden/>
    <w:rsid w:val="00496814"/>
    <w:rPr>
      <w:rFonts w:ascii="Arial" w:hAnsi="Arial" w:cs="Arial"/>
      <w:color w:val="993366"/>
      <w:sz w:val="20"/>
    </w:rPr>
  </w:style>
  <w:style w:type="character" w:customStyle="1" w:styleId="EmailStyle475">
    <w:name w:val="EmailStyle475"/>
    <w:basedOn w:val="DefaultParagraphFont"/>
    <w:semiHidden/>
    <w:rsid w:val="00496814"/>
    <w:rPr>
      <w:rFonts w:ascii="Arial" w:hAnsi="Arial" w:cs="Arial"/>
      <w:color w:val="000080"/>
      <w:sz w:val="20"/>
    </w:rPr>
  </w:style>
  <w:style w:type="character" w:customStyle="1" w:styleId="EmailStyle476">
    <w:name w:val="EmailStyle476"/>
    <w:basedOn w:val="DefaultParagraphFont"/>
    <w:semiHidden/>
    <w:rsid w:val="00496814"/>
    <w:rPr>
      <w:rFonts w:ascii="Arial" w:hAnsi="Arial" w:cs="Arial"/>
      <w:color w:val="993366"/>
      <w:sz w:val="20"/>
    </w:rPr>
  </w:style>
  <w:style w:type="character" w:customStyle="1" w:styleId="EmailStyle477">
    <w:name w:val="EmailStyle477"/>
    <w:basedOn w:val="DefaultParagraphFont"/>
    <w:semiHidden/>
    <w:rsid w:val="00496814"/>
    <w:rPr>
      <w:rFonts w:ascii="Arial" w:hAnsi="Arial" w:cs="Arial"/>
      <w:color w:val="000080"/>
      <w:sz w:val="20"/>
    </w:rPr>
  </w:style>
  <w:style w:type="character" w:customStyle="1" w:styleId="EmailStyle478">
    <w:name w:val="EmailStyle478"/>
    <w:basedOn w:val="DefaultParagraphFont"/>
    <w:semiHidden/>
    <w:rsid w:val="00496814"/>
    <w:rPr>
      <w:rFonts w:ascii="Arial" w:hAnsi="Arial" w:cs="Arial"/>
      <w:color w:val="993366"/>
      <w:sz w:val="20"/>
    </w:rPr>
  </w:style>
  <w:style w:type="character" w:customStyle="1" w:styleId="EmailStyle479">
    <w:name w:val="EmailStyle479"/>
    <w:basedOn w:val="DefaultParagraphFont"/>
    <w:semiHidden/>
    <w:rsid w:val="00496814"/>
    <w:rPr>
      <w:rFonts w:ascii="Arial" w:hAnsi="Arial" w:cs="Arial"/>
      <w:color w:val="000080"/>
      <w:sz w:val="20"/>
    </w:rPr>
  </w:style>
  <w:style w:type="character" w:customStyle="1" w:styleId="EmailStyle480">
    <w:name w:val="EmailStyle480"/>
    <w:basedOn w:val="DefaultParagraphFont"/>
    <w:semiHidden/>
    <w:rsid w:val="00496814"/>
    <w:rPr>
      <w:rFonts w:ascii="Arial" w:hAnsi="Arial" w:cs="Arial"/>
      <w:color w:val="993366"/>
      <w:sz w:val="20"/>
    </w:rPr>
  </w:style>
  <w:style w:type="character" w:customStyle="1" w:styleId="EmailStyle481">
    <w:name w:val="EmailStyle481"/>
    <w:basedOn w:val="DefaultParagraphFont"/>
    <w:semiHidden/>
    <w:rsid w:val="00496814"/>
    <w:rPr>
      <w:rFonts w:ascii="Arial" w:hAnsi="Arial" w:cs="Arial"/>
      <w:color w:val="000080"/>
      <w:sz w:val="20"/>
    </w:rPr>
  </w:style>
  <w:style w:type="character" w:customStyle="1" w:styleId="EmailStyle482">
    <w:name w:val="EmailStyle482"/>
    <w:basedOn w:val="DefaultParagraphFont"/>
    <w:semiHidden/>
    <w:rsid w:val="00496814"/>
    <w:rPr>
      <w:rFonts w:ascii="Arial" w:hAnsi="Arial" w:cs="Arial"/>
      <w:color w:val="993366"/>
      <w:sz w:val="20"/>
    </w:rPr>
  </w:style>
  <w:style w:type="character" w:customStyle="1" w:styleId="EmailStyle483">
    <w:name w:val="EmailStyle483"/>
    <w:basedOn w:val="DefaultParagraphFont"/>
    <w:semiHidden/>
    <w:rsid w:val="00496814"/>
    <w:rPr>
      <w:rFonts w:ascii="Arial" w:hAnsi="Arial" w:cs="Arial"/>
      <w:color w:val="000080"/>
      <w:sz w:val="20"/>
    </w:rPr>
  </w:style>
  <w:style w:type="character" w:customStyle="1" w:styleId="EmailStyle484">
    <w:name w:val="EmailStyle484"/>
    <w:basedOn w:val="DefaultParagraphFont"/>
    <w:semiHidden/>
    <w:rsid w:val="00496814"/>
    <w:rPr>
      <w:rFonts w:ascii="Arial" w:hAnsi="Arial" w:cs="Arial"/>
      <w:color w:val="993366"/>
      <w:sz w:val="20"/>
    </w:rPr>
  </w:style>
  <w:style w:type="character" w:customStyle="1" w:styleId="EmailStyle485">
    <w:name w:val="EmailStyle485"/>
    <w:basedOn w:val="DefaultParagraphFont"/>
    <w:semiHidden/>
    <w:rsid w:val="00496814"/>
    <w:rPr>
      <w:rFonts w:ascii="Arial" w:hAnsi="Arial" w:cs="Arial"/>
      <w:color w:val="000080"/>
      <w:sz w:val="20"/>
    </w:rPr>
  </w:style>
  <w:style w:type="character" w:customStyle="1" w:styleId="EmailStyle486">
    <w:name w:val="EmailStyle486"/>
    <w:basedOn w:val="DefaultParagraphFont"/>
    <w:semiHidden/>
    <w:rsid w:val="00496814"/>
    <w:rPr>
      <w:rFonts w:ascii="Arial" w:hAnsi="Arial" w:cs="Arial"/>
      <w:color w:val="993366"/>
      <w:sz w:val="20"/>
    </w:rPr>
  </w:style>
  <w:style w:type="character" w:customStyle="1" w:styleId="EmailStyle487">
    <w:name w:val="EmailStyle487"/>
    <w:basedOn w:val="DefaultParagraphFont"/>
    <w:semiHidden/>
    <w:rsid w:val="00496814"/>
    <w:rPr>
      <w:rFonts w:ascii="Arial" w:hAnsi="Arial" w:cs="Arial"/>
      <w:color w:val="000080"/>
      <w:sz w:val="20"/>
    </w:rPr>
  </w:style>
  <w:style w:type="character" w:customStyle="1" w:styleId="EmailStyle488">
    <w:name w:val="EmailStyle488"/>
    <w:basedOn w:val="DefaultParagraphFont"/>
    <w:semiHidden/>
    <w:rsid w:val="00496814"/>
    <w:rPr>
      <w:rFonts w:ascii="Arial" w:hAnsi="Arial" w:cs="Arial"/>
      <w:color w:val="993366"/>
      <w:sz w:val="20"/>
    </w:rPr>
  </w:style>
  <w:style w:type="character" w:customStyle="1" w:styleId="EmailStyle489">
    <w:name w:val="EmailStyle489"/>
    <w:basedOn w:val="DefaultParagraphFont"/>
    <w:semiHidden/>
    <w:rsid w:val="00496814"/>
    <w:rPr>
      <w:rFonts w:ascii="Arial" w:hAnsi="Arial" w:cs="Arial"/>
      <w:color w:val="000080"/>
      <w:sz w:val="20"/>
    </w:rPr>
  </w:style>
  <w:style w:type="character" w:customStyle="1" w:styleId="EmailStyle490">
    <w:name w:val="EmailStyle490"/>
    <w:basedOn w:val="DefaultParagraphFont"/>
    <w:semiHidden/>
    <w:rsid w:val="00496814"/>
    <w:rPr>
      <w:rFonts w:ascii="Arial" w:hAnsi="Arial" w:cs="Arial"/>
      <w:color w:val="993366"/>
      <w:sz w:val="20"/>
    </w:rPr>
  </w:style>
  <w:style w:type="character" w:customStyle="1" w:styleId="EmailStyle491">
    <w:name w:val="EmailStyle491"/>
    <w:basedOn w:val="DefaultParagraphFont"/>
    <w:semiHidden/>
    <w:rsid w:val="00496814"/>
    <w:rPr>
      <w:rFonts w:ascii="Arial" w:hAnsi="Arial" w:cs="Arial"/>
      <w:color w:val="000080"/>
      <w:sz w:val="20"/>
    </w:rPr>
  </w:style>
  <w:style w:type="character" w:customStyle="1" w:styleId="EmailStyle492">
    <w:name w:val="EmailStyle492"/>
    <w:basedOn w:val="DefaultParagraphFont"/>
    <w:semiHidden/>
    <w:rsid w:val="00496814"/>
    <w:rPr>
      <w:rFonts w:ascii="Arial" w:hAnsi="Arial" w:cs="Arial"/>
      <w:color w:val="993366"/>
      <w:sz w:val="20"/>
    </w:rPr>
  </w:style>
  <w:style w:type="character" w:customStyle="1" w:styleId="EmailStyle493">
    <w:name w:val="EmailStyle493"/>
    <w:basedOn w:val="DefaultParagraphFont"/>
    <w:semiHidden/>
    <w:rsid w:val="00496814"/>
    <w:rPr>
      <w:rFonts w:ascii="Arial" w:hAnsi="Arial" w:cs="Arial"/>
      <w:color w:val="000080"/>
      <w:sz w:val="20"/>
    </w:rPr>
  </w:style>
  <w:style w:type="character" w:customStyle="1" w:styleId="EmailStyle494">
    <w:name w:val="EmailStyle494"/>
    <w:basedOn w:val="DefaultParagraphFont"/>
    <w:semiHidden/>
    <w:rsid w:val="00496814"/>
    <w:rPr>
      <w:rFonts w:ascii="Arial" w:hAnsi="Arial" w:cs="Arial"/>
      <w:color w:val="993366"/>
      <w:sz w:val="20"/>
    </w:rPr>
  </w:style>
  <w:style w:type="character" w:customStyle="1" w:styleId="EmailStyle495">
    <w:name w:val="EmailStyle495"/>
    <w:basedOn w:val="DefaultParagraphFont"/>
    <w:semiHidden/>
    <w:rsid w:val="00496814"/>
    <w:rPr>
      <w:rFonts w:ascii="Arial" w:hAnsi="Arial" w:cs="Arial"/>
      <w:color w:val="000080"/>
      <w:sz w:val="20"/>
    </w:rPr>
  </w:style>
  <w:style w:type="character" w:customStyle="1" w:styleId="EmailStyle496">
    <w:name w:val="EmailStyle496"/>
    <w:basedOn w:val="DefaultParagraphFont"/>
    <w:semiHidden/>
    <w:rsid w:val="00496814"/>
    <w:rPr>
      <w:rFonts w:ascii="Arial" w:hAnsi="Arial" w:cs="Arial"/>
      <w:color w:val="993366"/>
      <w:sz w:val="20"/>
    </w:rPr>
  </w:style>
  <w:style w:type="character" w:customStyle="1" w:styleId="EmailStyle497">
    <w:name w:val="EmailStyle497"/>
    <w:basedOn w:val="DefaultParagraphFont"/>
    <w:semiHidden/>
    <w:rsid w:val="00496814"/>
    <w:rPr>
      <w:rFonts w:ascii="Arial" w:hAnsi="Arial" w:cs="Arial"/>
      <w:color w:val="000080"/>
      <w:sz w:val="20"/>
    </w:rPr>
  </w:style>
  <w:style w:type="character" w:customStyle="1" w:styleId="EmailStyle498">
    <w:name w:val="EmailStyle498"/>
    <w:basedOn w:val="DefaultParagraphFont"/>
    <w:semiHidden/>
    <w:rsid w:val="00496814"/>
    <w:rPr>
      <w:rFonts w:ascii="Arial" w:hAnsi="Arial" w:cs="Arial"/>
      <w:color w:val="993366"/>
      <w:sz w:val="20"/>
    </w:rPr>
  </w:style>
  <w:style w:type="character" w:customStyle="1" w:styleId="EmailStyle499">
    <w:name w:val="EmailStyle499"/>
    <w:basedOn w:val="DefaultParagraphFont"/>
    <w:semiHidden/>
    <w:rsid w:val="00496814"/>
    <w:rPr>
      <w:rFonts w:ascii="Arial" w:hAnsi="Arial" w:cs="Arial"/>
      <w:color w:val="000080"/>
      <w:sz w:val="20"/>
    </w:rPr>
  </w:style>
  <w:style w:type="character" w:customStyle="1" w:styleId="EmailStyle500">
    <w:name w:val="EmailStyle500"/>
    <w:basedOn w:val="DefaultParagraphFont"/>
    <w:semiHidden/>
    <w:rsid w:val="00496814"/>
    <w:rPr>
      <w:rFonts w:ascii="Arial" w:hAnsi="Arial" w:cs="Arial"/>
      <w:color w:val="993366"/>
      <w:sz w:val="20"/>
    </w:rPr>
  </w:style>
  <w:style w:type="character" w:customStyle="1" w:styleId="EmailStyle501">
    <w:name w:val="EmailStyle501"/>
    <w:basedOn w:val="DefaultParagraphFont"/>
    <w:semiHidden/>
    <w:rsid w:val="00496814"/>
    <w:rPr>
      <w:rFonts w:ascii="Arial" w:hAnsi="Arial" w:cs="Arial"/>
      <w:color w:val="000080"/>
      <w:sz w:val="20"/>
    </w:rPr>
  </w:style>
  <w:style w:type="character" w:customStyle="1" w:styleId="EmailStyle502">
    <w:name w:val="EmailStyle502"/>
    <w:basedOn w:val="DefaultParagraphFont"/>
    <w:semiHidden/>
    <w:rsid w:val="00496814"/>
    <w:rPr>
      <w:rFonts w:ascii="Arial" w:hAnsi="Arial" w:cs="Arial"/>
      <w:color w:val="993366"/>
      <w:sz w:val="20"/>
    </w:rPr>
  </w:style>
  <w:style w:type="character" w:customStyle="1" w:styleId="EmailStyle503">
    <w:name w:val="EmailStyle503"/>
    <w:basedOn w:val="DefaultParagraphFont"/>
    <w:semiHidden/>
    <w:rsid w:val="00496814"/>
    <w:rPr>
      <w:rFonts w:ascii="Arial" w:hAnsi="Arial" w:cs="Arial"/>
      <w:color w:val="000080"/>
      <w:sz w:val="20"/>
    </w:rPr>
  </w:style>
  <w:style w:type="character" w:customStyle="1" w:styleId="EmailStyle504">
    <w:name w:val="EmailStyle504"/>
    <w:basedOn w:val="DefaultParagraphFont"/>
    <w:semiHidden/>
    <w:rsid w:val="00496814"/>
    <w:rPr>
      <w:rFonts w:ascii="Arial" w:hAnsi="Arial" w:cs="Arial"/>
      <w:color w:val="993366"/>
      <w:sz w:val="20"/>
    </w:rPr>
  </w:style>
  <w:style w:type="character" w:customStyle="1" w:styleId="EmailStyle505">
    <w:name w:val="EmailStyle505"/>
    <w:basedOn w:val="DefaultParagraphFont"/>
    <w:semiHidden/>
    <w:rsid w:val="00496814"/>
    <w:rPr>
      <w:rFonts w:ascii="Arial" w:hAnsi="Arial" w:cs="Arial"/>
      <w:color w:val="000080"/>
      <w:sz w:val="20"/>
    </w:rPr>
  </w:style>
  <w:style w:type="character" w:customStyle="1" w:styleId="EmailStyle506">
    <w:name w:val="EmailStyle506"/>
    <w:basedOn w:val="DefaultParagraphFont"/>
    <w:semiHidden/>
    <w:rsid w:val="00496814"/>
    <w:rPr>
      <w:rFonts w:ascii="Arial" w:hAnsi="Arial" w:cs="Arial"/>
      <w:color w:val="993366"/>
      <w:sz w:val="20"/>
    </w:rPr>
  </w:style>
  <w:style w:type="character" w:customStyle="1" w:styleId="EmailStyle507">
    <w:name w:val="EmailStyle507"/>
    <w:basedOn w:val="DefaultParagraphFont"/>
    <w:semiHidden/>
    <w:rsid w:val="00496814"/>
    <w:rPr>
      <w:rFonts w:ascii="Arial" w:hAnsi="Arial" w:cs="Arial"/>
      <w:color w:val="000080"/>
      <w:sz w:val="20"/>
    </w:rPr>
  </w:style>
  <w:style w:type="character" w:customStyle="1" w:styleId="EmailStyle508">
    <w:name w:val="EmailStyle508"/>
    <w:basedOn w:val="DefaultParagraphFont"/>
    <w:semiHidden/>
    <w:rsid w:val="00496814"/>
    <w:rPr>
      <w:rFonts w:ascii="Arial" w:hAnsi="Arial" w:cs="Arial"/>
      <w:color w:val="993366"/>
      <w:sz w:val="20"/>
    </w:rPr>
  </w:style>
  <w:style w:type="character" w:customStyle="1" w:styleId="EmailStyle509">
    <w:name w:val="EmailStyle509"/>
    <w:basedOn w:val="DefaultParagraphFont"/>
    <w:semiHidden/>
    <w:rsid w:val="00496814"/>
    <w:rPr>
      <w:rFonts w:ascii="Arial" w:hAnsi="Arial" w:cs="Arial"/>
      <w:color w:val="000080"/>
      <w:sz w:val="20"/>
    </w:rPr>
  </w:style>
  <w:style w:type="character" w:customStyle="1" w:styleId="EmailStyle510">
    <w:name w:val="EmailStyle510"/>
    <w:basedOn w:val="DefaultParagraphFont"/>
    <w:semiHidden/>
    <w:rsid w:val="00496814"/>
    <w:rPr>
      <w:rFonts w:ascii="Arial" w:hAnsi="Arial" w:cs="Arial"/>
      <w:color w:val="993366"/>
      <w:sz w:val="20"/>
    </w:rPr>
  </w:style>
  <w:style w:type="character" w:customStyle="1" w:styleId="EmailStyle511">
    <w:name w:val="EmailStyle511"/>
    <w:basedOn w:val="DefaultParagraphFont"/>
    <w:semiHidden/>
    <w:rsid w:val="00496814"/>
    <w:rPr>
      <w:rFonts w:ascii="Arial" w:hAnsi="Arial" w:cs="Arial"/>
      <w:color w:val="000080"/>
      <w:sz w:val="20"/>
    </w:rPr>
  </w:style>
  <w:style w:type="character" w:customStyle="1" w:styleId="EmailStyle512">
    <w:name w:val="EmailStyle512"/>
    <w:basedOn w:val="DefaultParagraphFont"/>
    <w:semiHidden/>
    <w:rsid w:val="00496814"/>
    <w:rPr>
      <w:rFonts w:ascii="Arial" w:hAnsi="Arial" w:cs="Arial"/>
      <w:color w:val="000080"/>
      <w:sz w:val="20"/>
    </w:rPr>
  </w:style>
  <w:style w:type="character" w:customStyle="1" w:styleId="EmailStyle513">
    <w:name w:val="EmailStyle513"/>
    <w:basedOn w:val="DefaultParagraphFont"/>
    <w:semiHidden/>
    <w:rsid w:val="00496814"/>
    <w:rPr>
      <w:rFonts w:ascii="Arial" w:hAnsi="Arial" w:cs="Arial"/>
      <w:color w:val="993366"/>
      <w:sz w:val="20"/>
    </w:rPr>
  </w:style>
  <w:style w:type="character" w:customStyle="1" w:styleId="EmailStyle514">
    <w:name w:val="EmailStyle514"/>
    <w:basedOn w:val="DefaultParagraphFont"/>
    <w:semiHidden/>
    <w:rsid w:val="00496814"/>
    <w:rPr>
      <w:rFonts w:ascii="Arial" w:hAnsi="Arial" w:cs="Arial"/>
      <w:color w:val="000080"/>
      <w:sz w:val="20"/>
    </w:rPr>
  </w:style>
  <w:style w:type="character" w:customStyle="1" w:styleId="EmailStyle515">
    <w:name w:val="EmailStyle515"/>
    <w:basedOn w:val="DefaultParagraphFont"/>
    <w:semiHidden/>
    <w:rsid w:val="00496814"/>
    <w:rPr>
      <w:rFonts w:ascii="Arial" w:hAnsi="Arial" w:cs="Arial"/>
      <w:color w:val="993366"/>
      <w:sz w:val="20"/>
    </w:rPr>
  </w:style>
  <w:style w:type="character" w:customStyle="1" w:styleId="EmailStyle516">
    <w:name w:val="EmailStyle516"/>
    <w:basedOn w:val="DefaultParagraphFont"/>
    <w:semiHidden/>
    <w:rsid w:val="00496814"/>
    <w:rPr>
      <w:rFonts w:ascii="Arial" w:hAnsi="Arial" w:cs="Arial"/>
      <w:color w:val="000080"/>
      <w:sz w:val="20"/>
    </w:rPr>
  </w:style>
  <w:style w:type="character" w:customStyle="1" w:styleId="EmailStyle517">
    <w:name w:val="EmailStyle517"/>
    <w:basedOn w:val="DefaultParagraphFont"/>
    <w:semiHidden/>
    <w:rsid w:val="00496814"/>
    <w:rPr>
      <w:rFonts w:ascii="Arial" w:hAnsi="Arial" w:cs="Arial"/>
      <w:color w:val="000080"/>
      <w:sz w:val="20"/>
    </w:rPr>
  </w:style>
  <w:style w:type="character" w:customStyle="1" w:styleId="EmailStyle518">
    <w:name w:val="EmailStyle518"/>
    <w:basedOn w:val="DefaultParagraphFont"/>
    <w:semiHidden/>
    <w:rsid w:val="00496814"/>
    <w:rPr>
      <w:rFonts w:ascii="Arial" w:hAnsi="Arial" w:cs="Arial"/>
      <w:color w:val="993366"/>
      <w:sz w:val="20"/>
    </w:rPr>
  </w:style>
  <w:style w:type="character" w:customStyle="1" w:styleId="EmailStyle519">
    <w:name w:val="EmailStyle519"/>
    <w:basedOn w:val="DefaultParagraphFont"/>
    <w:semiHidden/>
    <w:rsid w:val="00496814"/>
    <w:rPr>
      <w:rFonts w:ascii="Arial" w:hAnsi="Arial" w:cs="Arial"/>
      <w:color w:val="000080"/>
      <w:sz w:val="20"/>
    </w:rPr>
  </w:style>
  <w:style w:type="character" w:customStyle="1" w:styleId="EmailStyle520">
    <w:name w:val="EmailStyle520"/>
    <w:basedOn w:val="DefaultParagraphFont"/>
    <w:semiHidden/>
    <w:rsid w:val="00496814"/>
    <w:rPr>
      <w:rFonts w:ascii="Arial" w:hAnsi="Arial" w:cs="Arial"/>
      <w:color w:val="993366"/>
      <w:sz w:val="20"/>
    </w:rPr>
  </w:style>
  <w:style w:type="character" w:customStyle="1" w:styleId="EmailStyle521">
    <w:name w:val="EmailStyle521"/>
    <w:basedOn w:val="DefaultParagraphFont"/>
    <w:semiHidden/>
    <w:rsid w:val="00496814"/>
    <w:rPr>
      <w:rFonts w:ascii="Arial" w:hAnsi="Arial" w:cs="Arial"/>
      <w:color w:val="000080"/>
      <w:sz w:val="20"/>
    </w:rPr>
  </w:style>
  <w:style w:type="character" w:customStyle="1" w:styleId="EmailStyle522">
    <w:name w:val="EmailStyle522"/>
    <w:basedOn w:val="DefaultParagraphFont"/>
    <w:semiHidden/>
    <w:rsid w:val="00496814"/>
    <w:rPr>
      <w:rFonts w:ascii="Arial" w:hAnsi="Arial" w:cs="Arial"/>
      <w:color w:val="000080"/>
      <w:sz w:val="20"/>
    </w:rPr>
  </w:style>
  <w:style w:type="character" w:customStyle="1" w:styleId="EmailStyle523">
    <w:name w:val="EmailStyle523"/>
    <w:basedOn w:val="DefaultParagraphFont"/>
    <w:semiHidden/>
    <w:rsid w:val="00496814"/>
    <w:rPr>
      <w:rFonts w:ascii="Arial" w:hAnsi="Arial" w:cs="Arial"/>
      <w:color w:val="993366"/>
      <w:sz w:val="20"/>
    </w:rPr>
  </w:style>
  <w:style w:type="character" w:customStyle="1" w:styleId="EmailStyle524">
    <w:name w:val="EmailStyle524"/>
    <w:basedOn w:val="DefaultParagraphFont"/>
    <w:semiHidden/>
    <w:rsid w:val="00496814"/>
    <w:rPr>
      <w:rFonts w:ascii="Arial" w:hAnsi="Arial" w:cs="Arial"/>
      <w:color w:val="000080"/>
      <w:sz w:val="20"/>
    </w:rPr>
  </w:style>
  <w:style w:type="character" w:customStyle="1" w:styleId="EmailStyle525">
    <w:name w:val="EmailStyle525"/>
    <w:basedOn w:val="DefaultParagraphFont"/>
    <w:semiHidden/>
    <w:rsid w:val="00496814"/>
    <w:rPr>
      <w:rFonts w:ascii="Arial" w:hAnsi="Arial" w:cs="Arial"/>
      <w:color w:val="993366"/>
      <w:sz w:val="20"/>
    </w:rPr>
  </w:style>
  <w:style w:type="character" w:customStyle="1" w:styleId="EmailStyle526">
    <w:name w:val="EmailStyle526"/>
    <w:basedOn w:val="DefaultParagraphFont"/>
    <w:semiHidden/>
    <w:rsid w:val="00496814"/>
    <w:rPr>
      <w:rFonts w:ascii="Arial" w:hAnsi="Arial" w:cs="Arial"/>
      <w:color w:val="000080"/>
      <w:sz w:val="20"/>
    </w:rPr>
  </w:style>
  <w:style w:type="character" w:customStyle="1" w:styleId="EmailStyle527">
    <w:name w:val="EmailStyle527"/>
    <w:basedOn w:val="DefaultParagraphFont"/>
    <w:semiHidden/>
    <w:rsid w:val="00496814"/>
    <w:rPr>
      <w:rFonts w:ascii="Arial" w:hAnsi="Arial" w:cs="Arial"/>
      <w:color w:val="000080"/>
      <w:sz w:val="20"/>
    </w:rPr>
  </w:style>
  <w:style w:type="character" w:customStyle="1" w:styleId="EmailStyle528">
    <w:name w:val="EmailStyle528"/>
    <w:basedOn w:val="DefaultParagraphFont"/>
    <w:semiHidden/>
    <w:rsid w:val="00496814"/>
    <w:rPr>
      <w:rFonts w:ascii="Arial" w:hAnsi="Arial" w:cs="Arial"/>
      <w:color w:val="993366"/>
      <w:sz w:val="20"/>
    </w:rPr>
  </w:style>
  <w:style w:type="character" w:customStyle="1" w:styleId="EmailStyle529">
    <w:name w:val="EmailStyle529"/>
    <w:basedOn w:val="DefaultParagraphFont"/>
    <w:semiHidden/>
    <w:rsid w:val="00496814"/>
    <w:rPr>
      <w:rFonts w:ascii="Arial" w:hAnsi="Arial" w:cs="Arial"/>
      <w:color w:val="000080"/>
      <w:sz w:val="20"/>
    </w:rPr>
  </w:style>
  <w:style w:type="character" w:customStyle="1" w:styleId="EmailStyle530">
    <w:name w:val="EmailStyle530"/>
    <w:basedOn w:val="DefaultParagraphFont"/>
    <w:semiHidden/>
    <w:rsid w:val="00496814"/>
    <w:rPr>
      <w:rFonts w:ascii="Arial" w:hAnsi="Arial" w:cs="Arial"/>
      <w:color w:val="000080"/>
      <w:sz w:val="20"/>
    </w:rPr>
  </w:style>
  <w:style w:type="character" w:customStyle="1" w:styleId="EmailStyle531">
    <w:name w:val="EmailStyle531"/>
    <w:basedOn w:val="DefaultParagraphFont"/>
    <w:semiHidden/>
    <w:rsid w:val="00496814"/>
    <w:rPr>
      <w:rFonts w:ascii="Arial" w:hAnsi="Arial" w:cs="Arial"/>
      <w:color w:val="000080"/>
      <w:sz w:val="20"/>
    </w:rPr>
  </w:style>
  <w:style w:type="character" w:customStyle="1" w:styleId="EmailStyle532">
    <w:name w:val="EmailStyle532"/>
    <w:basedOn w:val="DefaultParagraphFont"/>
    <w:semiHidden/>
    <w:rsid w:val="00496814"/>
    <w:rPr>
      <w:rFonts w:ascii="Arial" w:hAnsi="Arial" w:cs="Arial"/>
      <w:color w:val="993366"/>
      <w:sz w:val="20"/>
    </w:rPr>
  </w:style>
  <w:style w:type="character" w:customStyle="1" w:styleId="EmailStyle533">
    <w:name w:val="EmailStyle533"/>
    <w:basedOn w:val="DefaultParagraphFont"/>
    <w:semiHidden/>
    <w:rsid w:val="00496814"/>
    <w:rPr>
      <w:rFonts w:ascii="Arial" w:hAnsi="Arial" w:cs="Arial"/>
      <w:color w:val="993366"/>
      <w:sz w:val="20"/>
    </w:rPr>
  </w:style>
  <w:style w:type="character" w:customStyle="1" w:styleId="EmailStyle534">
    <w:name w:val="EmailStyle534"/>
    <w:basedOn w:val="DefaultParagraphFont"/>
    <w:semiHidden/>
    <w:rsid w:val="00496814"/>
    <w:rPr>
      <w:rFonts w:ascii="Arial" w:hAnsi="Arial" w:cs="Arial"/>
      <w:color w:val="993366"/>
      <w:sz w:val="20"/>
    </w:rPr>
  </w:style>
  <w:style w:type="character" w:customStyle="1" w:styleId="EmailStyle535">
    <w:name w:val="EmailStyle535"/>
    <w:basedOn w:val="DefaultParagraphFont"/>
    <w:semiHidden/>
    <w:rsid w:val="00496814"/>
    <w:rPr>
      <w:rFonts w:ascii="Arial" w:hAnsi="Arial" w:cs="Arial"/>
      <w:color w:val="993366"/>
      <w:sz w:val="20"/>
    </w:rPr>
  </w:style>
  <w:style w:type="character" w:customStyle="1" w:styleId="EmailStyle536">
    <w:name w:val="EmailStyle536"/>
    <w:basedOn w:val="DefaultParagraphFont"/>
    <w:semiHidden/>
    <w:rsid w:val="00496814"/>
    <w:rPr>
      <w:rFonts w:ascii="Arial" w:hAnsi="Arial" w:cs="Arial"/>
      <w:color w:val="993366"/>
      <w:sz w:val="20"/>
    </w:rPr>
  </w:style>
  <w:style w:type="character" w:customStyle="1" w:styleId="EmailStyle537">
    <w:name w:val="EmailStyle537"/>
    <w:basedOn w:val="DefaultParagraphFont"/>
    <w:semiHidden/>
    <w:rsid w:val="00496814"/>
    <w:rPr>
      <w:rFonts w:ascii="Arial" w:hAnsi="Arial" w:cs="Arial"/>
      <w:color w:val="993366"/>
      <w:sz w:val="20"/>
    </w:rPr>
  </w:style>
  <w:style w:type="character" w:customStyle="1" w:styleId="EmailStyle538">
    <w:name w:val="EmailStyle538"/>
    <w:basedOn w:val="DefaultParagraphFont"/>
    <w:semiHidden/>
    <w:rsid w:val="00496814"/>
    <w:rPr>
      <w:rFonts w:ascii="Arial" w:hAnsi="Arial" w:cs="Arial"/>
      <w:color w:val="993366"/>
      <w:sz w:val="20"/>
    </w:rPr>
  </w:style>
  <w:style w:type="character" w:customStyle="1" w:styleId="EmailStyle539">
    <w:name w:val="EmailStyle539"/>
    <w:basedOn w:val="DefaultParagraphFont"/>
    <w:semiHidden/>
    <w:rsid w:val="00496814"/>
    <w:rPr>
      <w:rFonts w:ascii="Arial" w:hAnsi="Arial" w:cs="Arial"/>
      <w:color w:val="993366"/>
      <w:sz w:val="20"/>
    </w:rPr>
  </w:style>
  <w:style w:type="character" w:customStyle="1" w:styleId="EmailStyle540">
    <w:name w:val="EmailStyle540"/>
    <w:basedOn w:val="DefaultParagraphFont"/>
    <w:semiHidden/>
    <w:rsid w:val="00496814"/>
    <w:rPr>
      <w:rFonts w:ascii="Arial" w:hAnsi="Arial" w:cs="Arial"/>
      <w:color w:val="993366"/>
      <w:sz w:val="20"/>
    </w:rPr>
  </w:style>
  <w:style w:type="character" w:customStyle="1" w:styleId="EmailStyle541">
    <w:name w:val="EmailStyle541"/>
    <w:basedOn w:val="DefaultParagraphFont"/>
    <w:semiHidden/>
    <w:rsid w:val="00496814"/>
    <w:rPr>
      <w:rFonts w:ascii="Arial" w:hAnsi="Arial" w:cs="Arial"/>
      <w:color w:val="993366"/>
      <w:sz w:val="20"/>
    </w:rPr>
  </w:style>
  <w:style w:type="character" w:customStyle="1" w:styleId="EmailStyle542">
    <w:name w:val="EmailStyle542"/>
    <w:basedOn w:val="DefaultParagraphFont"/>
    <w:semiHidden/>
    <w:rsid w:val="00496814"/>
    <w:rPr>
      <w:rFonts w:ascii="Arial" w:hAnsi="Arial" w:cs="Arial"/>
      <w:color w:val="000080"/>
      <w:sz w:val="20"/>
    </w:rPr>
  </w:style>
  <w:style w:type="character" w:customStyle="1" w:styleId="EmailStyle543">
    <w:name w:val="EmailStyle543"/>
    <w:basedOn w:val="DefaultParagraphFont"/>
    <w:semiHidden/>
    <w:rsid w:val="00496814"/>
    <w:rPr>
      <w:rFonts w:ascii="Arial" w:hAnsi="Arial" w:cs="Arial"/>
      <w:color w:val="993366"/>
      <w:sz w:val="20"/>
    </w:rPr>
  </w:style>
  <w:style w:type="character" w:customStyle="1" w:styleId="EmailStyle544">
    <w:name w:val="EmailStyle544"/>
    <w:basedOn w:val="DefaultParagraphFont"/>
    <w:semiHidden/>
    <w:rsid w:val="00496814"/>
    <w:rPr>
      <w:rFonts w:ascii="Arial" w:hAnsi="Arial" w:cs="Arial"/>
      <w:color w:val="000080"/>
      <w:sz w:val="20"/>
    </w:rPr>
  </w:style>
  <w:style w:type="character" w:customStyle="1" w:styleId="EmailStyle545">
    <w:name w:val="EmailStyle545"/>
    <w:basedOn w:val="DefaultParagraphFont"/>
    <w:semiHidden/>
    <w:rsid w:val="00496814"/>
    <w:rPr>
      <w:rFonts w:ascii="Arial" w:hAnsi="Arial" w:cs="Arial"/>
      <w:color w:val="993366"/>
      <w:sz w:val="20"/>
    </w:rPr>
  </w:style>
  <w:style w:type="character" w:customStyle="1" w:styleId="EmailStyle546">
    <w:name w:val="EmailStyle546"/>
    <w:basedOn w:val="DefaultParagraphFont"/>
    <w:semiHidden/>
    <w:rsid w:val="00496814"/>
    <w:rPr>
      <w:rFonts w:ascii="Arial" w:hAnsi="Arial" w:cs="Arial"/>
      <w:color w:val="000080"/>
      <w:sz w:val="20"/>
    </w:rPr>
  </w:style>
  <w:style w:type="character" w:customStyle="1" w:styleId="EmailStyle547">
    <w:name w:val="EmailStyle547"/>
    <w:basedOn w:val="DefaultParagraphFont"/>
    <w:semiHidden/>
    <w:rsid w:val="00496814"/>
    <w:rPr>
      <w:rFonts w:ascii="Arial" w:hAnsi="Arial" w:cs="Arial"/>
      <w:color w:val="993366"/>
      <w:sz w:val="20"/>
    </w:rPr>
  </w:style>
  <w:style w:type="character" w:customStyle="1" w:styleId="EmailStyle548">
    <w:name w:val="EmailStyle548"/>
    <w:basedOn w:val="DefaultParagraphFont"/>
    <w:semiHidden/>
    <w:rsid w:val="00496814"/>
    <w:rPr>
      <w:rFonts w:ascii="Arial" w:hAnsi="Arial" w:cs="Arial"/>
      <w:color w:val="000080"/>
      <w:sz w:val="20"/>
    </w:rPr>
  </w:style>
  <w:style w:type="character" w:customStyle="1" w:styleId="EmailStyle549">
    <w:name w:val="EmailStyle549"/>
    <w:basedOn w:val="DefaultParagraphFont"/>
    <w:semiHidden/>
    <w:rsid w:val="00496814"/>
    <w:rPr>
      <w:rFonts w:ascii="Arial" w:hAnsi="Arial" w:cs="Arial"/>
      <w:color w:val="993366"/>
      <w:sz w:val="20"/>
    </w:rPr>
  </w:style>
  <w:style w:type="character" w:customStyle="1" w:styleId="EmailStyle550">
    <w:name w:val="EmailStyle550"/>
    <w:basedOn w:val="DefaultParagraphFont"/>
    <w:semiHidden/>
    <w:rsid w:val="00496814"/>
    <w:rPr>
      <w:rFonts w:ascii="Arial" w:hAnsi="Arial" w:cs="Arial"/>
      <w:color w:val="000080"/>
      <w:sz w:val="20"/>
    </w:rPr>
  </w:style>
  <w:style w:type="character" w:customStyle="1" w:styleId="EmailStyle551">
    <w:name w:val="EmailStyle551"/>
    <w:basedOn w:val="DefaultParagraphFont"/>
    <w:semiHidden/>
    <w:rsid w:val="00496814"/>
    <w:rPr>
      <w:rFonts w:ascii="Arial" w:hAnsi="Arial" w:cs="Arial"/>
      <w:color w:val="993366"/>
      <w:sz w:val="20"/>
    </w:rPr>
  </w:style>
  <w:style w:type="character" w:customStyle="1" w:styleId="EmailStyle552">
    <w:name w:val="EmailStyle552"/>
    <w:basedOn w:val="DefaultParagraphFont"/>
    <w:semiHidden/>
    <w:rsid w:val="00496814"/>
    <w:rPr>
      <w:rFonts w:ascii="Arial" w:hAnsi="Arial" w:cs="Arial"/>
      <w:color w:val="000080"/>
      <w:sz w:val="20"/>
    </w:rPr>
  </w:style>
  <w:style w:type="character" w:customStyle="1" w:styleId="EmailStyle553">
    <w:name w:val="EmailStyle553"/>
    <w:basedOn w:val="DefaultParagraphFont"/>
    <w:semiHidden/>
    <w:rsid w:val="00496814"/>
    <w:rPr>
      <w:rFonts w:ascii="Arial" w:hAnsi="Arial" w:cs="Arial"/>
      <w:color w:val="993366"/>
      <w:sz w:val="20"/>
    </w:rPr>
  </w:style>
  <w:style w:type="character" w:customStyle="1" w:styleId="EmailStyle554">
    <w:name w:val="EmailStyle554"/>
    <w:basedOn w:val="DefaultParagraphFont"/>
    <w:semiHidden/>
    <w:rsid w:val="00496814"/>
    <w:rPr>
      <w:rFonts w:ascii="Arial" w:hAnsi="Arial" w:cs="Arial"/>
      <w:color w:val="000080"/>
      <w:sz w:val="20"/>
    </w:rPr>
  </w:style>
  <w:style w:type="character" w:customStyle="1" w:styleId="EmailStyle555">
    <w:name w:val="EmailStyle555"/>
    <w:basedOn w:val="DefaultParagraphFont"/>
    <w:semiHidden/>
    <w:rsid w:val="00496814"/>
    <w:rPr>
      <w:rFonts w:ascii="Arial" w:hAnsi="Arial" w:cs="Arial"/>
      <w:color w:val="993366"/>
      <w:sz w:val="20"/>
    </w:rPr>
  </w:style>
  <w:style w:type="character" w:customStyle="1" w:styleId="EmailStyle556">
    <w:name w:val="EmailStyle556"/>
    <w:basedOn w:val="DefaultParagraphFont"/>
    <w:semiHidden/>
    <w:rsid w:val="00496814"/>
    <w:rPr>
      <w:rFonts w:ascii="Arial" w:hAnsi="Arial" w:cs="Arial"/>
      <w:color w:val="000080"/>
      <w:sz w:val="20"/>
    </w:rPr>
  </w:style>
  <w:style w:type="character" w:customStyle="1" w:styleId="EmailStyle557">
    <w:name w:val="EmailStyle557"/>
    <w:basedOn w:val="DefaultParagraphFont"/>
    <w:semiHidden/>
    <w:rsid w:val="00496814"/>
    <w:rPr>
      <w:rFonts w:ascii="Arial" w:hAnsi="Arial" w:cs="Arial"/>
      <w:color w:val="993366"/>
      <w:sz w:val="20"/>
    </w:rPr>
  </w:style>
  <w:style w:type="character" w:customStyle="1" w:styleId="EmailStyle558">
    <w:name w:val="EmailStyle558"/>
    <w:basedOn w:val="DefaultParagraphFont"/>
    <w:semiHidden/>
    <w:rsid w:val="00496814"/>
    <w:rPr>
      <w:rFonts w:ascii="Arial" w:hAnsi="Arial" w:cs="Arial"/>
      <w:color w:val="000080"/>
      <w:sz w:val="20"/>
    </w:rPr>
  </w:style>
  <w:style w:type="character" w:customStyle="1" w:styleId="EmailStyle559">
    <w:name w:val="EmailStyle559"/>
    <w:basedOn w:val="DefaultParagraphFont"/>
    <w:semiHidden/>
    <w:rsid w:val="00496814"/>
    <w:rPr>
      <w:rFonts w:ascii="Arial" w:hAnsi="Arial" w:cs="Arial"/>
      <w:color w:val="993366"/>
      <w:sz w:val="20"/>
    </w:rPr>
  </w:style>
  <w:style w:type="character" w:customStyle="1" w:styleId="EmailStyle560">
    <w:name w:val="EmailStyle560"/>
    <w:basedOn w:val="DefaultParagraphFont"/>
    <w:semiHidden/>
    <w:rsid w:val="00496814"/>
    <w:rPr>
      <w:rFonts w:ascii="Arial" w:hAnsi="Arial" w:cs="Arial"/>
      <w:color w:val="000080"/>
      <w:sz w:val="20"/>
    </w:rPr>
  </w:style>
  <w:style w:type="character" w:customStyle="1" w:styleId="EmailStyle561">
    <w:name w:val="EmailStyle561"/>
    <w:basedOn w:val="DefaultParagraphFont"/>
    <w:semiHidden/>
    <w:rsid w:val="00496814"/>
    <w:rPr>
      <w:rFonts w:ascii="Arial" w:hAnsi="Arial" w:cs="Arial"/>
      <w:color w:val="993366"/>
      <w:sz w:val="20"/>
    </w:rPr>
  </w:style>
  <w:style w:type="character" w:customStyle="1" w:styleId="EmailStyle562">
    <w:name w:val="EmailStyle562"/>
    <w:basedOn w:val="DefaultParagraphFont"/>
    <w:semiHidden/>
    <w:rsid w:val="00496814"/>
    <w:rPr>
      <w:rFonts w:ascii="Arial" w:hAnsi="Arial" w:cs="Arial"/>
      <w:color w:val="000080"/>
      <w:sz w:val="20"/>
    </w:rPr>
  </w:style>
  <w:style w:type="character" w:customStyle="1" w:styleId="EmailStyle563">
    <w:name w:val="EmailStyle563"/>
    <w:basedOn w:val="DefaultParagraphFont"/>
    <w:semiHidden/>
    <w:rsid w:val="00496814"/>
    <w:rPr>
      <w:rFonts w:ascii="Arial" w:hAnsi="Arial" w:cs="Arial"/>
      <w:color w:val="993366"/>
      <w:sz w:val="20"/>
    </w:rPr>
  </w:style>
  <w:style w:type="character" w:customStyle="1" w:styleId="EmailStyle564">
    <w:name w:val="EmailStyle564"/>
    <w:basedOn w:val="DefaultParagraphFont"/>
    <w:semiHidden/>
    <w:rsid w:val="00496814"/>
    <w:rPr>
      <w:rFonts w:ascii="Arial" w:hAnsi="Arial" w:cs="Arial"/>
      <w:color w:val="000080"/>
      <w:sz w:val="20"/>
    </w:rPr>
  </w:style>
  <w:style w:type="character" w:customStyle="1" w:styleId="EmailStyle565">
    <w:name w:val="EmailStyle565"/>
    <w:basedOn w:val="DefaultParagraphFont"/>
    <w:semiHidden/>
    <w:rsid w:val="00496814"/>
    <w:rPr>
      <w:rFonts w:ascii="Arial" w:hAnsi="Arial" w:cs="Arial"/>
      <w:color w:val="993366"/>
      <w:sz w:val="20"/>
    </w:rPr>
  </w:style>
  <w:style w:type="character" w:customStyle="1" w:styleId="EmailStyle566">
    <w:name w:val="EmailStyle566"/>
    <w:basedOn w:val="DefaultParagraphFont"/>
    <w:semiHidden/>
    <w:rsid w:val="00496814"/>
    <w:rPr>
      <w:rFonts w:ascii="Arial" w:hAnsi="Arial" w:cs="Arial"/>
      <w:color w:val="000080"/>
      <w:sz w:val="20"/>
    </w:rPr>
  </w:style>
  <w:style w:type="character" w:customStyle="1" w:styleId="EmailStyle567">
    <w:name w:val="EmailStyle567"/>
    <w:basedOn w:val="DefaultParagraphFont"/>
    <w:semiHidden/>
    <w:rsid w:val="00496814"/>
    <w:rPr>
      <w:rFonts w:ascii="Arial" w:hAnsi="Arial" w:cs="Arial"/>
      <w:color w:val="993366"/>
      <w:sz w:val="20"/>
    </w:rPr>
  </w:style>
  <w:style w:type="character" w:customStyle="1" w:styleId="EmailStyle568">
    <w:name w:val="EmailStyle568"/>
    <w:basedOn w:val="DefaultParagraphFont"/>
    <w:semiHidden/>
    <w:rsid w:val="00496814"/>
    <w:rPr>
      <w:rFonts w:ascii="Arial" w:hAnsi="Arial" w:cs="Arial"/>
      <w:color w:val="000080"/>
      <w:sz w:val="20"/>
    </w:rPr>
  </w:style>
  <w:style w:type="character" w:customStyle="1" w:styleId="EmailStyle569">
    <w:name w:val="EmailStyle569"/>
    <w:basedOn w:val="DefaultParagraphFont"/>
    <w:semiHidden/>
    <w:rsid w:val="00496814"/>
    <w:rPr>
      <w:rFonts w:ascii="Arial" w:hAnsi="Arial" w:cs="Arial"/>
      <w:color w:val="993366"/>
      <w:sz w:val="20"/>
    </w:rPr>
  </w:style>
  <w:style w:type="character" w:customStyle="1" w:styleId="EmailStyle570">
    <w:name w:val="EmailStyle570"/>
    <w:basedOn w:val="DefaultParagraphFont"/>
    <w:semiHidden/>
    <w:rsid w:val="00496814"/>
    <w:rPr>
      <w:rFonts w:ascii="Arial" w:hAnsi="Arial" w:cs="Arial"/>
      <w:color w:val="000080"/>
      <w:sz w:val="20"/>
    </w:rPr>
  </w:style>
  <w:style w:type="character" w:customStyle="1" w:styleId="EmailStyle571">
    <w:name w:val="EmailStyle571"/>
    <w:basedOn w:val="DefaultParagraphFont"/>
    <w:semiHidden/>
    <w:rsid w:val="00496814"/>
    <w:rPr>
      <w:rFonts w:ascii="Arial" w:hAnsi="Arial" w:cs="Arial"/>
      <w:color w:val="993366"/>
      <w:sz w:val="20"/>
    </w:rPr>
  </w:style>
  <w:style w:type="character" w:customStyle="1" w:styleId="EmailStyle572">
    <w:name w:val="EmailStyle572"/>
    <w:basedOn w:val="DefaultParagraphFont"/>
    <w:semiHidden/>
    <w:rsid w:val="00496814"/>
    <w:rPr>
      <w:rFonts w:ascii="Arial" w:hAnsi="Arial" w:cs="Arial"/>
      <w:color w:val="000080"/>
      <w:sz w:val="20"/>
    </w:rPr>
  </w:style>
  <w:style w:type="character" w:customStyle="1" w:styleId="EmailStyle573">
    <w:name w:val="EmailStyle573"/>
    <w:basedOn w:val="DefaultParagraphFont"/>
    <w:semiHidden/>
    <w:rsid w:val="00496814"/>
    <w:rPr>
      <w:rFonts w:ascii="Arial" w:hAnsi="Arial" w:cs="Arial"/>
      <w:color w:val="993366"/>
      <w:sz w:val="20"/>
    </w:rPr>
  </w:style>
  <w:style w:type="character" w:customStyle="1" w:styleId="EmailStyle574">
    <w:name w:val="EmailStyle574"/>
    <w:basedOn w:val="DefaultParagraphFont"/>
    <w:semiHidden/>
    <w:rsid w:val="00496814"/>
    <w:rPr>
      <w:rFonts w:ascii="Arial" w:hAnsi="Arial" w:cs="Arial"/>
      <w:color w:val="000080"/>
      <w:sz w:val="20"/>
    </w:rPr>
  </w:style>
  <w:style w:type="character" w:customStyle="1" w:styleId="EmailStyle575">
    <w:name w:val="EmailStyle575"/>
    <w:basedOn w:val="DefaultParagraphFont"/>
    <w:semiHidden/>
    <w:rsid w:val="00496814"/>
    <w:rPr>
      <w:rFonts w:ascii="Arial" w:hAnsi="Arial" w:cs="Arial"/>
      <w:color w:val="993366"/>
      <w:sz w:val="20"/>
    </w:rPr>
  </w:style>
  <w:style w:type="character" w:customStyle="1" w:styleId="EmailStyle576">
    <w:name w:val="EmailStyle576"/>
    <w:basedOn w:val="DefaultParagraphFont"/>
    <w:semiHidden/>
    <w:rsid w:val="00496814"/>
    <w:rPr>
      <w:rFonts w:ascii="Arial" w:hAnsi="Arial" w:cs="Arial"/>
      <w:color w:val="000080"/>
      <w:sz w:val="20"/>
    </w:rPr>
  </w:style>
  <w:style w:type="character" w:customStyle="1" w:styleId="EmailStyle577">
    <w:name w:val="EmailStyle577"/>
    <w:basedOn w:val="DefaultParagraphFont"/>
    <w:semiHidden/>
    <w:rsid w:val="00496814"/>
    <w:rPr>
      <w:rFonts w:ascii="Arial" w:hAnsi="Arial" w:cs="Arial"/>
      <w:color w:val="993366"/>
      <w:sz w:val="20"/>
    </w:rPr>
  </w:style>
  <w:style w:type="character" w:customStyle="1" w:styleId="EmailStyle578">
    <w:name w:val="EmailStyle578"/>
    <w:basedOn w:val="DefaultParagraphFont"/>
    <w:semiHidden/>
    <w:rsid w:val="00496814"/>
    <w:rPr>
      <w:rFonts w:ascii="Arial" w:hAnsi="Arial" w:cs="Arial"/>
      <w:color w:val="000080"/>
      <w:sz w:val="20"/>
    </w:rPr>
  </w:style>
  <w:style w:type="character" w:customStyle="1" w:styleId="EmailStyle579">
    <w:name w:val="EmailStyle579"/>
    <w:basedOn w:val="DefaultParagraphFont"/>
    <w:semiHidden/>
    <w:rsid w:val="00496814"/>
    <w:rPr>
      <w:rFonts w:ascii="Arial" w:hAnsi="Arial" w:cs="Arial"/>
      <w:color w:val="993366"/>
      <w:sz w:val="20"/>
    </w:rPr>
  </w:style>
  <w:style w:type="character" w:customStyle="1" w:styleId="EmailStyle580">
    <w:name w:val="EmailStyle580"/>
    <w:basedOn w:val="DefaultParagraphFont"/>
    <w:semiHidden/>
    <w:rsid w:val="00496814"/>
    <w:rPr>
      <w:rFonts w:ascii="Arial" w:hAnsi="Arial" w:cs="Arial"/>
      <w:color w:val="000080"/>
      <w:sz w:val="20"/>
    </w:rPr>
  </w:style>
  <w:style w:type="character" w:customStyle="1" w:styleId="EmailStyle581">
    <w:name w:val="EmailStyle581"/>
    <w:basedOn w:val="DefaultParagraphFont"/>
    <w:semiHidden/>
    <w:rsid w:val="00496814"/>
    <w:rPr>
      <w:rFonts w:ascii="Arial" w:hAnsi="Arial" w:cs="Arial"/>
      <w:color w:val="993366"/>
      <w:sz w:val="20"/>
    </w:rPr>
  </w:style>
  <w:style w:type="character" w:customStyle="1" w:styleId="EmailStyle582">
    <w:name w:val="EmailStyle582"/>
    <w:basedOn w:val="DefaultParagraphFont"/>
    <w:semiHidden/>
    <w:rsid w:val="00496814"/>
    <w:rPr>
      <w:rFonts w:ascii="Arial" w:hAnsi="Arial" w:cs="Arial"/>
      <w:color w:val="000080"/>
      <w:sz w:val="20"/>
    </w:rPr>
  </w:style>
  <w:style w:type="character" w:customStyle="1" w:styleId="EmailStyle583">
    <w:name w:val="EmailStyle583"/>
    <w:basedOn w:val="DefaultParagraphFont"/>
    <w:semiHidden/>
    <w:rsid w:val="00496814"/>
    <w:rPr>
      <w:rFonts w:ascii="Arial" w:hAnsi="Arial" w:cs="Arial"/>
      <w:color w:val="993366"/>
      <w:sz w:val="20"/>
    </w:rPr>
  </w:style>
  <w:style w:type="character" w:customStyle="1" w:styleId="EmailStyle584">
    <w:name w:val="EmailStyle584"/>
    <w:basedOn w:val="DefaultParagraphFont"/>
    <w:semiHidden/>
    <w:rsid w:val="00496814"/>
    <w:rPr>
      <w:rFonts w:ascii="Arial" w:hAnsi="Arial" w:cs="Arial"/>
      <w:color w:val="000080"/>
      <w:sz w:val="20"/>
    </w:rPr>
  </w:style>
  <w:style w:type="character" w:customStyle="1" w:styleId="EmailStyle585">
    <w:name w:val="EmailStyle585"/>
    <w:basedOn w:val="DefaultParagraphFont"/>
    <w:semiHidden/>
    <w:rsid w:val="00496814"/>
    <w:rPr>
      <w:rFonts w:ascii="Arial" w:hAnsi="Arial" w:cs="Arial"/>
      <w:color w:val="993366"/>
      <w:sz w:val="20"/>
    </w:rPr>
  </w:style>
  <w:style w:type="character" w:customStyle="1" w:styleId="EmailStyle586">
    <w:name w:val="EmailStyle586"/>
    <w:basedOn w:val="DefaultParagraphFont"/>
    <w:semiHidden/>
    <w:rsid w:val="00496814"/>
    <w:rPr>
      <w:rFonts w:ascii="Arial" w:hAnsi="Arial" w:cs="Arial"/>
      <w:color w:val="000080"/>
      <w:sz w:val="20"/>
    </w:rPr>
  </w:style>
  <w:style w:type="character" w:customStyle="1" w:styleId="EmailStyle587">
    <w:name w:val="EmailStyle587"/>
    <w:basedOn w:val="DefaultParagraphFont"/>
    <w:semiHidden/>
    <w:rsid w:val="00496814"/>
    <w:rPr>
      <w:rFonts w:ascii="Arial" w:hAnsi="Arial" w:cs="Arial"/>
      <w:color w:val="993366"/>
      <w:sz w:val="20"/>
    </w:rPr>
  </w:style>
  <w:style w:type="character" w:customStyle="1" w:styleId="EmailStyle588">
    <w:name w:val="EmailStyle588"/>
    <w:basedOn w:val="DefaultParagraphFont"/>
    <w:semiHidden/>
    <w:rsid w:val="00496814"/>
    <w:rPr>
      <w:rFonts w:ascii="Arial" w:hAnsi="Arial" w:cs="Arial"/>
      <w:color w:val="000080"/>
      <w:sz w:val="20"/>
    </w:rPr>
  </w:style>
  <w:style w:type="character" w:customStyle="1" w:styleId="EmailStyle589">
    <w:name w:val="EmailStyle589"/>
    <w:basedOn w:val="DefaultParagraphFont"/>
    <w:semiHidden/>
    <w:rsid w:val="00496814"/>
    <w:rPr>
      <w:rFonts w:ascii="Arial" w:hAnsi="Arial" w:cs="Arial"/>
      <w:color w:val="993366"/>
      <w:sz w:val="20"/>
    </w:rPr>
  </w:style>
  <w:style w:type="character" w:customStyle="1" w:styleId="EmailStyle590">
    <w:name w:val="EmailStyle590"/>
    <w:basedOn w:val="DefaultParagraphFont"/>
    <w:semiHidden/>
    <w:rsid w:val="00496814"/>
    <w:rPr>
      <w:rFonts w:ascii="Arial" w:hAnsi="Arial" w:cs="Arial"/>
      <w:color w:val="000080"/>
      <w:sz w:val="20"/>
    </w:rPr>
  </w:style>
  <w:style w:type="character" w:customStyle="1" w:styleId="EmailStyle591">
    <w:name w:val="EmailStyle591"/>
    <w:basedOn w:val="DefaultParagraphFont"/>
    <w:semiHidden/>
    <w:rsid w:val="00496814"/>
    <w:rPr>
      <w:rFonts w:ascii="Arial" w:hAnsi="Arial" w:cs="Arial"/>
      <w:color w:val="993366"/>
      <w:sz w:val="20"/>
    </w:rPr>
  </w:style>
  <w:style w:type="character" w:customStyle="1" w:styleId="EmailStyle592">
    <w:name w:val="EmailStyle592"/>
    <w:basedOn w:val="DefaultParagraphFont"/>
    <w:semiHidden/>
    <w:rsid w:val="00496814"/>
    <w:rPr>
      <w:rFonts w:ascii="Arial" w:hAnsi="Arial" w:cs="Arial"/>
      <w:color w:val="000080"/>
      <w:sz w:val="20"/>
    </w:rPr>
  </w:style>
  <w:style w:type="character" w:customStyle="1" w:styleId="EmailStyle593">
    <w:name w:val="EmailStyle593"/>
    <w:basedOn w:val="DefaultParagraphFont"/>
    <w:semiHidden/>
    <w:rsid w:val="00496814"/>
    <w:rPr>
      <w:rFonts w:ascii="Arial" w:hAnsi="Arial" w:cs="Arial"/>
      <w:color w:val="993366"/>
      <w:sz w:val="20"/>
    </w:rPr>
  </w:style>
  <w:style w:type="character" w:customStyle="1" w:styleId="EmailStyle594">
    <w:name w:val="EmailStyle594"/>
    <w:basedOn w:val="DefaultParagraphFont"/>
    <w:semiHidden/>
    <w:rsid w:val="00496814"/>
    <w:rPr>
      <w:rFonts w:ascii="Arial" w:hAnsi="Arial" w:cs="Arial"/>
      <w:color w:val="000080"/>
      <w:sz w:val="20"/>
    </w:rPr>
  </w:style>
  <w:style w:type="character" w:customStyle="1" w:styleId="EmailStyle595">
    <w:name w:val="EmailStyle595"/>
    <w:basedOn w:val="DefaultParagraphFont"/>
    <w:semiHidden/>
    <w:rsid w:val="00496814"/>
    <w:rPr>
      <w:rFonts w:ascii="Arial" w:hAnsi="Arial" w:cs="Arial"/>
      <w:color w:val="993366"/>
      <w:sz w:val="20"/>
    </w:rPr>
  </w:style>
  <w:style w:type="character" w:customStyle="1" w:styleId="EmailStyle596">
    <w:name w:val="EmailStyle596"/>
    <w:basedOn w:val="DefaultParagraphFont"/>
    <w:semiHidden/>
    <w:rsid w:val="00496814"/>
    <w:rPr>
      <w:rFonts w:ascii="Arial" w:hAnsi="Arial" w:cs="Arial"/>
      <w:color w:val="000080"/>
      <w:sz w:val="20"/>
    </w:rPr>
  </w:style>
  <w:style w:type="character" w:customStyle="1" w:styleId="EmailStyle597">
    <w:name w:val="EmailStyle597"/>
    <w:basedOn w:val="DefaultParagraphFont"/>
    <w:semiHidden/>
    <w:rsid w:val="00496814"/>
    <w:rPr>
      <w:rFonts w:ascii="Arial" w:hAnsi="Arial" w:cs="Arial"/>
      <w:color w:val="993366"/>
      <w:sz w:val="20"/>
    </w:rPr>
  </w:style>
  <w:style w:type="character" w:customStyle="1" w:styleId="EmailStyle598">
    <w:name w:val="EmailStyle598"/>
    <w:basedOn w:val="DefaultParagraphFont"/>
    <w:semiHidden/>
    <w:rsid w:val="00496814"/>
    <w:rPr>
      <w:rFonts w:ascii="Arial" w:hAnsi="Arial" w:cs="Arial"/>
      <w:color w:val="000080"/>
      <w:sz w:val="20"/>
    </w:rPr>
  </w:style>
  <w:style w:type="character" w:customStyle="1" w:styleId="EmailStyle599">
    <w:name w:val="EmailStyle599"/>
    <w:basedOn w:val="DefaultParagraphFont"/>
    <w:semiHidden/>
    <w:rsid w:val="00496814"/>
    <w:rPr>
      <w:rFonts w:ascii="Arial" w:hAnsi="Arial" w:cs="Arial"/>
      <w:color w:val="993366"/>
      <w:sz w:val="20"/>
    </w:rPr>
  </w:style>
  <w:style w:type="character" w:customStyle="1" w:styleId="EmailStyle600">
    <w:name w:val="EmailStyle600"/>
    <w:basedOn w:val="DefaultParagraphFont"/>
    <w:semiHidden/>
    <w:rsid w:val="00496814"/>
    <w:rPr>
      <w:rFonts w:ascii="Arial" w:hAnsi="Arial" w:cs="Arial"/>
      <w:color w:val="000080"/>
      <w:sz w:val="20"/>
    </w:rPr>
  </w:style>
  <w:style w:type="character" w:customStyle="1" w:styleId="EmailStyle601">
    <w:name w:val="EmailStyle601"/>
    <w:basedOn w:val="DefaultParagraphFont"/>
    <w:semiHidden/>
    <w:rsid w:val="00496814"/>
    <w:rPr>
      <w:rFonts w:ascii="Arial" w:hAnsi="Arial" w:cs="Arial"/>
      <w:color w:val="993366"/>
      <w:sz w:val="20"/>
    </w:rPr>
  </w:style>
  <w:style w:type="character" w:customStyle="1" w:styleId="EmailStyle602">
    <w:name w:val="EmailStyle602"/>
    <w:basedOn w:val="DefaultParagraphFont"/>
    <w:semiHidden/>
    <w:rsid w:val="00496814"/>
    <w:rPr>
      <w:rFonts w:ascii="Arial" w:hAnsi="Arial" w:cs="Arial"/>
      <w:color w:val="000080"/>
      <w:sz w:val="20"/>
    </w:rPr>
  </w:style>
  <w:style w:type="character" w:customStyle="1" w:styleId="EmailStyle603">
    <w:name w:val="EmailStyle603"/>
    <w:basedOn w:val="DefaultParagraphFont"/>
    <w:semiHidden/>
    <w:rsid w:val="00496814"/>
    <w:rPr>
      <w:rFonts w:ascii="Arial" w:hAnsi="Arial" w:cs="Arial"/>
      <w:color w:val="993366"/>
      <w:sz w:val="20"/>
    </w:rPr>
  </w:style>
  <w:style w:type="character" w:customStyle="1" w:styleId="EmailStyle604">
    <w:name w:val="EmailStyle604"/>
    <w:basedOn w:val="DefaultParagraphFont"/>
    <w:semiHidden/>
    <w:rsid w:val="00496814"/>
    <w:rPr>
      <w:rFonts w:ascii="Arial" w:hAnsi="Arial" w:cs="Arial"/>
      <w:color w:val="000080"/>
      <w:sz w:val="20"/>
    </w:rPr>
  </w:style>
  <w:style w:type="character" w:customStyle="1" w:styleId="EmailStyle605">
    <w:name w:val="EmailStyle605"/>
    <w:basedOn w:val="DefaultParagraphFont"/>
    <w:semiHidden/>
    <w:rsid w:val="00496814"/>
    <w:rPr>
      <w:rFonts w:ascii="Arial" w:hAnsi="Arial" w:cs="Arial"/>
      <w:color w:val="000080"/>
      <w:sz w:val="20"/>
    </w:rPr>
  </w:style>
  <w:style w:type="character" w:customStyle="1" w:styleId="EmailStyle606">
    <w:name w:val="EmailStyle606"/>
    <w:basedOn w:val="DefaultParagraphFont"/>
    <w:semiHidden/>
    <w:rsid w:val="00496814"/>
    <w:rPr>
      <w:rFonts w:ascii="Arial" w:hAnsi="Arial" w:cs="Arial"/>
      <w:color w:val="993366"/>
      <w:sz w:val="20"/>
    </w:rPr>
  </w:style>
  <w:style w:type="character" w:customStyle="1" w:styleId="EmailStyle607">
    <w:name w:val="EmailStyle607"/>
    <w:basedOn w:val="DefaultParagraphFont"/>
    <w:semiHidden/>
    <w:rsid w:val="00496814"/>
    <w:rPr>
      <w:rFonts w:ascii="Arial" w:hAnsi="Arial" w:cs="Arial"/>
      <w:color w:val="000080"/>
      <w:sz w:val="20"/>
    </w:rPr>
  </w:style>
  <w:style w:type="character" w:customStyle="1" w:styleId="EmailStyle608">
    <w:name w:val="EmailStyle608"/>
    <w:basedOn w:val="DefaultParagraphFont"/>
    <w:semiHidden/>
    <w:rsid w:val="00496814"/>
    <w:rPr>
      <w:rFonts w:ascii="Arial" w:hAnsi="Arial" w:cs="Arial"/>
      <w:color w:val="993366"/>
      <w:sz w:val="20"/>
    </w:rPr>
  </w:style>
  <w:style w:type="character" w:customStyle="1" w:styleId="EmailStyle609">
    <w:name w:val="EmailStyle609"/>
    <w:basedOn w:val="DefaultParagraphFont"/>
    <w:semiHidden/>
    <w:rsid w:val="00496814"/>
    <w:rPr>
      <w:rFonts w:ascii="Arial" w:hAnsi="Arial" w:cs="Arial"/>
      <w:color w:val="000080"/>
      <w:sz w:val="20"/>
    </w:rPr>
  </w:style>
  <w:style w:type="character" w:customStyle="1" w:styleId="EmailStyle610">
    <w:name w:val="EmailStyle610"/>
    <w:basedOn w:val="DefaultParagraphFont"/>
    <w:semiHidden/>
    <w:rsid w:val="00496814"/>
    <w:rPr>
      <w:rFonts w:ascii="Arial" w:hAnsi="Arial" w:cs="Arial"/>
      <w:color w:val="000080"/>
      <w:sz w:val="20"/>
    </w:rPr>
  </w:style>
  <w:style w:type="character" w:customStyle="1" w:styleId="EmailStyle611">
    <w:name w:val="EmailStyle611"/>
    <w:basedOn w:val="DefaultParagraphFont"/>
    <w:semiHidden/>
    <w:rsid w:val="00496814"/>
    <w:rPr>
      <w:rFonts w:ascii="Arial" w:hAnsi="Arial" w:cs="Arial"/>
      <w:color w:val="993366"/>
      <w:sz w:val="20"/>
    </w:rPr>
  </w:style>
  <w:style w:type="character" w:customStyle="1" w:styleId="EmailStyle612">
    <w:name w:val="EmailStyle612"/>
    <w:basedOn w:val="DefaultParagraphFont"/>
    <w:semiHidden/>
    <w:rsid w:val="00496814"/>
    <w:rPr>
      <w:rFonts w:ascii="Arial" w:hAnsi="Arial" w:cs="Arial"/>
      <w:color w:val="000080"/>
      <w:sz w:val="20"/>
    </w:rPr>
  </w:style>
  <w:style w:type="character" w:customStyle="1" w:styleId="EmailStyle613">
    <w:name w:val="EmailStyle613"/>
    <w:basedOn w:val="DefaultParagraphFont"/>
    <w:semiHidden/>
    <w:rsid w:val="00496814"/>
    <w:rPr>
      <w:rFonts w:ascii="Arial" w:hAnsi="Arial" w:cs="Arial"/>
      <w:color w:val="993366"/>
      <w:sz w:val="20"/>
    </w:rPr>
  </w:style>
  <w:style w:type="character" w:customStyle="1" w:styleId="EmailStyle614">
    <w:name w:val="EmailStyle614"/>
    <w:basedOn w:val="DefaultParagraphFont"/>
    <w:semiHidden/>
    <w:rsid w:val="00496814"/>
    <w:rPr>
      <w:rFonts w:ascii="Arial" w:hAnsi="Arial" w:cs="Arial"/>
      <w:color w:val="000080"/>
      <w:sz w:val="20"/>
    </w:rPr>
  </w:style>
  <w:style w:type="character" w:customStyle="1" w:styleId="EmailStyle615">
    <w:name w:val="EmailStyle615"/>
    <w:basedOn w:val="DefaultParagraphFont"/>
    <w:semiHidden/>
    <w:rsid w:val="00496814"/>
    <w:rPr>
      <w:rFonts w:ascii="Arial" w:hAnsi="Arial" w:cs="Arial"/>
      <w:color w:val="000080"/>
      <w:sz w:val="20"/>
    </w:rPr>
  </w:style>
  <w:style w:type="character" w:customStyle="1" w:styleId="EmailStyle616">
    <w:name w:val="EmailStyle616"/>
    <w:basedOn w:val="DefaultParagraphFont"/>
    <w:semiHidden/>
    <w:rsid w:val="00496814"/>
    <w:rPr>
      <w:rFonts w:ascii="Arial" w:hAnsi="Arial" w:cs="Arial"/>
      <w:color w:val="993366"/>
      <w:sz w:val="20"/>
    </w:rPr>
  </w:style>
  <w:style w:type="character" w:customStyle="1" w:styleId="EmailStyle617">
    <w:name w:val="EmailStyle617"/>
    <w:basedOn w:val="DefaultParagraphFont"/>
    <w:semiHidden/>
    <w:rsid w:val="00496814"/>
    <w:rPr>
      <w:rFonts w:ascii="Arial" w:hAnsi="Arial" w:cs="Arial"/>
      <w:color w:val="000080"/>
      <w:sz w:val="20"/>
    </w:rPr>
  </w:style>
  <w:style w:type="character" w:customStyle="1" w:styleId="EmailStyle618">
    <w:name w:val="EmailStyle618"/>
    <w:basedOn w:val="DefaultParagraphFont"/>
    <w:semiHidden/>
    <w:rsid w:val="00496814"/>
    <w:rPr>
      <w:rFonts w:ascii="Arial" w:hAnsi="Arial" w:cs="Arial"/>
      <w:color w:val="993366"/>
      <w:sz w:val="20"/>
    </w:rPr>
  </w:style>
  <w:style w:type="character" w:customStyle="1" w:styleId="EmailStyle619">
    <w:name w:val="EmailStyle619"/>
    <w:basedOn w:val="DefaultParagraphFont"/>
    <w:semiHidden/>
    <w:rsid w:val="00496814"/>
    <w:rPr>
      <w:rFonts w:ascii="Arial" w:hAnsi="Arial" w:cs="Arial"/>
      <w:color w:val="000080"/>
      <w:sz w:val="20"/>
    </w:rPr>
  </w:style>
  <w:style w:type="character" w:customStyle="1" w:styleId="EmailStyle620">
    <w:name w:val="EmailStyle620"/>
    <w:basedOn w:val="DefaultParagraphFont"/>
    <w:semiHidden/>
    <w:rsid w:val="00496814"/>
    <w:rPr>
      <w:rFonts w:ascii="Arial" w:hAnsi="Arial" w:cs="Arial"/>
      <w:color w:val="000080"/>
      <w:sz w:val="20"/>
    </w:rPr>
  </w:style>
  <w:style w:type="character" w:customStyle="1" w:styleId="citation">
    <w:name w:val="citation"/>
    <w:basedOn w:val="DefaultParagraphFont"/>
    <w:rsid w:val="00496814"/>
  </w:style>
  <w:style w:type="character" w:customStyle="1" w:styleId="printonly">
    <w:name w:val="printonly"/>
    <w:basedOn w:val="DefaultParagraphFont"/>
    <w:rsid w:val="00496814"/>
  </w:style>
  <w:style w:type="character" w:customStyle="1" w:styleId="reference-accessdate">
    <w:name w:val="reference-accessdate"/>
    <w:basedOn w:val="DefaultParagraphFont"/>
    <w:rsid w:val="00496814"/>
  </w:style>
  <w:style w:type="character" w:customStyle="1" w:styleId="z3988">
    <w:name w:val="z3988"/>
    <w:basedOn w:val="DefaultParagraphFont"/>
    <w:rsid w:val="00496814"/>
  </w:style>
  <w:style w:type="character" w:customStyle="1" w:styleId="reference-text">
    <w:name w:val="reference-text"/>
    <w:basedOn w:val="DefaultParagraphFont"/>
    <w:rsid w:val="00496814"/>
  </w:style>
  <w:style w:type="table" w:customStyle="1" w:styleId="2012Style">
    <w:name w:val="2012 Style"/>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496814"/>
  </w:style>
  <w:style w:type="character" w:customStyle="1" w:styleId="truncatemore">
    <w:name w:val="truncate_more"/>
    <w:basedOn w:val="DefaultParagraphFont"/>
    <w:rsid w:val="00496814"/>
  </w:style>
  <w:style w:type="paragraph" w:customStyle="1" w:styleId="bodytext10">
    <w:name w:val="bodytext1"/>
    <w:basedOn w:val="Normal"/>
    <w:uiPriority w:val="99"/>
    <w:rsid w:val="00496814"/>
    <w:pPr>
      <w:spacing w:after="0" w:line="240" w:lineRule="auto"/>
    </w:pPr>
    <w:rPr>
      <w:rFonts w:ascii="Times New Roman" w:hAnsi="Times New Roman"/>
      <w:sz w:val="24"/>
      <w:szCs w:val="24"/>
    </w:rPr>
  </w:style>
  <w:style w:type="numbering" w:customStyle="1" w:styleId="NoList11">
    <w:name w:val="No List11"/>
    <w:next w:val="NoList"/>
    <w:uiPriority w:val="99"/>
    <w:semiHidden/>
    <w:unhideWhenUsed/>
    <w:rsid w:val="00496814"/>
  </w:style>
  <w:style w:type="numbering" w:customStyle="1" w:styleId="CurrentList11">
    <w:name w:val="Current List11"/>
    <w:rsid w:val="00496814"/>
  </w:style>
  <w:style w:type="table" w:customStyle="1" w:styleId="TableGrid1">
    <w:name w:val="Table Grid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496814"/>
  </w:style>
  <w:style w:type="table" w:customStyle="1" w:styleId="LightShading11">
    <w:name w:val="Light Shading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
    <w:name w:val="2012 2 table format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496814"/>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96814"/>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496814"/>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uiPriority w:val="99"/>
    <w:qFormat/>
    <w:rsid w:val="00496814"/>
    <w:pPr>
      <w:spacing w:after="100" w:line="240" w:lineRule="auto"/>
      <w:ind w:right="1440"/>
    </w:pPr>
    <w:rPr>
      <w:rFonts w:asciiTheme="minorHAnsi" w:hAnsiTheme="minorHAnsi" w:cstheme="minorBidi"/>
    </w:rPr>
  </w:style>
  <w:style w:type="paragraph" w:customStyle="1" w:styleId="REOText">
    <w:name w:val="REO Text"/>
    <w:basedOn w:val="Normal"/>
    <w:uiPriority w:val="99"/>
    <w:qFormat/>
    <w:rsid w:val="00496814"/>
    <w:pPr>
      <w:spacing w:after="100" w:line="240" w:lineRule="auto"/>
      <w:ind w:right="1440"/>
    </w:pPr>
    <w:rPr>
      <w:rFonts w:asciiTheme="minorHAnsi" w:hAnsiTheme="minorHAnsi" w:cstheme="minorBidi"/>
      <w:szCs w:val="22"/>
    </w:rPr>
  </w:style>
  <w:style w:type="paragraph" w:customStyle="1" w:styleId="REOHeader4">
    <w:name w:val="REO Header 4"/>
    <w:basedOn w:val="REOText"/>
    <w:uiPriority w:val="99"/>
    <w:qFormat/>
    <w:rsid w:val="00496814"/>
    <w:pPr>
      <w:spacing w:after="60"/>
    </w:pPr>
    <w:rPr>
      <w:i/>
      <w:sz w:val="24"/>
      <w:szCs w:val="24"/>
    </w:rPr>
  </w:style>
  <w:style w:type="paragraph" w:customStyle="1" w:styleId="REOBulletedlist">
    <w:name w:val="REO Bulleted list"/>
    <w:basedOn w:val="REOText"/>
    <w:uiPriority w:val="99"/>
    <w:qFormat/>
    <w:rsid w:val="00496814"/>
    <w:pPr>
      <w:numPr>
        <w:numId w:val="32"/>
      </w:numPr>
    </w:pPr>
  </w:style>
  <w:style w:type="character" w:customStyle="1" w:styleId="posted-on">
    <w:name w:val="posted-on"/>
    <w:basedOn w:val="DefaultParagraphFont"/>
    <w:rsid w:val="00496814"/>
  </w:style>
  <w:style w:type="paragraph" w:customStyle="1" w:styleId="Pa7">
    <w:name w:val="Pa7"/>
    <w:basedOn w:val="Normal"/>
    <w:next w:val="Normal"/>
    <w:uiPriority w:val="99"/>
    <w:rsid w:val="00496814"/>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496814"/>
  </w:style>
  <w:style w:type="character" w:customStyle="1" w:styleId="spelle">
    <w:name w:val="spelle"/>
    <w:basedOn w:val="DefaultParagraphFont"/>
    <w:rsid w:val="00496814"/>
  </w:style>
  <w:style w:type="character" w:customStyle="1" w:styleId="grame">
    <w:name w:val="grame"/>
    <w:basedOn w:val="DefaultParagraphFont"/>
    <w:rsid w:val="00496814"/>
  </w:style>
  <w:style w:type="numbering" w:customStyle="1" w:styleId="NoList2">
    <w:name w:val="No List2"/>
    <w:next w:val="NoList"/>
    <w:uiPriority w:val="99"/>
    <w:semiHidden/>
    <w:unhideWhenUsed/>
    <w:rsid w:val="00496814"/>
  </w:style>
  <w:style w:type="numbering" w:customStyle="1" w:styleId="CurrentList12">
    <w:name w:val="Current List12"/>
    <w:rsid w:val="00496814"/>
  </w:style>
  <w:style w:type="character" w:customStyle="1" w:styleId="Heading3Char4">
    <w:name w:val="Heading 3 Char4"/>
    <w:basedOn w:val="DefaultParagraphFont"/>
    <w:rsid w:val="00496814"/>
    <w:rPr>
      <w:rFonts w:asciiTheme="minorHAnsi" w:eastAsiaTheme="majorEastAsia" w:hAnsiTheme="minorHAnsi" w:cstheme="majorBidi"/>
      <w:b/>
      <w:bCs/>
      <w:color w:val="62777F" w:themeColor="text1"/>
    </w:rPr>
  </w:style>
  <w:style w:type="numbering" w:customStyle="1" w:styleId="BulletedList2">
    <w:name w:val="Bulleted List2"/>
    <w:rsid w:val="00496814"/>
  </w:style>
  <w:style w:type="numbering" w:customStyle="1" w:styleId="NoList111">
    <w:name w:val="No List111"/>
    <w:next w:val="NoList"/>
    <w:uiPriority w:val="99"/>
    <w:semiHidden/>
    <w:unhideWhenUsed/>
    <w:rsid w:val="00496814"/>
  </w:style>
  <w:style w:type="numbering" w:customStyle="1" w:styleId="CurrentList111">
    <w:name w:val="Current List111"/>
    <w:rsid w:val="00496814"/>
  </w:style>
  <w:style w:type="numbering" w:customStyle="1" w:styleId="BulletedList11">
    <w:name w:val="Bulleted List11"/>
    <w:rsid w:val="00496814"/>
  </w:style>
  <w:style w:type="character" w:customStyle="1" w:styleId="OUTLINE">
    <w:name w:val="OUTLINE"/>
    <w:basedOn w:val="DefaultParagraphFont"/>
    <w:uiPriority w:val="1"/>
    <w:qFormat/>
    <w:rsid w:val="00496814"/>
  </w:style>
  <w:style w:type="character" w:customStyle="1" w:styleId="Heading3Char3">
    <w:name w:val="Heading 3 Char3"/>
    <w:basedOn w:val="DefaultParagraphFont"/>
    <w:rsid w:val="00496814"/>
    <w:rPr>
      <w:rFonts w:ascii="Calibri" w:eastAsiaTheme="majorEastAsia" w:hAnsi="Calibri" w:cstheme="majorBidi"/>
      <w:b/>
      <w:bCs/>
    </w:rPr>
  </w:style>
  <w:style w:type="character" w:customStyle="1" w:styleId="Heading3Char5">
    <w:name w:val="Heading 3 Char5"/>
    <w:basedOn w:val="DefaultParagraphFont"/>
    <w:semiHidden/>
    <w:rsid w:val="00496814"/>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496814"/>
    <w:rPr>
      <w:rFonts w:ascii="Calibri" w:eastAsiaTheme="majorEastAsia" w:hAnsi="Calibri" w:cstheme="majorBidi"/>
      <w:b/>
      <w:bCs/>
    </w:rPr>
  </w:style>
  <w:style w:type="paragraph" w:customStyle="1" w:styleId="Bullet-Solid">
    <w:name w:val="Bullet-Solid"/>
    <w:basedOn w:val="Normal"/>
    <w:link w:val="Bullet-SolidChar"/>
    <w:qFormat/>
    <w:rsid w:val="00496814"/>
    <w:pPr>
      <w:spacing w:after="120"/>
      <w:ind w:left="720" w:hanging="360"/>
    </w:pPr>
    <w:rPr>
      <w:rFonts w:asciiTheme="minorHAnsi" w:hAnsiTheme="minorHAnsi" w:cstheme="minorBidi"/>
      <w:color w:val="000000"/>
      <w:sz w:val="22"/>
      <w:szCs w:val="22"/>
    </w:rPr>
  </w:style>
  <w:style w:type="numbering" w:customStyle="1" w:styleId="NoList3">
    <w:name w:val="No List3"/>
    <w:next w:val="NoList"/>
    <w:uiPriority w:val="99"/>
    <w:semiHidden/>
    <w:unhideWhenUsed/>
    <w:rsid w:val="00496814"/>
  </w:style>
  <w:style w:type="table" w:customStyle="1" w:styleId="TableGrid2">
    <w:name w:val="Table Grid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
    <w:name w:val="2012 2 table format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496814"/>
  </w:style>
  <w:style w:type="numbering" w:customStyle="1" w:styleId="CurrentList112">
    <w:name w:val="Current List112"/>
    <w:rsid w:val="00496814"/>
  </w:style>
  <w:style w:type="table" w:customStyle="1" w:styleId="TableGrid11">
    <w:name w:val="Table Grid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496814"/>
  </w:style>
  <w:style w:type="table" w:customStyle="1" w:styleId="LightShading111">
    <w:name w:val="Light Shading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
    <w:name w:val="2012 2 table format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496814"/>
  </w:style>
  <w:style w:type="table" w:customStyle="1" w:styleId="TableGrid3">
    <w:name w:val="Table Grid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
    <w:name w:val="2012 2 table format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496814"/>
  </w:style>
  <w:style w:type="numbering" w:customStyle="1" w:styleId="CurrentList113">
    <w:name w:val="Current List113"/>
    <w:rsid w:val="00496814"/>
  </w:style>
  <w:style w:type="table" w:customStyle="1" w:styleId="TableGrid12">
    <w:name w:val="Table Grid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496814"/>
  </w:style>
  <w:style w:type="table" w:customStyle="1" w:styleId="LightShading112">
    <w:name w:val="Light Shading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
    <w:name w:val="2012 2 table format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496814"/>
  </w:style>
  <w:style w:type="character" w:customStyle="1" w:styleId="Heading1Char3">
    <w:name w:val="Heading 1 Char3"/>
    <w:basedOn w:val="DefaultParagraphFont"/>
    <w:rsid w:val="00496814"/>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496814"/>
    <w:rPr>
      <w:rFonts w:ascii="Calibri" w:eastAsiaTheme="majorEastAsia" w:hAnsi="Calibri" w:cstheme="majorBidi"/>
      <w:b/>
      <w:bCs/>
    </w:rPr>
  </w:style>
  <w:style w:type="table" w:customStyle="1" w:styleId="TableGrid31">
    <w:name w:val="Table Grid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496814"/>
    <w:rPr>
      <w:rFonts w:ascii="Calibri" w:eastAsiaTheme="majorEastAsia" w:hAnsi="Calibri" w:cstheme="majorBidi"/>
      <w:b/>
      <w:bCs/>
      <w:color w:val="0070C0"/>
      <w:sz w:val="36"/>
      <w:szCs w:val="28"/>
    </w:rPr>
  </w:style>
  <w:style w:type="character" w:customStyle="1" w:styleId="Heading3Char9">
    <w:name w:val="Heading 3 Char9"/>
    <w:basedOn w:val="DefaultParagraphFont"/>
    <w:rsid w:val="00496814"/>
    <w:rPr>
      <w:rFonts w:ascii="Calibri" w:eastAsiaTheme="majorEastAsia" w:hAnsi="Calibri" w:cstheme="majorBidi"/>
      <w:b/>
      <w:bCs/>
    </w:rPr>
  </w:style>
  <w:style w:type="character" w:customStyle="1" w:styleId="Heading4Char2">
    <w:name w:val="Heading 4 Char2"/>
    <w:basedOn w:val="DefaultParagraphFont"/>
    <w:rsid w:val="00496814"/>
    <w:rPr>
      <w:rFonts w:ascii="Calibri" w:eastAsiaTheme="majorEastAsia" w:hAnsi="Calibri" w:cstheme="majorBidi"/>
      <w:bCs/>
      <w:i/>
      <w:iCs/>
    </w:rPr>
  </w:style>
  <w:style w:type="character" w:customStyle="1" w:styleId="Heading1Char5">
    <w:name w:val="Heading 1 Char5"/>
    <w:basedOn w:val="DefaultParagraphFont"/>
    <w:rsid w:val="00496814"/>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496814"/>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496814"/>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496814"/>
    <w:rPr>
      <w:rFonts w:ascii="Calibri" w:eastAsiaTheme="majorEastAsia" w:hAnsi="Calibri" w:cstheme="majorBidi"/>
      <w:bCs/>
      <w:i/>
      <w:iCs/>
    </w:rPr>
  </w:style>
  <w:style w:type="character" w:customStyle="1" w:styleId="Heading1Char6">
    <w:name w:val="Heading 1 Char6"/>
    <w:basedOn w:val="DefaultParagraphFont"/>
    <w:rsid w:val="0049681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496814"/>
    <w:rPr>
      <w:rFonts w:ascii="Calibri" w:eastAsiaTheme="majorEastAsia" w:hAnsi="Calibri" w:cstheme="majorBidi"/>
      <w:b/>
      <w:bCs/>
      <w:sz w:val="24"/>
      <w:szCs w:val="26"/>
    </w:rPr>
  </w:style>
  <w:style w:type="character" w:customStyle="1" w:styleId="Heading3Char11">
    <w:name w:val="Heading 3 Char11"/>
    <w:basedOn w:val="DefaultParagraphFont"/>
    <w:rsid w:val="0049681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496814"/>
    <w:rPr>
      <w:rFonts w:ascii="Calibri" w:eastAsiaTheme="majorEastAsia" w:hAnsi="Calibri" w:cstheme="majorBidi"/>
      <w:bCs/>
      <w:i/>
      <w:iCs/>
      <w:color w:val="62777F" w:themeColor="text1"/>
    </w:rPr>
  </w:style>
  <w:style w:type="character" w:customStyle="1" w:styleId="Heading2Char4">
    <w:name w:val="Heading 2 Char4"/>
    <w:basedOn w:val="DefaultParagraphFont"/>
    <w:rsid w:val="00496814"/>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496814"/>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496814"/>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496814"/>
    <w:pPr>
      <w:spacing w:after="120" w:line="240" w:lineRule="auto"/>
      <w:jc w:val="center"/>
    </w:pPr>
    <w:rPr>
      <w:rFonts w:ascii="Calibri" w:hAnsi="Calibri"/>
      <w:b/>
      <w:bCs/>
      <w:szCs w:val="18"/>
    </w:rPr>
  </w:style>
  <w:style w:type="character" w:customStyle="1" w:styleId="Heading2Char5">
    <w:name w:val="Heading 2 Char5"/>
    <w:basedOn w:val="DefaultParagraphFont"/>
    <w:rsid w:val="00496814"/>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496814"/>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496814"/>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496814"/>
    <w:rPr>
      <w:rFonts w:ascii="Calibri" w:eastAsiaTheme="majorEastAsia" w:hAnsi="Calibri" w:cstheme="majorBidi"/>
      <w:b/>
      <w:bCs/>
      <w:color w:val="62777F" w:themeColor="text1"/>
    </w:rPr>
  </w:style>
  <w:style w:type="numbering" w:customStyle="1" w:styleId="ISOReportStyle">
    <w:name w:val="ISO Report Style"/>
    <w:uiPriority w:val="99"/>
    <w:rsid w:val="00496814"/>
    <w:pPr>
      <w:numPr>
        <w:numId w:val="47"/>
      </w:numPr>
    </w:pPr>
  </w:style>
  <w:style w:type="character" w:customStyle="1" w:styleId="Heading2Char7">
    <w:name w:val="Heading 2 Char7"/>
    <w:basedOn w:val="DefaultParagraphFont"/>
    <w:rsid w:val="00496814"/>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496814"/>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496814"/>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496814"/>
    <w:rPr>
      <w:rFonts w:eastAsiaTheme="majorEastAsia" w:cstheme="majorBidi"/>
      <w:b/>
      <w:bCs/>
      <w:sz w:val="24"/>
      <w:szCs w:val="26"/>
    </w:rPr>
  </w:style>
  <w:style w:type="character" w:customStyle="1" w:styleId="Heading3Char15">
    <w:name w:val="Heading 3 Char15"/>
    <w:basedOn w:val="DefaultParagraphFont"/>
    <w:rsid w:val="00496814"/>
    <w:rPr>
      <w:rFonts w:eastAsiaTheme="majorEastAsia" w:cstheme="majorBidi"/>
      <w:b/>
      <w:bCs/>
    </w:rPr>
  </w:style>
  <w:style w:type="character" w:customStyle="1" w:styleId="Heading4Char8">
    <w:name w:val="Heading 4 Char8"/>
    <w:basedOn w:val="DefaultParagraphFont"/>
    <w:rsid w:val="00496814"/>
    <w:rPr>
      <w:rFonts w:asciiTheme="majorHAnsi" w:eastAsiaTheme="majorEastAsia" w:hAnsiTheme="majorHAnsi" w:cstheme="majorBidi"/>
      <w:bCs/>
      <w:i/>
      <w:iCs/>
    </w:rPr>
  </w:style>
  <w:style w:type="character" w:customStyle="1" w:styleId="Heading1Char8">
    <w:name w:val="Heading 1 Char8"/>
    <w:basedOn w:val="DefaultParagraphFont"/>
    <w:rsid w:val="00496814"/>
    <w:rPr>
      <w:rFonts w:eastAsiaTheme="majorEastAsia" w:cstheme="majorBidi"/>
      <w:b/>
      <w:bCs/>
      <w:color w:val="0070C0"/>
      <w:sz w:val="36"/>
      <w:szCs w:val="28"/>
    </w:rPr>
  </w:style>
  <w:style w:type="character" w:customStyle="1" w:styleId="Heading2Char9">
    <w:name w:val="Heading 2 Char9"/>
    <w:basedOn w:val="DefaultParagraphFont"/>
    <w:rsid w:val="00496814"/>
    <w:rPr>
      <w:rFonts w:eastAsiaTheme="majorEastAsia" w:cstheme="majorBidi"/>
      <w:b/>
      <w:bCs/>
      <w:sz w:val="24"/>
      <w:szCs w:val="26"/>
    </w:rPr>
  </w:style>
  <w:style w:type="character" w:customStyle="1" w:styleId="Heading3Char16">
    <w:name w:val="Heading 3 Char16"/>
    <w:basedOn w:val="DefaultParagraphFont"/>
    <w:rsid w:val="00496814"/>
    <w:rPr>
      <w:rFonts w:eastAsiaTheme="majorEastAsia" w:cstheme="majorBidi"/>
      <w:b/>
      <w:bCs/>
    </w:rPr>
  </w:style>
  <w:style w:type="character" w:customStyle="1" w:styleId="Heading4Char9">
    <w:name w:val="Heading 4 Char9"/>
    <w:basedOn w:val="DefaultParagraphFont"/>
    <w:rsid w:val="00496814"/>
    <w:rPr>
      <w:rFonts w:eastAsiaTheme="majorEastAsia" w:cstheme="majorBidi"/>
      <w:bCs/>
      <w:i/>
      <w:iCs/>
    </w:rPr>
  </w:style>
  <w:style w:type="character" w:customStyle="1" w:styleId="Heading1Char9">
    <w:name w:val="Heading 1 Char9"/>
    <w:basedOn w:val="DefaultParagraphFont"/>
    <w:rsid w:val="00496814"/>
    <w:rPr>
      <w:rFonts w:ascii="Calibri" w:eastAsiaTheme="majorEastAsia" w:hAnsi="Calibri" w:cstheme="majorBidi"/>
      <w:b/>
      <w:bCs/>
      <w:color w:val="1E6A9A"/>
      <w:sz w:val="44"/>
      <w:szCs w:val="28"/>
    </w:rPr>
  </w:style>
  <w:style w:type="character" w:customStyle="1" w:styleId="Heading2Char10">
    <w:name w:val="Heading 2 Char10"/>
    <w:basedOn w:val="DefaultParagraphFont"/>
    <w:rsid w:val="00496814"/>
    <w:rPr>
      <w:rFonts w:ascii="Calibri" w:eastAsiaTheme="majorEastAsia" w:hAnsi="Calibri" w:cstheme="majorBidi"/>
      <w:b/>
      <w:bCs/>
      <w:color w:val="8555A1"/>
      <w:sz w:val="40"/>
      <w:szCs w:val="26"/>
      <w14:ligatures w14:val="standardContextual"/>
      <w14:cntxtAlts/>
    </w:rPr>
  </w:style>
  <w:style w:type="character" w:customStyle="1" w:styleId="Heading3Char17">
    <w:name w:val="Heading 3 Char17"/>
    <w:basedOn w:val="DefaultParagraphFont"/>
    <w:rsid w:val="00496814"/>
    <w:rPr>
      <w:rFonts w:ascii="Calibri" w:eastAsiaTheme="majorEastAsia" w:hAnsi="Calibri" w:cstheme="majorBidi"/>
      <w:b/>
      <w:bCs/>
      <w:color w:val="1795D2"/>
      <w:sz w:val="36"/>
      <w:szCs w:val="20"/>
    </w:rPr>
  </w:style>
  <w:style w:type="character" w:customStyle="1" w:styleId="Heading4Char10">
    <w:name w:val="Heading 4 Char10"/>
    <w:basedOn w:val="DefaultParagraphFont"/>
    <w:rsid w:val="00496814"/>
    <w:rPr>
      <w:rFonts w:ascii="Calibri" w:eastAsiaTheme="majorEastAsia" w:hAnsi="Calibri" w:cstheme="majorBidi"/>
      <w:b/>
      <w:bCs/>
      <w:iCs/>
      <w:color w:val="1E6A9A"/>
      <w:sz w:val="32"/>
      <w:szCs w:val="20"/>
    </w:rPr>
  </w:style>
  <w:style w:type="numbering" w:customStyle="1" w:styleId="NoList5">
    <w:name w:val="No List5"/>
    <w:next w:val="NoList"/>
    <w:uiPriority w:val="99"/>
    <w:semiHidden/>
    <w:unhideWhenUsed/>
    <w:rsid w:val="00496814"/>
  </w:style>
  <w:style w:type="numbering" w:customStyle="1" w:styleId="CurrentList14">
    <w:name w:val="Current List14"/>
    <w:rsid w:val="00496814"/>
  </w:style>
  <w:style w:type="paragraph" w:styleId="TOC1">
    <w:name w:val="toc 1"/>
    <w:basedOn w:val="Normal"/>
    <w:next w:val="Normal"/>
    <w:autoRedefine/>
    <w:uiPriority w:val="39"/>
    <w:unhideWhenUsed/>
    <w:qFormat/>
    <w:rsid w:val="00496814"/>
    <w:pPr>
      <w:tabs>
        <w:tab w:val="right" w:leader="dot" w:pos="9360"/>
      </w:tabs>
      <w:spacing w:after="120" w:line="240" w:lineRule="auto"/>
    </w:pPr>
    <w:rPr>
      <w:rFonts w:ascii="Calibri" w:eastAsiaTheme="majorEastAsia" w:hAnsi="Calibri" w:cstheme="majorBidi"/>
      <w:b/>
      <w:noProof/>
      <w14:scene3d>
        <w14:camera w14:prst="orthographicFront"/>
        <w14:lightRig w14:rig="threePt" w14:dir="t">
          <w14:rot w14:lat="0" w14:lon="0" w14:rev="0"/>
        </w14:lightRig>
      </w14:scene3d>
    </w:rPr>
  </w:style>
  <w:style w:type="paragraph" w:customStyle="1" w:styleId="Caption-Figure">
    <w:name w:val="Caption-Figure"/>
    <w:basedOn w:val="Caption"/>
    <w:link w:val="Caption-FigureChar"/>
    <w:qFormat/>
    <w:rsid w:val="00496814"/>
    <w:pPr>
      <w:keepNext/>
      <w:keepLines/>
      <w:spacing w:before="120" w:after="0"/>
      <w:jc w:val="left"/>
    </w:pPr>
    <w:rPr>
      <w:rFonts w:cstheme="minorBidi"/>
      <w:bCs w:val="0"/>
      <w:sz w:val="22"/>
    </w:rPr>
  </w:style>
  <w:style w:type="table" w:customStyle="1" w:styleId="TableGrid4">
    <w:name w:val="Table Grid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496814"/>
  </w:style>
  <w:style w:type="table" w:customStyle="1" w:styleId="LightShading14">
    <w:name w:val="Light Shading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
    <w:name w:val="2012 2 table format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496814"/>
  </w:style>
  <w:style w:type="numbering" w:customStyle="1" w:styleId="CurrentList114">
    <w:name w:val="Current List114"/>
    <w:rsid w:val="00496814"/>
  </w:style>
  <w:style w:type="table" w:customStyle="1" w:styleId="TableGrid13">
    <w:name w:val="Table Grid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496814"/>
  </w:style>
  <w:style w:type="table" w:customStyle="1" w:styleId="LightShading113">
    <w:name w:val="Light Shading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
    <w:name w:val="2012 2 table format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96814"/>
    <w:pPr>
      <w:spacing w:after="120" w:line="240" w:lineRule="auto"/>
    </w:pPr>
    <w:rPr>
      <w:rFonts w:ascii="Calibri" w:hAnsi="Calibri"/>
    </w:rPr>
  </w:style>
  <w:style w:type="numbering" w:customStyle="1" w:styleId="ISOReportStyle1">
    <w:name w:val="ISO Report Style1"/>
    <w:uiPriority w:val="99"/>
    <w:rsid w:val="00496814"/>
  </w:style>
  <w:style w:type="numbering" w:customStyle="1" w:styleId="NoList6">
    <w:name w:val="No List6"/>
    <w:next w:val="NoList"/>
    <w:uiPriority w:val="99"/>
    <w:semiHidden/>
    <w:unhideWhenUsed/>
    <w:rsid w:val="00496814"/>
  </w:style>
  <w:style w:type="table" w:customStyle="1" w:styleId="TableGrid6">
    <w:name w:val="Table Grid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
    <w:name w:val="Light Grid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
    <w:name w:val="Medium Shading 1 - Accent 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
    <w:name w:val="Medium Grid 1 - Accent 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
    <w:name w:val="Light Shading - Accent 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
    <w:name w:val="RSP_Style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
    <w:name w:val="2012 2 table format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
    <w:name w:val="Medium Grid 1 - Accent 6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
    <w:name w:val="Light List - Accent 6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
    <w:name w:val="Light Grid - Accent 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
    <w:name w:val="2012 Style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
    <w:name w:val="Light Shading - Accent 1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
    <w:name w:val="No List15"/>
    <w:next w:val="NoList"/>
    <w:uiPriority w:val="99"/>
    <w:semiHidden/>
    <w:unhideWhenUsed/>
    <w:rsid w:val="00496814"/>
  </w:style>
  <w:style w:type="numbering" w:customStyle="1" w:styleId="CurrentList115">
    <w:name w:val="Current List115"/>
    <w:rsid w:val="00496814"/>
  </w:style>
  <w:style w:type="table" w:customStyle="1" w:styleId="TableGrid14">
    <w:name w:val="Table Grid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
    <w:name w:val="Bulleted List15"/>
    <w:rsid w:val="00496814"/>
  </w:style>
  <w:style w:type="table" w:customStyle="1" w:styleId="LightShading114">
    <w:name w:val="Light Shading1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
    <w:name w:val="Light Grid11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
    <w:name w:val="Medium Shading 1 - Accent 111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
    <w:name w:val="Medium Grid 1 - Accent 11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
    <w:name w:val="Light Shading - Accent 111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
    <w:name w:val="RSP_Style1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
    <w:name w:val="2012 2 table format1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
    <w:name w:val="Medium Grid 1 - Accent 61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
    <w:name w:val="Light List - Accent 61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
    <w:name w:val="Light Grid - Accent 111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
    <w:name w:val="2012 Style1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
    <w:name w:val="Light Shading - Accent 121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
    <w:name w:val="Medium Shading 1 - Accent 4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496814"/>
  </w:style>
  <w:style w:type="numbering" w:customStyle="1" w:styleId="CurrentList121">
    <w:name w:val="Current List121"/>
    <w:rsid w:val="00496814"/>
  </w:style>
  <w:style w:type="numbering" w:customStyle="1" w:styleId="BulletedList21">
    <w:name w:val="Bulleted List21"/>
    <w:rsid w:val="00496814"/>
  </w:style>
  <w:style w:type="numbering" w:customStyle="1" w:styleId="NoList1111">
    <w:name w:val="No List1111"/>
    <w:next w:val="NoList"/>
    <w:uiPriority w:val="99"/>
    <w:semiHidden/>
    <w:unhideWhenUsed/>
    <w:rsid w:val="00496814"/>
  </w:style>
  <w:style w:type="numbering" w:customStyle="1" w:styleId="CurrentList1111">
    <w:name w:val="Current List1111"/>
    <w:rsid w:val="00496814"/>
  </w:style>
  <w:style w:type="numbering" w:customStyle="1" w:styleId="BulletedList111">
    <w:name w:val="Bulleted List111"/>
    <w:rsid w:val="00496814"/>
  </w:style>
  <w:style w:type="numbering" w:customStyle="1" w:styleId="NoList31">
    <w:name w:val="No List31"/>
    <w:next w:val="NoList"/>
    <w:uiPriority w:val="99"/>
    <w:semiHidden/>
    <w:unhideWhenUsed/>
    <w:rsid w:val="00496814"/>
  </w:style>
  <w:style w:type="table" w:customStyle="1" w:styleId="TableGrid21">
    <w:name w:val="Table Grid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
    <w:name w:val="Light Grid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
    <w:name w:val="Medium Shading 1 - Accent 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
    <w:name w:val="Medium Grid 1 - Accent 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
    <w:name w:val="Light Shading - Accent 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
    <w:name w:val="RSP_Style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
    <w:name w:val="2012 2 table format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
    <w:name w:val="Medium Grid 1 - Accent 6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
    <w:name w:val="Light List - Accent 6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
    <w:name w:val="Light Grid - Accent 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
    <w:name w:val="2012 Style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
    <w:name w:val="Light Shading - Accent 1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
    <w:name w:val="No List121"/>
    <w:next w:val="NoList"/>
    <w:uiPriority w:val="99"/>
    <w:semiHidden/>
    <w:unhideWhenUsed/>
    <w:rsid w:val="00496814"/>
  </w:style>
  <w:style w:type="numbering" w:customStyle="1" w:styleId="CurrentList1121">
    <w:name w:val="Current List1121"/>
    <w:rsid w:val="00496814"/>
  </w:style>
  <w:style w:type="table" w:customStyle="1" w:styleId="TableGrid111">
    <w:name w:val="Table Grid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
    <w:name w:val="Bulleted List121"/>
    <w:rsid w:val="00496814"/>
  </w:style>
  <w:style w:type="table" w:customStyle="1" w:styleId="LightShading1111">
    <w:name w:val="Light Shading1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
    <w:name w:val="Light Grid1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
    <w:name w:val="Medium Shading 1 - Accent 1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
    <w:name w:val="Medium Grid 1 - Accent 1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
    <w:name w:val="Light Shading - Accent 1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
    <w:name w:val="RSP_Style1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
    <w:name w:val="2012 2 table format1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
    <w:name w:val="Medium Grid 1 - Accent 61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
    <w:name w:val="Light List - Accent 61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
    <w:name w:val="Light Grid - Accent 1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
    <w:name w:val="2012 Style1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
    <w:name w:val="Light Shading - Accent 121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
    <w:name w:val="Medium Shading 1 - Accent 4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496814"/>
  </w:style>
  <w:style w:type="table" w:customStyle="1" w:styleId="TableGrid32">
    <w:name w:val="Table Grid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
    <w:name w:val="Light Shading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
    <w:name w:val="Light Grid1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
    <w:name w:val="Medium Shading 1 - Accent 11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
    <w:name w:val="Medium Grid 1 - Accent 1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
    <w:name w:val="Light Shading - Accent 11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
    <w:name w:val="RSP_Style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
    <w:name w:val="2012 2 table format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
    <w:name w:val="Medium Grid 1 - Accent 6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
    <w:name w:val="Light List - Accent 6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
    <w:name w:val="Light Grid - Accent 11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
    <w:name w:val="2012 Style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
    <w:name w:val="Light Shading - Accent 1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
    <w:name w:val="No List131"/>
    <w:next w:val="NoList"/>
    <w:uiPriority w:val="99"/>
    <w:semiHidden/>
    <w:unhideWhenUsed/>
    <w:rsid w:val="00496814"/>
  </w:style>
  <w:style w:type="numbering" w:customStyle="1" w:styleId="CurrentList1131">
    <w:name w:val="Current List1131"/>
    <w:rsid w:val="00496814"/>
  </w:style>
  <w:style w:type="table" w:customStyle="1" w:styleId="TableGrid121">
    <w:name w:val="Table Grid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
    <w:name w:val="Bulleted List131"/>
    <w:rsid w:val="00496814"/>
  </w:style>
  <w:style w:type="table" w:customStyle="1" w:styleId="LightShading1121">
    <w:name w:val="Light Shading1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
    <w:name w:val="Light Grid1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
    <w:name w:val="Medium Shading 1 - Accent 1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
    <w:name w:val="Medium Grid 1 - Accent 1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
    <w:name w:val="Light Shading - Accent 1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
    <w:name w:val="RSP_Style1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
    <w:name w:val="2012 2 table format1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
    <w:name w:val="Medium Grid 1 - Accent 61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
    <w:name w:val="Light List - Accent 61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
    <w:name w:val="Light Grid - Accent 1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
    <w:name w:val="2012 Style1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
    <w:name w:val="Light Shading - Accent 12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
    <w:name w:val="Medium Shading 1 - Accent 4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
    <w:name w:val="Current List131"/>
    <w:rsid w:val="00496814"/>
  </w:style>
  <w:style w:type="table" w:customStyle="1" w:styleId="TableGrid311">
    <w:name w:val="Table Grid3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96814"/>
  </w:style>
  <w:style w:type="numbering" w:customStyle="1" w:styleId="CurrentList141">
    <w:name w:val="Current List141"/>
    <w:rsid w:val="00496814"/>
  </w:style>
  <w:style w:type="table" w:customStyle="1" w:styleId="TableGrid41">
    <w:name w:val="Table Grid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
    <w:name w:val="Bulleted List31"/>
    <w:rsid w:val="00496814"/>
  </w:style>
  <w:style w:type="table" w:customStyle="1" w:styleId="LightShading141">
    <w:name w:val="Light Shading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
    <w:name w:val="Light Grid1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
    <w:name w:val="Medium Shading 1 - Accent 11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
    <w:name w:val="Medium Grid 1 - Accent 1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
    <w:name w:val="Light Shading - Accent 11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
    <w:name w:val="RSP_Style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
    <w:name w:val="2012 2 table format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
    <w:name w:val="Medium Grid 1 - Accent 6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
    <w:name w:val="Light List - Accent 6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
    <w:name w:val="Light Grid - Accent 11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
    <w:name w:val="2012 Style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
    <w:name w:val="Light Shading - Accent 1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
    <w:name w:val="No List141"/>
    <w:next w:val="NoList"/>
    <w:uiPriority w:val="99"/>
    <w:semiHidden/>
    <w:unhideWhenUsed/>
    <w:rsid w:val="00496814"/>
  </w:style>
  <w:style w:type="numbering" w:customStyle="1" w:styleId="CurrentList1141">
    <w:name w:val="Current List1141"/>
    <w:rsid w:val="00496814"/>
  </w:style>
  <w:style w:type="table" w:customStyle="1" w:styleId="TableGrid131">
    <w:name w:val="Table Grid1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
    <w:name w:val="Bulleted List141"/>
    <w:rsid w:val="00496814"/>
  </w:style>
  <w:style w:type="table" w:customStyle="1" w:styleId="LightShading1131">
    <w:name w:val="Light Shading1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
    <w:name w:val="Light Grid11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
    <w:name w:val="Medium Shading 1 - Accent 111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
    <w:name w:val="Medium Grid 1 - Accent 11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
    <w:name w:val="Light Shading - Accent 111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
    <w:name w:val="RSP_Style1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
    <w:name w:val="2012 2 table format1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
    <w:name w:val="Medium Grid 1 - Accent 61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
    <w:name w:val="Light List - Accent 61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
    <w:name w:val="Light Grid - Accent 111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
    <w:name w:val="2012 Style1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
    <w:name w:val="Light Shading - Accent 121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
    <w:name w:val="Medium Shading 1 - Accent 43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
    <w:name w:val="Table Grid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96814"/>
  </w:style>
  <w:style w:type="table" w:customStyle="1" w:styleId="TableGrid7">
    <w:name w:val="Table Grid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
    <w:name w:val="Light Grid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
    <w:name w:val="Medium Shading 1 - Accent 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
    <w:name w:val="Medium Grid 1 - Accent 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
    <w:name w:val="Light Shading - Accent 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
    <w:name w:val="RSP_Style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
    <w:name w:val="2012 2 table format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
    <w:name w:val="Medium Grid 1 - Accent 6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
    <w:name w:val="Light List - Accent 6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
    <w:name w:val="Light Grid - Accent 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
    <w:name w:val="2012 Style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
    <w:name w:val="Light Shading - Accent 1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
    <w:name w:val="No List16"/>
    <w:next w:val="NoList"/>
    <w:uiPriority w:val="99"/>
    <w:semiHidden/>
    <w:unhideWhenUsed/>
    <w:rsid w:val="00496814"/>
  </w:style>
  <w:style w:type="numbering" w:customStyle="1" w:styleId="CurrentList116">
    <w:name w:val="Current List116"/>
    <w:rsid w:val="00496814"/>
  </w:style>
  <w:style w:type="table" w:customStyle="1" w:styleId="TableGrid15">
    <w:name w:val="Table Grid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
    <w:name w:val="Bulleted List16"/>
    <w:rsid w:val="00496814"/>
  </w:style>
  <w:style w:type="table" w:customStyle="1" w:styleId="LightShading115">
    <w:name w:val="Light Shading1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
    <w:name w:val="Light Grid1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
    <w:name w:val="Medium Shading 1 - Accent 1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
    <w:name w:val="Medium Grid 1 - Accent 1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
    <w:name w:val="Light Shading - Accent 1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
    <w:name w:val="RSP_Style1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
    <w:name w:val="2012 2 table format1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
    <w:name w:val="Medium Grid 1 - Accent 61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
    <w:name w:val="Light List - Accent 61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
    <w:name w:val="Light Grid - Accent 1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
    <w:name w:val="2012 Style1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
    <w:name w:val="Light Shading - Accent 121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
    <w:name w:val="Medium Shading 1 - Accent 4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496814"/>
  </w:style>
  <w:style w:type="numbering" w:customStyle="1" w:styleId="CurrentList122">
    <w:name w:val="Current List122"/>
    <w:rsid w:val="00496814"/>
  </w:style>
  <w:style w:type="numbering" w:customStyle="1" w:styleId="BulletedList22">
    <w:name w:val="Bulleted List22"/>
    <w:rsid w:val="00496814"/>
  </w:style>
  <w:style w:type="numbering" w:customStyle="1" w:styleId="NoList112">
    <w:name w:val="No List112"/>
    <w:next w:val="NoList"/>
    <w:uiPriority w:val="99"/>
    <w:semiHidden/>
    <w:unhideWhenUsed/>
    <w:rsid w:val="00496814"/>
  </w:style>
  <w:style w:type="numbering" w:customStyle="1" w:styleId="CurrentList1112">
    <w:name w:val="Current List1112"/>
    <w:rsid w:val="00496814"/>
  </w:style>
  <w:style w:type="numbering" w:customStyle="1" w:styleId="BulletedList112">
    <w:name w:val="Bulleted List112"/>
    <w:rsid w:val="00496814"/>
  </w:style>
  <w:style w:type="numbering" w:customStyle="1" w:styleId="NoList32">
    <w:name w:val="No List32"/>
    <w:next w:val="NoList"/>
    <w:uiPriority w:val="99"/>
    <w:semiHidden/>
    <w:unhideWhenUsed/>
    <w:rsid w:val="00496814"/>
  </w:style>
  <w:style w:type="table" w:customStyle="1" w:styleId="TableGrid22">
    <w:name w:val="Table Grid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
    <w:name w:val="Light Grid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
    <w:name w:val="Medium Shading 1 - Accent 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
    <w:name w:val="Medium Grid 1 - Accent 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
    <w:name w:val="Light Shading - Accent 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
    <w:name w:val="RSP_Style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
    <w:name w:val="2012 2 table format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
    <w:name w:val="Medium Grid 1 - Accent 6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
    <w:name w:val="Light List - Accent 6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
    <w:name w:val="Light Grid - Accent 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
    <w:name w:val="2012 Style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
    <w:name w:val="Light Shading - Accent 1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
    <w:name w:val="No List122"/>
    <w:next w:val="NoList"/>
    <w:uiPriority w:val="99"/>
    <w:semiHidden/>
    <w:unhideWhenUsed/>
    <w:rsid w:val="00496814"/>
  </w:style>
  <w:style w:type="numbering" w:customStyle="1" w:styleId="CurrentList1122">
    <w:name w:val="Current List1122"/>
    <w:rsid w:val="00496814"/>
  </w:style>
  <w:style w:type="table" w:customStyle="1" w:styleId="TableGrid112">
    <w:name w:val="Table Grid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
    <w:name w:val="Bulleted List122"/>
    <w:rsid w:val="00496814"/>
  </w:style>
  <w:style w:type="table" w:customStyle="1" w:styleId="LightShading1112">
    <w:name w:val="Light Shading1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
    <w:name w:val="Light Grid1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
    <w:name w:val="Medium Shading 1 - Accent 1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
    <w:name w:val="Medium Grid 1 - Accent 1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
    <w:name w:val="Light Shading - Accent 1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
    <w:name w:val="RSP_Style1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
    <w:name w:val="2012 2 table format1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
    <w:name w:val="Medium Grid 1 - Accent 61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
    <w:name w:val="Light List - Accent 61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
    <w:name w:val="Light Grid - Accent 1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
    <w:name w:val="2012 Style1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
    <w:name w:val="Light Shading - Accent 121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
    <w:name w:val="Medium Shading 1 - Accent 4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496814"/>
  </w:style>
  <w:style w:type="table" w:customStyle="1" w:styleId="TableGrid33">
    <w:name w:val="Table Grid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
    <w:name w:val="Light Shading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
    <w:name w:val="Light Grid1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
    <w:name w:val="Medium Shading 1 - Accent 11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
    <w:name w:val="Medium Grid 1 - Accent 1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
    <w:name w:val="Light Shading - Accent 11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
    <w:name w:val="RSP_Style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
    <w:name w:val="2012 2 table format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
    <w:name w:val="Medium Grid 1 - Accent 6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
    <w:name w:val="Light List - Accent 6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
    <w:name w:val="Light Grid - Accent 11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
    <w:name w:val="2012 Style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
    <w:name w:val="Light Shading - Accent 1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
    <w:name w:val="No List132"/>
    <w:next w:val="NoList"/>
    <w:uiPriority w:val="99"/>
    <w:semiHidden/>
    <w:unhideWhenUsed/>
    <w:rsid w:val="00496814"/>
  </w:style>
  <w:style w:type="numbering" w:customStyle="1" w:styleId="CurrentList1132">
    <w:name w:val="Current List1132"/>
    <w:rsid w:val="00496814"/>
  </w:style>
  <w:style w:type="table" w:customStyle="1" w:styleId="TableGrid122">
    <w:name w:val="Table Grid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
    <w:name w:val="Bulleted List132"/>
    <w:rsid w:val="00496814"/>
  </w:style>
  <w:style w:type="table" w:customStyle="1" w:styleId="LightShading1122">
    <w:name w:val="Light Shading1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
    <w:name w:val="Light Grid1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
    <w:name w:val="Medium Shading 1 - Accent 1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
    <w:name w:val="Medium Grid 1 - Accent 1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
    <w:name w:val="Light Shading - Accent 1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
    <w:name w:val="RSP_Style1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
    <w:name w:val="2012 2 table format1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
    <w:name w:val="Medium Grid 1 - Accent 61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
    <w:name w:val="Light List - Accent 61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
    <w:name w:val="Light Grid - Accent 1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
    <w:name w:val="2012 Style1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
    <w:name w:val="Light Shading - Accent 12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
    <w:name w:val="Medium Shading 1 - Accent 4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
    <w:name w:val="Current List132"/>
    <w:rsid w:val="00496814"/>
  </w:style>
  <w:style w:type="table" w:customStyle="1" w:styleId="TableGrid312">
    <w:name w:val="Table Grid3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96814"/>
  </w:style>
  <w:style w:type="numbering" w:customStyle="1" w:styleId="CurrentList142">
    <w:name w:val="Current List142"/>
    <w:rsid w:val="00496814"/>
  </w:style>
  <w:style w:type="table" w:customStyle="1" w:styleId="TableGrid42">
    <w:name w:val="Table Grid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
    <w:name w:val="Bulleted List32"/>
    <w:rsid w:val="00496814"/>
  </w:style>
  <w:style w:type="table" w:customStyle="1" w:styleId="LightShading142">
    <w:name w:val="Light Shading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
    <w:name w:val="Light Grid1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
    <w:name w:val="Medium Shading 1 - Accent 11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
    <w:name w:val="Medium Grid 1 - Accent 1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
    <w:name w:val="Light Shading - Accent 11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
    <w:name w:val="RSP_Style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
    <w:name w:val="2012 2 table format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
    <w:name w:val="Medium Grid 1 - Accent 6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
    <w:name w:val="Light List - Accent 6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
    <w:name w:val="Light Grid - Accent 11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
    <w:name w:val="2012 Style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
    <w:name w:val="Light Shading - Accent 1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
    <w:name w:val="No List142"/>
    <w:next w:val="NoList"/>
    <w:uiPriority w:val="99"/>
    <w:semiHidden/>
    <w:unhideWhenUsed/>
    <w:rsid w:val="00496814"/>
  </w:style>
  <w:style w:type="numbering" w:customStyle="1" w:styleId="CurrentList1142">
    <w:name w:val="Current List1142"/>
    <w:rsid w:val="00496814"/>
  </w:style>
  <w:style w:type="table" w:customStyle="1" w:styleId="TableGrid132">
    <w:name w:val="Table Grid1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
    <w:name w:val="Bulleted List142"/>
    <w:rsid w:val="00496814"/>
  </w:style>
  <w:style w:type="table" w:customStyle="1" w:styleId="LightShading1132">
    <w:name w:val="Light Shading1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
    <w:name w:val="Light Grid11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
    <w:name w:val="Medium Shading 1 - Accent 111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
    <w:name w:val="Medium Grid 1 - Accent 11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
    <w:name w:val="Light Shading - Accent 111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
    <w:name w:val="RSP_Style1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
    <w:name w:val="2012 2 table format1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
    <w:name w:val="Medium Grid 1 - Accent 61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
    <w:name w:val="Light List - Accent 61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
    <w:name w:val="Light Grid - Accent 111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
    <w:name w:val="2012 Style1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
    <w:name w:val="Light Shading - Accent 121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
    <w:name w:val="Medium Shading 1 - Accent 43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
    <w:name w:val="Table Grid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5">
    <w:name w:val="Current List15"/>
    <w:rsid w:val="00496814"/>
    <w:pPr>
      <w:numPr>
        <w:numId w:val="11"/>
      </w:numPr>
    </w:pPr>
  </w:style>
  <w:style w:type="character" w:customStyle="1" w:styleId="footnote">
    <w:name w:val="footnote"/>
    <w:basedOn w:val="DefaultParagraphFont"/>
    <w:rsid w:val="00496814"/>
  </w:style>
  <w:style w:type="character" w:customStyle="1" w:styleId="slug-metadata-note">
    <w:name w:val="slug-metadata-note"/>
    <w:basedOn w:val="DefaultParagraphFont"/>
    <w:rsid w:val="00496814"/>
  </w:style>
  <w:style w:type="character" w:customStyle="1" w:styleId="slug-doi">
    <w:name w:val="slug-doi"/>
    <w:basedOn w:val="DefaultParagraphFont"/>
    <w:rsid w:val="00496814"/>
  </w:style>
  <w:style w:type="character" w:customStyle="1" w:styleId="slug-pub-date">
    <w:name w:val="slug-pub-date"/>
    <w:basedOn w:val="DefaultParagraphFont"/>
    <w:rsid w:val="00496814"/>
  </w:style>
  <w:style w:type="character" w:customStyle="1" w:styleId="slug-vol">
    <w:name w:val="slug-vol"/>
    <w:basedOn w:val="DefaultParagraphFont"/>
    <w:rsid w:val="00496814"/>
  </w:style>
  <w:style w:type="character" w:customStyle="1" w:styleId="slug-issue">
    <w:name w:val="slug-issue"/>
    <w:basedOn w:val="DefaultParagraphFont"/>
    <w:rsid w:val="00496814"/>
  </w:style>
  <w:style w:type="character" w:customStyle="1" w:styleId="slug-pages">
    <w:name w:val="slug-pages"/>
    <w:basedOn w:val="DefaultParagraphFont"/>
    <w:rsid w:val="00496814"/>
  </w:style>
  <w:style w:type="numbering" w:customStyle="1" w:styleId="NoList8">
    <w:name w:val="No List8"/>
    <w:next w:val="NoList"/>
    <w:uiPriority w:val="99"/>
    <w:semiHidden/>
    <w:unhideWhenUsed/>
    <w:rsid w:val="00496814"/>
  </w:style>
  <w:style w:type="numbering" w:customStyle="1" w:styleId="CurrentList16">
    <w:name w:val="Current List16"/>
    <w:rsid w:val="00496814"/>
  </w:style>
  <w:style w:type="table" w:customStyle="1" w:styleId="TableGrid8">
    <w:name w:val="Table Grid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
    <w:name w:val="Light Grid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
    <w:name w:val="Medium Shading 1 - Accent 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
    <w:name w:val="Medium Grid 1 - Accent 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
    <w:name w:val="Light Shading - Accent 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
    <w:name w:val="RSP_Style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
    <w:name w:val="2012 2 table format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
    <w:name w:val="Medium Grid 1 - Accent 6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
    <w:name w:val="Light List - Accent 6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
    <w:name w:val="Light Grid - Accent 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
    <w:name w:val="2012 Style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
    <w:name w:val="Light Shading - Accent 1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
    <w:name w:val="No List17"/>
    <w:next w:val="NoList"/>
    <w:uiPriority w:val="99"/>
    <w:semiHidden/>
    <w:unhideWhenUsed/>
    <w:rsid w:val="00496814"/>
  </w:style>
  <w:style w:type="numbering" w:customStyle="1" w:styleId="CurrentList117">
    <w:name w:val="Current List117"/>
    <w:rsid w:val="00496814"/>
  </w:style>
  <w:style w:type="table" w:customStyle="1" w:styleId="TableGrid16">
    <w:name w:val="Table Grid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
    <w:name w:val="Bulleted List17"/>
    <w:rsid w:val="00496814"/>
  </w:style>
  <w:style w:type="table" w:customStyle="1" w:styleId="LightShading116">
    <w:name w:val="Light Shading1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
    <w:name w:val="Light Grid1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
    <w:name w:val="Medium Shading 1 - Accent 1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
    <w:name w:val="Medium Grid 1 - Accent 1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
    <w:name w:val="Light Shading - Accent 1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
    <w:name w:val="RSP_Style1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
    <w:name w:val="2012 2 table format1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
    <w:name w:val="Medium Grid 1 - Accent 61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
    <w:name w:val="Light List - Accent 61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
    <w:name w:val="Light Grid - Accent 1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
    <w:name w:val="2012 Style1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
    <w:name w:val="Light Shading - Accent 121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
    <w:name w:val="Medium Shading 1 - Accent 4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496814"/>
  </w:style>
  <w:style w:type="numbering" w:customStyle="1" w:styleId="CurrentList123">
    <w:name w:val="Current List123"/>
    <w:rsid w:val="00496814"/>
  </w:style>
  <w:style w:type="numbering" w:customStyle="1" w:styleId="BulletedList23">
    <w:name w:val="Bulleted List23"/>
    <w:rsid w:val="00496814"/>
  </w:style>
  <w:style w:type="numbering" w:customStyle="1" w:styleId="NoList113">
    <w:name w:val="No List113"/>
    <w:next w:val="NoList"/>
    <w:uiPriority w:val="99"/>
    <w:semiHidden/>
    <w:unhideWhenUsed/>
    <w:rsid w:val="00496814"/>
  </w:style>
  <w:style w:type="numbering" w:customStyle="1" w:styleId="CurrentList1113">
    <w:name w:val="Current List1113"/>
    <w:rsid w:val="00496814"/>
  </w:style>
  <w:style w:type="numbering" w:customStyle="1" w:styleId="BulletedList113">
    <w:name w:val="Bulleted List113"/>
    <w:rsid w:val="00496814"/>
  </w:style>
  <w:style w:type="numbering" w:customStyle="1" w:styleId="NoList33">
    <w:name w:val="No List33"/>
    <w:next w:val="NoList"/>
    <w:uiPriority w:val="99"/>
    <w:semiHidden/>
    <w:unhideWhenUsed/>
    <w:rsid w:val="00496814"/>
  </w:style>
  <w:style w:type="table" w:customStyle="1" w:styleId="TableGrid23">
    <w:name w:val="Table Grid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
    <w:name w:val="Light Shading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
    <w:name w:val="Light Grid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
    <w:name w:val="Medium Shading 1 - Accent 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
    <w:name w:val="Medium Grid 1 - Accent 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
    <w:name w:val="Light Shading - Accent 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
    <w:name w:val="RSP_Style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
    <w:name w:val="2012 2 table format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
    <w:name w:val="Medium Grid 1 - Accent 6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
    <w:name w:val="Light List - Accent 6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
    <w:name w:val="Light Grid - Accent 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
    <w:name w:val="2012 Style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
    <w:name w:val="Light Shading - Accent 1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
    <w:name w:val="No List123"/>
    <w:next w:val="NoList"/>
    <w:uiPriority w:val="99"/>
    <w:semiHidden/>
    <w:unhideWhenUsed/>
    <w:rsid w:val="00496814"/>
  </w:style>
  <w:style w:type="numbering" w:customStyle="1" w:styleId="CurrentList1123">
    <w:name w:val="Current List1123"/>
    <w:rsid w:val="00496814"/>
  </w:style>
  <w:style w:type="table" w:customStyle="1" w:styleId="TableGrid113">
    <w:name w:val="Table Grid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
    <w:name w:val="Bulleted List123"/>
    <w:rsid w:val="00496814"/>
  </w:style>
  <w:style w:type="table" w:customStyle="1" w:styleId="LightShading1113">
    <w:name w:val="Light Shading1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
    <w:name w:val="Light Grid11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
    <w:name w:val="Medium Shading 1 - Accent 11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
    <w:name w:val="Medium Grid 1 - Accent 11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
    <w:name w:val="Light Shading - Accent 11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
    <w:name w:val="RSP_Style1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
    <w:name w:val="2012 2 table format1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
    <w:name w:val="Medium Grid 1 - Accent 61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
    <w:name w:val="Light List - Accent 61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
    <w:name w:val="Light Grid - Accent 11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
    <w:name w:val="2012 Style1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
    <w:name w:val="Light Shading - Accent 121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
    <w:name w:val="Medium Shading 1 - Accent 4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
    <w:name w:val="No List43"/>
    <w:next w:val="NoList"/>
    <w:uiPriority w:val="99"/>
    <w:semiHidden/>
    <w:unhideWhenUsed/>
    <w:rsid w:val="00496814"/>
  </w:style>
  <w:style w:type="table" w:customStyle="1" w:styleId="TableGrid34">
    <w:name w:val="Table Grid3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
    <w:name w:val="Light Shading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
    <w:name w:val="Light Grid1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
    <w:name w:val="Medium Shading 1 - Accent 11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
    <w:name w:val="Medium Grid 1 - Accent 1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
    <w:name w:val="Light Shading - Accent 11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
    <w:name w:val="RSP_Style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
    <w:name w:val="2012 2 table format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
    <w:name w:val="Medium Grid 1 - Accent 6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
    <w:name w:val="Light List - Accent 6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
    <w:name w:val="Light Grid - Accent 11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
    <w:name w:val="2012 Style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
    <w:name w:val="Light Shading - Accent 1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
    <w:name w:val="No List133"/>
    <w:next w:val="NoList"/>
    <w:uiPriority w:val="99"/>
    <w:semiHidden/>
    <w:unhideWhenUsed/>
    <w:rsid w:val="00496814"/>
  </w:style>
  <w:style w:type="numbering" w:customStyle="1" w:styleId="CurrentList1133">
    <w:name w:val="Current List1133"/>
    <w:rsid w:val="00496814"/>
  </w:style>
  <w:style w:type="table" w:customStyle="1" w:styleId="TableGrid123">
    <w:name w:val="Table Grid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
    <w:name w:val="Bulleted List133"/>
    <w:rsid w:val="00496814"/>
  </w:style>
  <w:style w:type="table" w:customStyle="1" w:styleId="LightShading1123">
    <w:name w:val="Light Shading1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
    <w:name w:val="Light Grid1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
    <w:name w:val="Medium Shading 1 - Accent 1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
    <w:name w:val="Medium Grid 1 - Accent 1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
    <w:name w:val="Light Shading - Accent 1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
    <w:name w:val="RSP_Style1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
    <w:name w:val="2012 2 table format1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
    <w:name w:val="Medium Grid 1 - Accent 61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
    <w:name w:val="Light List - Accent 61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
    <w:name w:val="Light Grid - Accent 1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
    <w:name w:val="2012 Style1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
    <w:name w:val="Light Shading - Accent 12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
    <w:name w:val="Medium Shading 1 - Accent 4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
    <w:name w:val="Current List133"/>
    <w:rsid w:val="00496814"/>
  </w:style>
  <w:style w:type="table" w:customStyle="1" w:styleId="TableGrid313">
    <w:name w:val="Table Grid3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
    <w:name w:val="ISO Report Style2"/>
    <w:uiPriority w:val="99"/>
    <w:rsid w:val="00496814"/>
  </w:style>
  <w:style w:type="numbering" w:customStyle="1" w:styleId="NoList53">
    <w:name w:val="No List53"/>
    <w:next w:val="NoList"/>
    <w:uiPriority w:val="99"/>
    <w:semiHidden/>
    <w:unhideWhenUsed/>
    <w:rsid w:val="00496814"/>
  </w:style>
  <w:style w:type="numbering" w:customStyle="1" w:styleId="CurrentList143">
    <w:name w:val="Current List143"/>
    <w:rsid w:val="00496814"/>
  </w:style>
  <w:style w:type="table" w:customStyle="1" w:styleId="TableGrid43">
    <w:name w:val="Table Grid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
    <w:name w:val="Bulleted List33"/>
    <w:rsid w:val="00496814"/>
  </w:style>
  <w:style w:type="table" w:customStyle="1" w:styleId="LightShading143">
    <w:name w:val="Light Shading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
    <w:name w:val="Light Grid1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
    <w:name w:val="Medium Shading 1 - Accent 11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
    <w:name w:val="Medium Grid 1 - Accent 1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
    <w:name w:val="Light Shading - Accent 11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
    <w:name w:val="RSP_Style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
    <w:name w:val="2012 2 table format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
    <w:name w:val="Medium Grid 1 - Accent 6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
    <w:name w:val="Light List - Accent 6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
    <w:name w:val="Light Grid - Accent 11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
    <w:name w:val="2012 Style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
    <w:name w:val="Light Shading - Accent 1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
    <w:name w:val="No List143"/>
    <w:next w:val="NoList"/>
    <w:uiPriority w:val="99"/>
    <w:semiHidden/>
    <w:unhideWhenUsed/>
    <w:rsid w:val="00496814"/>
  </w:style>
  <w:style w:type="numbering" w:customStyle="1" w:styleId="CurrentList1143">
    <w:name w:val="Current List1143"/>
    <w:rsid w:val="00496814"/>
  </w:style>
  <w:style w:type="table" w:customStyle="1" w:styleId="TableGrid133">
    <w:name w:val="Table Grid1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
    <w:name w:val="Bulleted List143"/>
    <w:rsid w:val="00496814"/>
  </w:style>
  <w:style w:type="table" w:customStyle="1" w:styleId="LightShading1133">
    <w:name w:val="Light Shading1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
    <w:name w:val="Light Grid11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
    <w:name w:val="Medium Shading 1 - Accent 111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
    <w:name w:val="Medium Grid 1 - Accent 11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
    <w:name w:val="Light Shading - Accent 111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
    <w:name w:val="RSP_Style1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
    <w:name w:val="2012 2 table format1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
    <w:name w:val="Medium Grid 1 - Accent 61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
    <w:name w:val="Light List - Accent 61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
    <w:name w:val="Light Grid - Accent 111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
    <w:name w:val="2012 Style1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
    <w:name w:val="Light Shading - Accent 121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
    <w:name w:val="Medium Shading 1 - Accent 43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
    <w:name w:val="Table Grid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96814"/>
  </w:style>
  <w:style w:type="numbering" w:customStyle="1" w:styleId="CurrentList17">
    <w:name w:val="Current List17"/>
    <w:rsid w:val="00496814"/>
  </w:style>
  <w:style w:type="table" w:customStyle="1" w:styleId="TableGrid9">
    <w:name w:val="Table Grid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
    <w:name w:val="Light Grid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
    <w:name w:val="Medium Shading 1 - Accent 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
    <w:name w:val="Medium Grid 1 - Accent 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
    <w:name w:val="Light Shading - Accent 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
    <w:name w:val="RSP_Style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
    <w:name w:val="2012 2 table format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
    <w:name w:val="Medium Grid 1 - Accent 6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
    <w:name w:val="Light List - Accent 6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
    <w:name w:val="Light Grid - Accent 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
    <w:name w:val="2012 Style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
    <w:name w:val="Light Shading - Accent 1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
    <w:name w:val="No List18"/>
    <w:next w:val="NoList"/>
    <w:uiPriority w:val="99"/>
    <w:semiHidden/>
    <w:unhideWhenUsed/>
    <w:rsid w:val="00496814"/>
  </w:style>
  <w:style w:type="numbering" w:customStyle="1" w:styleId="CurrentList118">
    <w:name w:val="Current List118"/>
    <w:rsid w:val="00496814"/>
  </w:style>
  <w:style w:type="table" w:customStyle="1" w:styleId="TableGrid17">
    <w:name w:val="Table Grid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
    <w:name w:val="Bulleted List18"/>
    <w:rsid w:val="00496814"/>
  </w:style>
  <w:style w:type="table" w:customStyle="1" w:styleId="LightShading117">
    <w:name w:val="Light Shading1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
    <w:name w:val="Light Grid1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
    <w:name w:val="Medium Shading 1 - Accent 1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
    <w:name w:val="Medium Grid 1 - Accent 1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
    <w:name w:val="Light Shading - Accent 1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
    <w:name w:val="RSP_Style1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
    <w:name w:val="2012 2 table format1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
    <w:name w:val="Medium Grid 1 - Accent 61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
    <w:name w:val="Light List - Accent 61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
    <w:name w:val="Light Grid - Accent 1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
    <w:name w:val="2012 Style1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
    <w:name w:val="Light Shading - Accent 121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
    <w:name w:val="Medium Shading 1 - Accent 4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496814"/>
  </w:style>
  <w:style w:type="numbering" w:customStyle="1" w:styleId="CurrentList124">
    <w:name w:val="Current List124"/>
    <w:rsid w:val="00496814"/>
  </w:style>
  <w:style w:type="numbering" w:customStyle="1" w:styleId="BulletedList24">
    <w:name w:val="Bulleted List24"/>
    <w:rsid w:val="00496814"/>
  </w:style>
  <w:style w:type="numbering" w:customStyle="1" w:styleId="NoList114">
    <w:name w:val="No List114"/>
    <w:next w:val="NoList"/>
    <w:uiPriority w:val="99"/>
    <w:semiHidden/>
    <w:unhideWhenUsed/>
    <w:rsid w:val="00496814"/>
  </w:style>
  <w:style w:type="numbering" w:customStyle="1" w:styleId="CurrentList1114">
    <w:name w:val="Current List1114"/>
    <w:rsid w:val="00496814"/>
  </w:style>
  <w:style w:type="numbering" w:customStyle="1" w:styleId="BulletedList114">
    <w:name w:val="Bulleted List114"/>
    <w:rsid w:val="00496814"/>
  </w:style>
  <w:style w:type="numbering" w:customStyle="1" w:styleId="NoList34">
    <w:name w:val="No List34"/>
    <w:next w:val="NoList"/>
    <w:uiPriority w:val="99"/>
    <w:semiHidden/>
    <w:unhideWhenUsed/>
    <w:rsid w:val="00496814"/>
  </w:style>
  <w:style w:type="table" w:customStyle="1" w:styleId="TableGrid24">
    <w:name w:val="Table Grid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
    <w:name w:val="Light Shading12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
    <w:name w:val="Light Grid12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
    <w:name w:val="Medium Shading 1 - Accent 112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
    <w:name w:val="Medium Grid 1 - Accent 12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
    <w:name w:val="Light Shading - Accent 112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
    <w:name w:val="RSP_Style2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
    <w:name w:val="2012 2 table format2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
    <w:name w:val="Medium Grid 1 - Accent 62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
    <w:name w:val="Light List - Accent 62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
    <w:name w:val="Light Grid - Accent 112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
    <w:name w:val="2012 Style2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
    <w:name w:val="Light Shading - Accent 12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
    <w:name w:val="No List124"/>
    <w:next w:val="NoList"/>
    <w:uiPriority w:val="99"/>
    <w:semiHidden/>
    <w:unhideWhenUsed/>
    <w:rsid w:val="00496814"/>
  </w:style>
  <w:style w:type="numbering" w:customStyle="1" w:styleId="CurrentList1124">
    <w:name w:val="Current List1124"/>
    <w:rsid w:val="00496814"/>
  </w:style>
  <w:style w:type="table" w:customStyle="1" w:styleId="TableGrid114">
    <w:name w:val="Table Grid1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
    <w:name w:val="Bulleted List124"/>
    <w:rsid w:val="00496814"/>
  </w:style>
  <w:style w:type="table" w:customStyle="1" w:styleId="LightShading1114">
    <w:name w:val="Light Shading11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
    <w:name w:val="Light Grid111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
    <w:name w:val="Medium Shading 1 - Accent 1111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
    <w:name w:val="Medium Grid 1 - Accent 111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
    <w:name w:val="Light Shading - Accent 1111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
    <w:name w:val="RSP_Style11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
    <w:name w:val="2012 2 table format11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
    <w:name w:val="Medium Grid 1 - Accent 611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
    <w:name w:val="Light List - Accent 611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
    <w:name w:val="Light Grid - Accent 1111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
    <w:name w:val="2012 Style11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
    <w:name w:val="Light Shading - Accent 1211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
    <w:name w:val="Medium Shading 1 - Accent 41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
    <w:name w:val="No List44"/>
    <w:next w:val="NoList"/>
    <w:uiPriority w:val="99"/>
    <w:semiHidden/>
    <w:unhideWhenUsed/>
    <w:rsid w:val="00496814"/>
  </w:style>
  <w:style w:type="table" w:customStyle="1" w:styleId="TableGrid35">
    <w:name w:val="Table Grid3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
    <w:name w:val="Light Shading13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
    <w:name w:val="Light Grid13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
    <w:name w:val="Medium Shading 1 - Accent 113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
    <w:name w:val="Medium Grid 1 - Accent 13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
    <w:name w:val="Light Shading - Accent 113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
    <w:name w:val="RSP_Style3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
    <w:name w:val="2012 2 table format3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
    <w:name w:val="Medium Grid 1 - Accent 63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
    <w:name w:val="Light List - Accent 63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
    <w:name w:val="Light Grid - Accent 113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
    <w:name w:val="2012 Style3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
    <w:name w:val="Light Shading - Accent 123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
    <w:name w:val="No List134"/>
    <w:next w:val="NoList"/>
    <w:uiPriority w:val="99"/>
    <w:semiHidden/>
    <w:unhideWhenUsed/>
    <w:rsid w:val="00496814"/>
  </w:style>
  <w:style w:type="numbering" w:customStyle="1" w:styleId="CurrentList1134">
    <w:name w:val="Current List1134"/>
    <w:rsid w:val="00496814"/>
  </w:style>
  <w:style w:type="table" w:customStyle="1" w:styleId="TableGrid124">
    <w:name w:val="Table Grid1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
    <w:name w:val="Bulleted List134"/>
    <w:rsid w:val="00496814"/>
  </w:style>
  <w:style w:type="table" w:customStyle="1" w:styleId="LightShading1124">
    <w:name w:val="Light Shading112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
    <w:name w:val="Light Grid112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
    <w:name w:val="Medium Shading 1 - Accent 1112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
    <w:name w:val="Medium Grid 1 - Accent 112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
    <w:name w:val="Light Shading - Accent 1112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
    <w:name w:val="RSP_Style12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
    <w:name w:val="2012 2 table format12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
    <w:name w:val="Medium Grid 1 - Accent 612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
    <w:name w:val="Light List - Accent 612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
    <w:name w:val="Light Grid - Accent 1112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
    <w:name w:val="2012 Style12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
    <w:name w:val="Light Shading - Accent 121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
    <w:name w:val="Medium Shading 1 - Accent 42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
    <w:name w:val="Current List134"/>
    <w:rsid w:val="00496814"/>
  </w:style>
  <w:style w:type="table" w:customStyle="1" w:styleId="TableGrid314">
    <w:name w:val="Table Grid3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496814"/>
  </w:style>
  <w:style w:type="numbering" w:customStyle="1" w:styleId="CurrentList144">
    <w:name w:val="Current List144"/>
    <w:rsid w:val="00496814"/>
  </w:style>
  <w:style w:type="table" w:customStyle="1" w:styleId="TableGrid44">
    <w:name w:val="Table Grid4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
    <w:name w:val="Bulleted List34"/>
    <w:rsid w:val="00496814"/>
  </w:style>
  <w:style w:type="table" w:customStyle="1" w:styleId="LightShading144">
    <w:name w:val="Light Shading14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
    <w:name w:val="Light Grid14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
    <w:name w:val="Medium Shading 1 - Accent 114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
    <w:name w:val="Medium Grid 1 - Accent 14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
    <w:name w:val="Light Shading - Accent 114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
    <w:name w:val="RSP_Style4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
    <w:name w:val="2012 2 table format4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
    <w:name w:val="Medium Grid 1 - Accent 64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
    <w:name w:val="Light List - Accent 64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
    <w:name w:val="Light Grid - Accent 114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
    <w:name w:val="2012 Style4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
    <w:name w:val="Light Shading - Accent 124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
    <w:name w:val="No List144"/>
    <w:next w:val="NoList"/>
    <w:uiPriority w:val="99"/>
    <w:semiHidden/>
    <w:unhideWhenUsed/>
    <w:rsid w:val="00496814"/>
  </w:style>
  <w:style w:type="numbering" w:customStyle="1" w:styleId="CurrentList1144">
    <w:name w:val="Current List1144"/>
    <w:rsid w:val="00496814"/>
  </w:style>
  <w:style w:type="table" w:customStyle="1" w:styleId="TableGrid134">
    <w:name w:val="Table Grid13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
    <w:name w:val="Bulleted List144"/>
    <w:rsid w:val="00496814"/>
  </w:style>
  <w:style w:type="table" w:customStyle="1" w:styleId="LightShading1134">
    <w:name w:val="Light Shading113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
    <w:name w:val="Light Grid113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
    <w:name w:val="Medium Shading 1 - Accent 1113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
    <w:name w:val="Medium Grid 1 - Accent 113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
    <w:name w:val="Light Shading - Accent 1113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
    <w:name w:val="RSP_Style13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
    <w:name w:val="2012 2 table format13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
    <w:name w:val="Medium Grid 1 - Accent 613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
    <w:name w:val="Light List - Accent 613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
    <w:name w:val="Light Grid - Accent 1113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
    <w:name w:val="2012 Style13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
    <w:name w:val="Light Shading - Accent 1213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
    <w:name w:val="Medium Shading 1 - Accent 434"/>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
    <w:name w:val="Table Grid5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96814"/>
  </w:style>
  <w:style w:type="numbering" w:customStyle="1" w:styleId="CurrentList18">
    <w:name w:val="Current List18"/>
    <w:rsid w:val="00496814"/>
  </w:style>
  <w:style w:type="table" w:customStyle="1" w:styleId="TableGrid10">
    <w:name w:val="Table Grid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
    <w:name w:val="Light Grid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
    <w:name w:val="Medium Shading 1 - Accent 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
    <w:name w:val="Medium Grid 1 - Accent 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
    <w:name w:val="Light Shading - Accent 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
    <w:name w:val="RSP_Style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
    <w:name w:val="2012 2 table format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
    <w:name w:val="Medium Grid 1 - Accent 6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
    <w:name w:val="Light List - Accent 6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
    <w:name w:val="Light Grid - Accent 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
    <w:name w:val="2012 Style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
    <w:name w:val="Light Shading - Accent 12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
    <w:name w:val="No List19"/>
    <w:next w:val="NoList"/>
    <w:uiPriority w:val="99"/>
    <w:semiHidden/>
    <w:unhideWhenUsed/>
    <w:rsid w:val="00496814"/>
  </w:style>
  <w:style w:type="numbering" w:customStyle="1" w:styleId="CurrentList119">
    <w:name w:val="Current List119"/>
    <w:rsid w:val="00496814"/>
  </w:style>
  <w:style w:type="table" w:customStyle="1" w:styleId="TableGrid18">
    <w:name w:val="Table Grid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
    <w:name w:val="Bulleted List19"/>
    <w:rsid w:val="00496814"/>
  </w:style>
  <w:style w:type="table" w:customStyle="1" w:styleId="LightShading118">
    <w:name w:val="Light Shading1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
    <w:name w:val="Light Grid1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
    <w:name w:val="Medium Shading 1 - Accent 1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
    <w:name w:val="Medium Grid 1 - Accent 1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
    <w:name w:val="Light Shading - Accent 1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
    <w:name w:val="RSP_Style1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
    <w:name w:val="2012 2 table format1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
    <w:name w:val="Medium Grid 1 - Accent 61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
    <w:name w:val="Light List - Accent 61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
    <w:name w:val="Light Grid - Accent 1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
    <w:name w:val="2012 Style1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
    <w:name w:val="Light Shading - Accent 121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
    <w:name w:val="Medium Shading 1 - Accent 4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496814"/>
  </w:style>
  <w:style w:type="numbering" w:customStyle="1" w:styleId="CurrentList125">
    <w:name w:val="Current List125"/>
    <w:rsid w:val="00496814"/>
  </w:style>
  <w:style w:type="numbering" w:customStyle="1" w:styleId="BulletedList25">
    <w:name w:val="Bulleted List25"/>
    <w:rsid w:val="00496814"/>
  </w:style>
  <w:style w:type="numbering" w:customStyle="1" w:styleId="NoList115">
    <w:name w:val="No List115"/>
    <w:next w:val="NoList"/>
    <w:uiPriority w:val="99"/>
    <w:semiHidden/>
    <w:unhideWhenUsed/>
    <w:rsid w:val="00496814"/>
  </w:style>
  <w:style w:type="numbering" w:customStyle="1" w:styleId="CurrentList1115">
    <w:name w:val="Current List1115"/>
    <w:rsid w:val="00496814"/>
  </w:style>
  <w:style w:type="numbering" w:customStyle="1" w:styleId="BulletedList115">
    <w:name w:val="Bulleted List115"/>
    <w:rsid w:val="00496814"/>
  </w:style>
  <w:style w:type="numbering" w:customStyle="1" w:styleId="NoList35">
    <w:name w:val="No List35"/>
    <w:next w:val="NoList"/>
    <w:uiPriority w:val="99"/>
    <w:semiHidden/>
    <w:unhideWhenUsed/>
    <w:rsid w:val="00496814"/>
  </w:style>
  <w:style w:type="table" w:customStyle="1" w:styleId="TableGrid25">
    <w:name w:val="Table Grid2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
    <w:name w:val="Light Shading12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
    <w:name w:val="Light Grid12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
    <w:name w:val="Medium Shading 1 - Accent 112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
    <w:name w:val="Medium Grid 1 - Accent 12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
    <w:name w:val="Light Shading - Accent 112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
    <w:name w:val="RSP_Style2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
    <w:name w:val="2012 2 table format2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
    <w:name w:val="Medium Grid 1 - Accent 62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
    <w:name w:val="Light List - Accent 62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
    <w:name w:val="Light Grid - Accent 112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
    <w:name w:val="2012 Style2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
    <w:name w:val="Light Shading - Accent 12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
    <w:name w:val="No List125"/>
    <w:next w:val="NoList"/>
    <w:uiPriority w:val="99"/>
    <w:semiHidden/>
    <w:unhideWhenUsed/>
    <w:rsid w:val="00496814"/>
  </w:style>
  <w:style w:type="numbering" w:customStyle="1" w:styleId="CurrentList1125">
    <w:name w:val="Current List1125"/>
    <w:rsid w:val="00496814"/>
  </w:style>
  <w:style w:type="table" w:customStyle="1" w:styleId="TableGrid115">
    <w:name w:val="Table Grid1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
    <w:name w:val="Bulleted List125"/>
    <w:rsid w:val="00496814"/>
  </w:style>
  <w:style w:type="table" w:customStyle="1" w:styleId="LightShading1115">
    <w:name w:val="Light Shading11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
    <w:name w:val="Light Grid11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
    <w:name w:val="Medium Shading 1 - Accent 11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
    <w:name w:val="Medium Grid 1 - Accent 11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
    <w:name w:val="Light Shading - Accent 11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
    <w:name w:val="RSP_Style11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
    <w:name w:val="2012 2 table format11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
    <w:name w:val="Medium Grid 1 - Accent 611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
    <w:name w:val="Light List - Accent 611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
    <w:name w:val="Light Grid - Accent 11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
    <w:name w:val="2012 Style11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
    <w:name w:val="Light Shading - Accent 1211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
    <w:name w:val="Medium Shading 1 - Accent 41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
    <w:name w:val="No List45"/>
    <w:next w:val="NoList"/>
    <w:uiPriority w:val="99"/>
    <w:semiHidden/>
    <w:unhideWhenUsed/>
    <w:rsid w:val="00496814"/>
  </w:style>
  <w:style w:type="table" w:customStyle="1" w:styleId="TableGrid36">
    <w:name w:val="Table Grid3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
    <w:name w:val="Light Shading13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
    <w:name w:val="Light Grid13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
    <w:name w:val="Medium Shading 1 - Accent 113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
    <w:name w:val="Medium Grid 1 - Accent 13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
    <w:name w:val="Light Shading - Accent 113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
    <w:name w:val="RSP_Style3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
    <w:name w:val="2012 2 table format3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
    <w:name w:val="Medium Grid 1 - Accent 63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
    <w:name w:val="Light List - Accent 63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
    <w:name w:val="Light Grid - Accent 113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
    <w:name w:val="2012 Style3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
    <w:name w:val="Light Shading - Accent 123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
    <w:name w:val="No List135"/>
    <w:next w:val="NoList"/>
    <w:uiPriority w:val="99"/>
    <w:semiHidden/>
    <w:unhideWhenUsed/>
    <w:rsid w:val="00496814"/>
  </w:style>
  <w:style w:type="numbering" w:customStyle="1" w:styleId="CurrentList1135">
    <w:name w:val="Current List1135"/>
    <w:rsid w:val="00496814"/>
  </w:style>
  <w:style w:type="table" w:customStyle="1" w:styleId="TableGrid125">
    <w:name w:val="Table Grid12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
    <w:name w:val="Bulleted List135"/>
    <w:rsid w:val="00496814"/>
  </w:style>
  <w:style w:type="table" w:customStyle="1" w:styleId="LightShading1125">
    <w:name w:val="Light Shading112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
    <w:name w:val="Light Grid112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
    <w:name w:val="Medium Shading 1 - Accent 1112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
    <w:name w:val="Medium Grid 1 - Accent 112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
    <w:name w:val="Light Shading - Accent 1112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
    <w:name w:val="RSP_Style12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
    <w:name w:val="2012 2 table format12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
    <w:name w:val="Medium Grid 1 - Accent 612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
    <w:name w:val="Light List - Accent 612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
    <w:name w:val="Light Grid - Accent 1112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
    <w:name w:val="2012 Style12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
    <w:name w:val="Light Shading - Accent 121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
    <w:name w:val="Medium Shading 1 - Accent 42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
    <w:name w:val="Current List135"/>
    <w:rsid w:val="00496814"/>
  </w:style>
  <w:style w:type="table" w:customStyle="1" w:styleId="TableGrid315">
    <w:name w:val="Table Grid3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496814"/>
  </w:style>
  <w:style w:type="numbering" w:customStyle="1" w:styleId="CurrentList145">
    <w:name w:val="Current List145"/>
    <w:rsid w:val="00496814"/>
  </w:style>
  <w:style w:type="table" w:customStyle="1" w:styleId="TableGrid45">
    <w:name w:val="Table Grid45"/>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
    <w:name w:val="Bulleted List35"/>
    <w:rsid w:val="00496814"/>
  </w:style>
  <w:style w:type="table" w:customStyle="1" w:styleId="LightShading145">
    <w:name w:val="Light Shading14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
    <w:name w:val="Light Grid145"/>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
    <w:name w:val="Medium Shading 1 - Accent 1145"/>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
    <w:name w:val="Medium Grid 1 - Accent 145"/>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
    <w:name w:val="Light Shading - Accent 1145"/>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
    <w:name w:val="RSP_Style45"/>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
    <w:name w:val="2012 2 table format4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
    <w:name w:val="Medium Grid 1 - Accent 645"/>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
    <w:name w:val="Light List - Accent 645"/>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
    <w:name w:val="Light Grid - Accent 1145"/>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
    <w:name w:val="2012 Style45"/>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
    <w:name w:val="Light Shading - Accent 124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
    <w:name w:val="No List145"/>
    <w:next w:val="NoList"/>
    <w:uiPriority w:val="99"/>
    <w:semiHidden/>
    <w:unhideWhenUsed/>
    <w:rsid w:val="00496814"/>
  </w:style>
  <w:style w:type="numbering" w:customStyle="1" w:styleId="CurrentList1145">
    <w:name w:val="Current List1145"/>
    <w:rsid w:val="00496814"/>
  </w:style>
  <w:style w:type="table" w:customStyle="1" w:styleId="TableGrid135">
    <w:name w:val="Table Grid135"/>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
    <w:name w:val="Bulleted List145"/>
    <w:rsid w:val="00496814"/>
  </w:style>
  <w:style w:type="table" w:customStyle="1" w:styleId="LightShading1135">
    <w:name w:val="Light Shading113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
    <w:name w:val="Light Grid1135"/>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
    <w:name w:val="Medium Shading 1 - Accent 11135"/>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
    <w:name w:val="Medium Grid 1 - Accent 1135"/>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
    <w:name w:val="Light Shading - Accent 11135"/>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
    <w:name w:val="RSP_Style135"/>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
    <w:name w:val="2012 2 table format13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
    <w:name w:val="Medium Grid 1 - Accent 6135"/>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
    <w:name w:val="Light List - Accent 6135"/>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
    <w:name w:val="Light Grid - Accent 11135"/>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
    <w:name w:val="2012 Style135"/>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
    <w:name w:val="Light Shading - Accent 1213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
    <w:name w:val="Medium Shading 1 - Accent 435"/>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
    <w:name w:val="Table Grid5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6814"/>
  </w:style>
  <w:style w:type="numbering" w:customStyle="1" w:styleId="CurrentList19">
    <w:name w:val="Current List19"/>
    <w:rsid w:val="00496814"/>
  </w:style>
  <w:style w:type="table" w:customStyle="1" w:styleId="TableGrid19">
    <w:name w:val="Table Grid1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0">
    <w:name w:val="Light Shading11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0">
    <w:name w:val="Light Grid11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0">
    <w:name w:val="Medium Shading 1 - Accent 111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0">
    <w:name w:val="Medium Grid 1 - Accent 11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0">
    <w:name w:val="Light Shading - Accent 111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0">
    <w:name w:val="RSP_Style1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0">
    <w:name w:val="2012 2 table format1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0">
    <w:name w:val="Medium Grid 1 - Accent 61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0">
    <w:name w:val="Light List - Accent 61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0">
    <w:name w:val="Light Grid - Accent 111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0">
    <w:name w:val="2012 Style1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0">
    <w:name w:val="Light Shading - Accent 121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0">
    <w:name w:val="No List110"/>
    <w:next w:val="NoList"/>
    <w:uiPriority w:val="99"/>
    <w:semiHidden/>
    <w:unhideWhenUsed/>
    <w:rsid w:val="00496814"/>
  </w:style>
  <w:style w:type="numbering" w:customStyle="1" w:styleId="CurrentList1110">
    <w:name w:val="Current List1110"/>
    <w:rsid w:val="00496814"/>
  </w:style>
  <w:style w:type="table" w:customStyle="1" w:styleId="TableGrid110">
    <w:name w:val="Table Grid1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0">
    <w:name w:val="Bulleted List110"/>
    <w:rsid w:val="00496814"/>
  </w:style>
  <w:style w:type="table" w:customStyle="1" w:styleId="LightShading119">
    <w:name w:val="Light Shading1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9">
    <w:name w:val="Light Grid1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9">
    <w:name w:val="Medium Shading 1 - Accent 1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9">
    <w:name w:val="Medium Grid 1 - Accent 1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9">
    <w:name w:val="Light Shading - Accent 1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9">
    <w:name w:val="RSP_Style1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9">
    <w:name w:val="2012 2 table format1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9">
    <w:name w:val="Medium Grid 1 - Accent 61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9">
    <w:name w:val="Light List - Accent 61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9">
    <w:name w:val="Light Grid - Accent 1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9">
    <w:name w:val="2012 Style1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9">
    <w:name w:val="Light Shading - Accent 121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9">
    <w:name w:val="Medium Shading 1 - Accent 49"/>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496814"/>
  </w:style>
  <w:style w:type="numbering" w:customStyle="1" w:styleId="CurrentList126">
    <w:name w:val="Current List126"/>
    <w:rsid w:val="00496814"/>
  </w:style>
  <w:style w:type="numbering" w:customStyle="1" w:styleId="BulletedList26">
    <w:name w:val="Bulleted List26"/>
    <w:rsid w:val="00496814"/>
  </w:style>
  <w:style w:type="numbering" w:customStyle="1" w:styleId="NoList116">
    <w:name w:val="No List116"/>
    <w:next w:val="NoList"/>
    <w:uiPriority w:val="99"/>
    <w:semiHidden/>
    <w:unhideWhenUsed/>
    <w:rsid w:val="00496814"/>
  </w:style>
  <w:style w:type="numbering" w:customStyle="1" w:styleId="CurrentList1116">
    <w:name w:val="Current List1116"/>
    <w:rsid w:val="00496814"/>
  </w:style>
  <w:style w:type="numbering" w:customStyle="1" w:styleId="BulletedList116">
    <w:name w:val="Bulleted List116"/>
    <w:rsid w:val="00496814"/>
  </w:style>
  <w:style w:type="numbering" w:customStyle="1" w:styleId="NoList36">
    <w:name w:val="No List36"/>
    <w:next w:val="NoList"/>
    <w:uiPriority w:val="99"/>
    <w:semiHidden/>
    <w:unhideWhenUsed/>
    <w:rsid w:val="00496814"/>
  </w:style>
  <w:style w:type="table" w:customStyle="1" w:styleId="TableGrid26">
    <w:name w:val="Table Grid2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6">
    <w:name w:val="Light Shading12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6">
    <w:name w:val="Light Grid12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6">
    <w:name w:val="Medium Shading 1 - Accent 112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6">
    <w:name w:val="Medium Grid 1 - Accent 12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6">
    <w:name w:val="Light Shading - Accent 112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6">
    <w:name w:val="RSP_Style2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6">
    <w:name w:val="2012 2 table format2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6">
    <w:name w:val="Medium Grid 1 - Accent 62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6">
    <w:name w:val="Light List - Accent 62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6">
    <w:name w:val="Light Grid - Accent 112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6">
    <w:name w:val="2012 Style2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6">
    <w:name w:val="Light Shading - Accent 12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6">
    <w:name w:val="No List126"/>
    <w:next w:val="NoList"/>
    <w:uiPriority w:val="99"/>
    <w:semiHidden/>
    <w:unhideWhenUsed/>
    <w:rsid w:val="00496814"/>
  </w:style>
  <w:style w:type="numbering" w:customStyle="1" w:styleId="CurrentList1126">
    <w:name w:val="Current List1126"/>
    <w:rsid w:val="00496814"/>
  </w:style>
  <w:style w:type="table" w:customStyle="1" w:styleId="TableGrid116">
    <w:name w:val="Table Grid1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6">
    <w:name w:val="Bulleted List126"/>
    <w:rsid w:val="00496814"/>
  </w:style>
  <w:style w:type="table" w:customStyle="1" w:styleId="LightShading1116">
    <w:name w:val="Light Shading11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6">
    <w:name w:val="Light Grid11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6">
    <w:name w:val="Medium Shading 1 - Accent 11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6">
    <w:name w:val="Medium Grid 1 - Accent 11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6">
    <w:name w:val="Light Shading - Accent 11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6">
    <w:name w:val="RSP_Style11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6">
    <w:name w:val="2012 2 table format11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6">
    <w:name w:val="Medium Grid 1 - Accent 611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6">
    <w:name w:val="Light List - Accent 611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6">
    <w:name w:val="Light Grid - Accent 11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6">
    <w:name w:val="2012 Style11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6">
    <w:name w:val="Light Shading - Accent 1211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6">
    <w:name w:val="Medium Shading 1 - Accent 41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6">
    <w:name w:val="No List46"/>
    <w:next w:val="NoList"/>
    <w:uiPriority w:val="99"/>
    <w:semiHidden/>
    <w:unhideWhenUsed/>
    <w:rsid w:val="00496814"/>
  </w:style>
  <w:style w:type="table" w:customStyle="1" w:styleId="TableGrid37">
    <w:name w:val="Table Grid3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6">
    <w:name w:val="Light Shading13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6">
    <w:name w:val="Light Grid13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6">
    <w:name w:val="Medium Shading 1 - Accent 113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6">
    <w:name w:val="Medium Grid 1 - Accent 13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6">
    <w:name w:val="Light Shading - Accent 113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6">
    <w:name w:val="RSP_Style3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6">
    <w:name w:val="2012 2 table format3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6">
    <w:name w:val="Medium Grid 1 - Accent 63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6">
    <w:name w:val="Light List - Accent 63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6">
    <w:name w:val="Light Grid - Accent 113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6">
    <w:name w:val="2012 Style3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6">
    <w:name w:val="Light Shading - Accent 123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6">
    <w:name w:val="No List136"/>
    <w:next w:val="NoList"/>
    <w:uiPriority w:val="99"/>
    <w:semiHidden/>
    <w:unhideWhenUsed/>
    <w:rsid w:val="00496814"/>
  </w:style>
  <w:style w:type="numbering" w:customStyle="1" w:styleId="CurrentList1136">
    <w:name w:val="Current List1136"/>
    <w:rsid w:val="00496814"/>
  </w:style>
  <w:style w:type="table" w:customStyle="1" w:styleId="TableGrid126">
    <w:name w:val="Table Grid12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6">
    <w:name w:val="Bulleted List136"/>
    <w:rsid w:val="00496814"/>
  </w:style>
  <w:style w:type="table" w:customStyle="1" w:styleId="LightShading1126">
    <w:name w:val="Light Shading112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6">
    <w:name w:val="Light Grid112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6">
    <w:name w:val="Medium Shading 1 - Accent 1112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6">
    <w:name w:val="Medium Grid 1 - Accent 112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6">
    <w:name w:val="Light Shading - Accent 1112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6">
    <w:name w:val="RSP_Style12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6">
    <w:name w:val="2012 2 table format12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6">
    <w:name w:val="Medium Grid 1 - Accent 612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6">
    <w:name w:val="Light List - Accent 612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6">
    <w:name w:val="Light Grid - Accent 1112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6">
    <w:name w:val="2012 Style12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6">
    <w:name w:val="Light Shading - Accent 121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6">
    <w:name w:val="Medium Shading 1 - Accent 42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6">
    <w:name w:val="Current List136"/>
    <w:rsid w:val="00496814"/>
  </w:style>
  <w:style w:type="table" w:customStyle="1" w:styleId="TableGrid316">
    <w:name w:val="Table Grid3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496814"/>
  </w:style>
  <w:style w:type="numbering" w:customStyle="1" w:styleId="CurrentList146">
    <w:name w:val="Current List146"/>
    <w:rsid w:val="00496814"/>
  </w:style>
  <w:style w:type="table" w:customStyle="1" w:styleId="TableGrid46">
    <w:name w:val="Table Grid46"/>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6">
    <w:name w:val="Bulleted List36"/>
    <w:rsid w:val="00496814"/>
  </w:style>
  <w:style w:type="table" w:customStyle="1" w:styleId="LightShading146">
    <w:name w:val="Light Shading14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6">
    <w:name w:val="Light Grid146"/>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6">
    <w:name w:val="Medium Shading 1 - Accent 1146"/>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6">
    <w:name w:val="Medium Grid 1 - Accent 146"/>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6">
    <w:name w:val="Light Shading - Accent 1146"/>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6">
    <w:name w:val="RSP_Style46"/>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6">
    <w:name w:val="2012 2 table format4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6">
    <w:name w:val="Medium Grid 1 - Accent 646"/>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6">
    <w:name w:val="Light List - Accent 646"/>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6">
    <w:name w:val="Light Grid - Accent 1146"/>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6">
    <w:name w:val="2012 Style46"/>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6">
    <w:name w:val="Light Shading - Accent 124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6">
    <w:name w:val="No List146"/>
    <w:next w:val="NoList"/>
    <w:uiPriority w:val="99"/>
    <w:semiHidden/>
    <w:unhideWhenUsed/>
    <w:rsid w:val="00496814"/>
  </w:style>
  <w:style w:type="numbering" w:customStyle="1" w:styleId="CurrentList1146">
    <w:name w:val="Current List1146"/>
    <w:rsid w:val="00496814"/>
  </w:style>
  <w:style w:type="table" w:customStyle="1" w:styleId="TableGrid136">
    <w:name w:val="Table Grid136"/>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6">
    <w:name w:val="Bulleted List146"/>
    <w:rsid w:val="00496814"/>
  </w:style>
  <w:style w:type="table" w:customStyle="1" w:styleId="LightShading1136">
    <w:name w:val="Light Shading113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6">
    <w:name w:val="Light Grid1136"/>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6">
    <w:name w:val="Medium Shading 1 - Accent 11136"/>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6">
    <w:name w:val="Medium Grid 1 - Accent 1136"/>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6">
    <w:name w:val="Light Shading - Accent 11136"/>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6">
    <w:name w:val="RSP_Style136"/>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6">
    <w:name w:val="2012 2 table format13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6">
    <w:name w:val="Medium Grid 1 - Accent 6136"/>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6">
    <w:name w:val="Light List - Accent 6136"/>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6">
    <w:name w:val="Light Grid - Accent 11136"/>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6">
    <w:name w:val="2012 Style136"/>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6">
    <w:name w:val="Light Shading - Accent 1213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6">
    <w:name w:val="Medium Shading 1 - Accent 436"/>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7">
    <w:name w:val="Table Grid5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1">
    <w:name w:val="ISO Report Style11"/>
    <w:uiPriority w:val="99"/>
    <w:rsid w:val="00496814"/>
  </w:style>
  <w:style w:type="numbering" w:customStyle="1" w:styleId="NoList61">
    <w:name w:val="No List61"/>
    <w:next w:val="NoList"/>
    <w:uiPriority w:val="99"/>
    <w:semiHidden/>
    <w:unhideWhenUsed/>
    <w:rsid w:val="00496814"/>
  </w:style>
  <w:style w:type="table" w:customStyle="1" w:styleId="TableGrid61">
    <w:name w:val="Table Grid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1">
    <w:name w:val="Light Shading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1">
    <w:name w:val="Light Grid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1">
    <w:name w:val="Medium Shading 1 - Accent 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1">
    <w:name w:val="Medium Grid 1 - Accent 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1">
    <w:name w:val="Light Shading - Accent 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1">
    <w:name w:val="RSP_Style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1">
    <w:name w:val="2012 2 table format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1">
    <w:name w:val="Medium Grid 1 - Accent 6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1">
    <w:name w:val="Light List - Accent 6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1">
    <w:name w:val="Light Grid - Accent 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1">
    <w:name w:val="2012 Style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1">
    <w:name w:val="Light Shading - Accent 1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1">
    <w:name w:val="No List151"/>
    <w:next w:val="NoList"/>
    <w:uiPriority w:val="99"/>
    <w:semiHidden/>
    <w:unhideWhenUsed/>
    <w:rsid w:val="00496814"/>
  </w:style>
  <w:style w:type="numbering" w:customStyle="1" w:styleId="CurrentList1151">
    <w:name w:val="Current List1151"/>
    <w:rsid w:val="00496814"/>
  </w:style>
  <w:style w:type="table" w:customStyle="1" w:styleId="TableGrid141">
    <w:name w:val="Table Grid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1">
    <w:name w:val="Bulleted List151"/>
    <w:rsid w:val="00496814"/>
  </w:style>
  <w:style w:type="table" w:customStyle="1" w:styleId="LightShading1141">
    <w:name w:val="Light Shading1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1">
    <w:name w:val="Light Grid11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1">
    <w:name w:val="Medium Shading 1 - Accent 111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1">
    <w:name w:val="Medium Grid 1 - Accent 11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1">
    <w:name w:val="Light Shading - Accent 111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1">
    <w:name w:val="RSP_Style1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1">
    <w:name w:val="2012 2 table format1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1">
    <w:name w:val="Medium Grid 1 - Accent 61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1">
    <w:name w:val="Light List - Accent 61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1">
    <w:name w:val="Light Grid - Accent 111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1">
    <w:name w:val="2012 Style1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1">
    <w:name w:val="Light Shading - Accent 121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1">
    <w:name w:val="Medium Shading 1 - Accent 4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496814"/>
  </w:style>
  <w:style w:type="numbering" w:customStyle="1" w:styleId="CurrentList1211">
    <w:name w:val="Current List1211"/>
    <w:rsid w:val="00496814"/>
  </w:style>
  <w:style w:type="numbering" w:customStyle="1" w:styleId="BulletedList211">
    <w:name w:val="Bulleted List211"/>
    <w:rsid w:val="00496814"/>
  </w:style>
  <w:style w:type="numbering" w:customStyle="1" w:styleId="NoList11111">
    <w:name w:val="No List11111"/>
    <w:next w:val="NoList"/>
    <w:uiPriority w:val="99"/>
    <w:semiHidden/>
    <w:unhideWhenUsed/>
    <w:rsid w:val="00496814"/>
  </w:style>
  <w:style w:type="numbering" w:customStyle="1" w:styleId="CurrentList11111">
    <w:name w:val="Current List11111"/>
    <w:rsid w:val="00496814"/>
  </w:style>
  <w:style w:type="numbering" w:customStyle="1" w:styleId="BulletedList1111">
    <w:name w:val="Bulleted List1111"/>
    <w:rsid w:val="00496814"/>
  </w:style>
  <w:style w:type="numbering" w:customStyle="1" w:styleId="NoList311">
    <w:name w:val="No List311"/>
    <w:next w:val="NoList"/>
    <w:uiPriority w:val="99"/>
    <w:semiHidden/>
    <w:unhideWhenUsed/>
    <w:rsid w:val="00496814"/>
  </w:style>
  <w:style w:type="table" w:customStyle="1" w:styleId="TableGrid211">
    <w:name w:val="Table Grid2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1">
    <w:name w:val="Light Shading12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1">
    <w:name w:val="Light Grid12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1">
    <w:name w:val="Medium Shading 1 - Accent 112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1">
    <w:name w:val="Medium Grid 1 - Accent 12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1">
    <w:name w:val="Light Shading - Accent 112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1">
    <w:name w:val="RSP_Style2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1">
    <w:name w:val="2012 2 table format2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1">
    <w:name w:val="Medium Grid 1 - Accent 62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1">
    <w:name w:val="Light List - Accent 62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1">
    <w:name w:val="Light Grid - Accent 112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1">
    <w:name w:val="2012 Style2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1">
    <w:name w:val="Light Shading - Accent 12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1">
    <w:name w:val="No List1211"/>
    <w:next w:val="NoList"/>
    <w:uiPriority w:val="99"/>
    <w:semiHidden/>
    <w:unhideWhenUsed/>
    <w:rsid w:val="00496814"/>
  </w:style>
  <w:style w:type="numbering" w:customStyle="1" w:styleId="CurrentList11211">
    <w:name w:val="Current List11211"/>
    <w:rsid w:val="00496814"/>
  </w:style>
  <w:style w:type="table" w:customStyle="1" w:styleId="TableGrid1111">
    <w:name w:val="Table Grid1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1">
    <w:name w:val="Bulleted List1211"/>
    <w:rsid w:val="00496814"/>
  </w:style>
  <w:style w:type="table" w:customStyle="1" w:styleId="LightShading11111">
    <w:name w:val="Light Shading11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1">
    <w:name w:val="Light Grid11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1">
    <w:name w:val="Medium Shading 1 - Accent 11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1">
    <w:name w:val="Medium Grid 1 - Accent 11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1">
    <w:name w:val="Light Shading - Accent 11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1">
    <w:name w:val="RSP_Style11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1">
    <w:name w:val="2012 2 table format11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1">
    <w:name w:val="Medium Grid 1 - Accent 611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1">
    <w:name w:val="Light List - Accent 611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1">
    <w:name w:val="Light Grid - Accent 11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1">
    <w:name w:val="2012 Style11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1">
    <w:name w:val="Light Shading - Accent 1211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1">
    <w:name w:val="Medium Shading 1 - Accent 41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1">
    <w:name w:val="No List411"/>
    <w:next w:val="NoList"/>
    <w:uiPriority w:val="99"/>
    <w:semiHidden/>
    <w:unhideWhenUsed/>
    <w:rsid w:val="00496814"/>
  </w:style>
  <w:style w:type="table" w:customStyle="1" w:styleId="TableGrid321">
    <w:name w:val="Table Grid3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1">
    <w:name w:val="Light Shading13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1">
    <w:name w:val="Light Grid13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1">
    <w:name w:val="Medium Shading 1 - Accent 113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1">
    <w:name w:val="Medium Grid 1 - Accent 13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1">
    <w:name w:val="Light Shading - Accent 113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1">
    <w:name w:val="RSP_Style3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1">
    <w:name w:val="2012 2 table format3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1">
    <w:name w:val="Medium Grid 1 - Accent 63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1">
    <w:name w:val="Light List - Accent 63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1">
    <w:name w:val="Light Grid - Accent 113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1">
    <w:name w:val="2012 Style3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1">
    <w:name w:val="Light Shading - Accent 123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1">
    <w:name w:val="No List1311"/>
    <w:next w:val="NoList"/>
    <w:uiPriority w:val="99"/>
    <w:semiHidden/>
    <w:unhideWhenUsed/>
    <w:rsid w:val="00496814"/>
  </w:style>
  <w:style w:type="numbering" w:customStyle="1" w:styleId="CurrentList11311">
    <w:name w:val="Current List11311"/>
    <w:rsid w:val="00496814"/>
  </w:style>
  <w:style w:type="table" w:customStyle="1" w:styleId="TableGrid1211">
    <w:name w:val="Table Grid12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1">
    <w:name w:val="Bulleted List1311"/>
    <w:rsid w:val="00496814"/>
  </w:style>
  <w:style w:type="table" w:customStyle="1" w:styleId="LightShading11211">
    <w:name w:val="Light Shading112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1">
    <w:name w:val="Light Grid112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1">
    <w:name w:val="Medium Shading 1 - Accent 1112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1">
    <w:name w:val="Medium Grid 1 - Accent 112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1">
    <w:name w:val="Light Shading - Accent 1112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1">
    <w:name w:val="RSP_Style12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1">
    <w:name w:val="2012 2 table format12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1">
    <w:name w:val="Medium Grid 1 - Accent 612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1">
    <w:name w:val="Light List - Accent 612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1">
    <w:name w:val="Light Grid - Accent 1112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1">
    <w:name w:val="2012 Style12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1">
    <w:name w:val="Light Shading - Accent 121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1">
    <w:name w:val="Medium Shading 1 - Accent 42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1">
    <w:name w:val="Current List1311"/>
    <w:rsid w:val="00496814"/>
  </w:style>
  <w:style w:type="table" w:customStyle="1" w:styleId="TableGrid3111">
    <w:name w:val="Table Grid3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496814"/>
  </w:style>
  <w:style w:type="numbering" w:customStyle="1" w:styleId="CurrentList1411">
    <w:name w:val="Current List1411"/>
    <w:rsid w:val="00496814"/>
  </w:style>
  <w:style w:type="table" w:customStyle="1" w:styleId="TableGrid411">
    <w:name w:val="Table Grid41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1">
    <w:name w:val="Bulleted List311"/>
    <w:rsid w:val="00496814"/>
  </w:style>
  <w:style w:type="table" w:customStyle="1" w:styleId="LightShading1411">
    <w:name w:val="Light Shading14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1">
    <w:name w:val="Light Grid141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1">
    <w:name w:val="Medium Shading 1 - Accent 1141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1">
    <w:name w:val="Medium Grid 1 - Accent 141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1">
    <w:name w:val="Light Shading - Accent 1141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1">
    <w:name w:val="RSP_Style41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1">
    <w:name w:val="2012 2 table format4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1">
    <w:name w:val="Medium Grid 1 - Accent 641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1">
    <w:name w:val="Light List - Accent 641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1">
    <w:name w:val="Light Grid - Accent 1141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1">
    <w:name w:val="2012 Style41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1">
    <w:name w:val="Light Shading - Accent 124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1">
    <w:name w:val="No List1411"/>
    <w:next w:val="NoList"/>
    <w:uiPriority w:val="99"/>
    <w:semiHidden/>
    <w:unhideWhenUsed/>
    <w:rsid w:val="00496814"/>
  </w:style>
  <w:style w:type="numbering" w:customStyle="1" w:styleId="CurrentList11411">
    <w:name w:val="Current List11411"/>
    <w:rsid w:val="00496814"/>
  </w:style>
  <w:style w:type="table" w:customStyle="1" w:styleId="TableGrid1311">
    <w:name w:val="Table Grid131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1">
    <w:name w:val="Bulleted List1411"/>
    <w:rsid w:val="00496814"/>
  </w:style>
  <w:style w:type="table" w:customStyle="1" w:styleId="LightShading11311">
    <w:name w:val="Light Shading113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1">
    <w:name w:val="Light Grid1131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1">
    <w:name w:val="Medium Shading 1 - Accent 11131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1">
    <w:name w:val="Medium Grid 1 - Accent 1131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1">
    <w:name w:val="Light Shading - Accent 11131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1">
    <w:name w:val="RSP_Style131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1">
    <w:name w:val="2012 2 table format13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1">
    <w:name w:val="Medium Grid 1 - Accent 6131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1">
    <w:name w:val="Light List - Accent 6131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1">
    <w:name w:val="Light Grid - Accent 11131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1">
    <w:name w:val="2012 Style131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1">
    <w:name w:val="Light Shading - Accent 1213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1">
    <w:name w:val="Medium Shading 1 - Accent 431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1">
    <w:name w:val="Table Grid5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496814"/>
  </w:style>
  <w:style w:type="table" w:customStyle="1" w:styleId="TableGrid71">
    <w:name w:val="Table Grid7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1">
    <w:name w:val="Light Shading16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1">
    <w:name w:val="Light Grid16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1">
    <w:name w:val="Medium Shading 1 - Accent 116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1">
    <w:name w:val="Medium Grid 1 - Accent 16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1">
    <w:name w:val="Light Shading - Accent 116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1">
    <w:name w:val="RSP_Style6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1">
    <w:name w:val="2012 2 table format6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1">
    <w:name w:val="Medium Grid 1 - Accent 6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1">
    <w:name w:val="Light List - Accent 6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1">
    <w:name w:val="Light Grid - Accent 116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1">
    <w:name w:val="2012 Style6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1">
    <w:name w:val="Light Shading - Accent 126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1">
    <w:name w:val="No List161"/>
    <w:next w:val="NoList"/>
    <w:uiPriority w:val="99"/>
    <w:semiHidden/>
    <w:unhideWhenUsed/>
    <w:rsid w:val="00496814"/>
  </w:style>
  <w:style w:type="numbering" w:customStyle="1" w:styleId="CurrentList1161">
    <w:name w:val="Current List1161"/>
    <w:rsid w:val="00496814"/>
  </w:style>
  <w:style w:type="table" w:customStyle="1" w:styleId="TableGrid151">
    <w:name w:val="Table Grid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1">
    <w:name w:val="Bulleted List161"/>
    <w:rsid w:val="00496814"/>
  </w:style>
  <w:style w:type="table" w:customStyle="1" w:styleId="LightShading1151">
    <w:name w:val="Light Shading1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1">
    <w:name w:val="Light Grid1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1">
    <w:name w:val="Medium Shading 1 - Accent 1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1">
    <w:name w:val="Medium Grid 1 - Accent 1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1">
    <w:name w:val="Light Shading - Accent 1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1">
    <w:name w:val="RSP_Style1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1">
    <w:name w:val="2012 2 table format1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1">
    <w:name w:val="Medium Grid 1 - Accent 61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1">
    <w:name w:val="Light List - Accent 61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1">
    <w:name w:val="Light Grid - Accent 1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1">
    <w:name w:val="2012 Style1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1">
    <w:name w:val="Light Shading - Accent 121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1">
    <w:name w:val="Medium Shading 1 - Accent 4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1">
    <w:name w:val="No List221"/>
    <w:next w:val="NoList"/>
    <w:uiPriority w:val="99"/>
    <w:semiHidden/>
    <w:unhideWhenUsed/>
    <w:rsid w:val="00496814"/>
  </w:style>
  <w:style w:type="numbering" w:customStyle="1" w:styleId="CurrentList1221">
    <w:name w:val="Current List1221"/>
    <w:rsid w:val="00496814"/>
  </w:style>
  <w:style w:type="numbering" w:customStyle="1" w:styleId="BulletedList221">
    <w:name w:val="Bulleted List221"/>
    <w:rsid w:val="00496814"/>
  </w:style>
  <w:style w:type="numbering" w:customStyle="1" w:styleId="NoList1121">
    <w:name w:val="No List1121"/>
    <w:next w:val="NoList"/>
    <w:uiPriority w:val="99"/>
    <w:semiHidden/>
    <w:unhideWhenUsed/>
    <w:rsid w:val="00496814"/>
  </w:style>
  <w:style w:type="numbering" w:customStyle="1" w:styleId="CurrentList11121">
    <w:name w:val="Current List11121"/>
    <w:rsid w:val="00496814"/>
  </w:style>
  <w:style w:type="numbering" w:customStyle="1" w:styleId="BulletedList1121">
    <w:name w:val="Bulleted List1121"/>
    <w:rsid w:val="00496814"/>
  </w:style>
  <w:style w:type="numbering" w:customStyle="1" w:styleId="NoList321">
    <w:name w:val="No List321"/>
    <w:next w:val="NoList"/>
    <w:uiPriority w:val="99"/>
    <w:semiHidden/>
    <w:unhideWhenUsed/>
    <w:rsid w:val="00496814"/>
  </w:style>
  <w:style w:type="table" w:customStyle="1" w:styleId="TableGrid222">
    <w:name w:val="Table Grid2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1">
    <w:name w:val="Light Shading12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1">
    <w:name w:val="Light Grid12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1">
    <w:name w:val="Medium Shading 1 - Accent 112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1">
    <w:name w:val="Medium Grid 1 - Accent 12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1">
    <w:name w:val="Light Shading - Accent 112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1">
    <w:name w:val="RSP_Style2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1">
    <w:name w:val="2012 2 table format2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1">
    <w:name w:val="Medium Grid 1 - Accent 62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1">
    <w:name w:val="Light List - Accent 62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1">
    <w:name w:val="Light Grid - Accent 112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1">
    <w:name w:val="2012 Style2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1">
    <w:name w:val="Light Shading - Accent 12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1">
    <w:name w:val="No List1221"/>
    <w:next w:val="NoList"/>
    <w:uiPriority w:val="99"/>
    <w:semiHidden/>
    <w:unhideWhenUsed/>
    <w:rsid w:val="00496814"/>
  </w:style>
  <w:style w:type="numbering" w:customStyle="1" w:styleId="CurrentList11221">
    <w:name w:val="Current List11221"/>
    <w:rsid w:val="00496814"/>
  </w:style>
  <w:style w:type="table" w:customStyle="1" w:styleId="TableGrid1121">
    <w:name w:val="Table Grid1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1">
    <w:name w:val="Bulleted List1221"/>
    <w:rsid w:val="00496814"/>
  </w:style>
  <w:style w:type="table" w:customStyle="1" w:styleId="LightShading11121">
    <w:name w:val="Light Shading11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1">
    <w:name w:val="Light Grid11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1">
    <w:name w:val="Medium Shading 1 - Accent 11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1">
    <w:name w:val="Medium Grid 1 - Accent 11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1">
    <w:name w:val="Light Shading - Accent 11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1">
    <w:name w:val="RSP_Style11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1">
    <w:name w:val="2012 2 table format11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1">
    <w:name w:val="Medium Grid 1 - Accent 611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1">
    <w:name w:val="Light List - Accent 611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1">
    <w:name w:val="Light Grid - Accent 11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1">
    <w:name w:val="2012 Style11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1">
    <w:name w:val="Light Shading - Accent 121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1">
    <w:name w:val="Medium Shading 1 - Accent 41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1">
    <w:name w:val="No List421"/>
    <w:next w:val="NoList"/>
    <w:uiPriority w:val="99"/>
    <w:semiHidden/>
    <w:unhideWhenUsed/>
    <w:rsid w:val="00496814"/>
  </w:style>
  <w:style w:type="table" w:customStyle="1" w:styleId="TableGrid331">
    <w:name w:val="Table Grid3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1">
    <w:name w:val="Light Shading13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1">
    <w:name w:val="Light Grid13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1">
    <w:name w:val="Medium Shading 1 - Accent 113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1">
    <w:name w:val="Medium Grid 1 - Accent 13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1">
    <w:name w:val="Light Shading - Accent 113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1">
    <w:name w:val="RSP_Style3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1">
    <w:name w:val="2012 2 table format3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1">
    <w:name w:val="Medium Grid 1 - Accent 63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1">
    <w:name w:val="Light List - Accent 63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1">
    <w:name w:val="Light Grid - Accent 113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1">
    <w:name w:val="2012 Style3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1">
    <w:name w:val="Light Shading - Accent 123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1">
    <w:name w:val="No List1321"/>
    <w:next w:val="NoList"/>
    <w:uiPriority w:val="99"/>
    <w:semiHidden/>
    <w:unhideWhenUsed/>
    <w:rsid w:val="00496814"/>
  </w:style>
  <w:style w:type="numbering" w:customStyle="1" w:styleId="CurrentList11321">
    <w:name w:val="Current List11321"/>
    <w:rsid w:val="00496814"/>
  </w:style>
  <w:style w:type="table" w:customStyle="1" w:styleId="TableGrid1221">
    <w:name w:val="Table Grid12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1">
    <w:name w:val="Bulleted List1321"/>
    <w:rsid w:val="00496814"/>
  </w:style>
  <w:style w:type="table" w:customStyle="1" w:styleId="LightShading11221">
    <w:name w:val="Light Shading112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1">
    <w:name w:val="Light Grid112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1">
    <w:name w:val="Medium Shading 1 - Accent 1112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1">
    <w:name w:val="Medium Grid 1 - Accent 112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1">
    <w:name w:val="Light Shading - Accent 1112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1">
    <w:name w:val="RSP_Style12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1">
    <w:name w:val="2012 2 table format12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1">
    <w:name w:val="Medium Grid 1 - Accent 612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1">
    <w:name w:val="Light List - Accent 612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1">
    <w:name w:val="Light Grid - Accent 1112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1">
    <w:name w:val="2012 Style12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1">
    <w:name w:val="Light Shading - Accent 121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1">
    <w:name w:val="Medium Shading 1 - Accent 42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1">
    <w:name w:val="Current List1321"/>
    <w:rsid w:val="00496814"/>
  </w:style>
  <w:style w:type="table" w:customStyle="1" w:styleId="TableGrid3121">
    <w:name w:val="Table Grid3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496814"/>
  </w:style>
  <w:style w:type="numbering" w:customStyle="1" w:styleId="CurrentList1421">
    <w:name w:val="Current List1421"/>
    <w:rsid w:val="00496814"/>
  </w:style>
  <w:style w:type="table" w:customStyle="1" w:styleId="TableGrid421">
    <w:name w:val="Table Grid42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1">
    <w:name w:val="Bulleted List321"/>
    <w:rsid w:val="00496814"/>
  </w:style>
  <w:style w:type="table" w:customStyle="1" w:styleId="LightShading1421">
    <w:name w:val="Light Shading14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1">
    <w:name w:val="Light Grid142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1">
    <w:name w:val="Medium Shading 1 - Accent 1142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1">
    <w:name w:val="Medium Grid 1 - Accent 142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1">
    <w:name w:val="Light Shading - Accent 1142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1">
    <w:name w:val="RSP_Style42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1">
    <w:name w:val="2012 2 table format4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1">
    <w:name w:val="Medium Grid 1 - Accent 642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1">
    <w:name w:val="Light List - Accent 642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1">
    <w:name w:val="Light Grid - Accent 1142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1">
    <w:name w:val="2012 Style42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1">
    <w:name w:val="Light Shading - Accent 124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1">
    <w:name w:val="No List1421"/>
    <w:next w:val="NoList"/>
    <w:uiPriority w:val="99"/>
    <w:semiHidden/>
    <w:unhideWhenUsed/>
    <w:rsid w:val="00496814"/>
  </w:style>
  <w:style w:type="numbering" w:customStyle="1" w:styleId="CurrentList11421">
    <w:name w:val="Current List11421"/>
    <w:rsid w:val="00496814"/>
  </w:style>
  <w:style w:type="table" w:customStyle="1" w:styleId="TableGrid1321">
    <w:name w:val="Table Grid132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1">
    <w:name w:val="Bulleted List1421"/>
    <w:rsid w:val="00496814"/>
  </w:style>
  <w:style w:type="table" w:customStyle="1" w:styleId="LightShading11321">
    <w:name w:val="Light Shading113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1">
    <w:name w:val="Light Grid1132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1">
    <w:name w:val="Medium Shading 1 - Accent 11132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1">
    <w:name w:val="Medium Grid 1 - Accent 1132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1">
    <w:name w:val="Light Shading - Accent 11132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1">
    <w:name w:val="RSP_Style132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1">
    <w:name w:val="2012 2 table format13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1">
    <w:name w:val="Medium Grid 1 - Accent 6132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1">
    <w:name w:val="Light List - Accent 6132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1">
    <w:name w:val="Light Grid - Accent 11132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1">
    <w:name w:val="2012 Style132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1">
    <w:name w:val="Light Shading - Accent 1213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1">
    <w:name w:val="Medium Shading 1 - Accent 432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1">
    <w:name w:val="Table Grid5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496814"/>
  </w:style>
  <w:style w:type="numbering" w:customStyle="1" w:styleId="CurrentList161">
    <w:name w:val="Current List161"/>
    <w:rsid w:val="00496814"/>
  </w:style>
  <w:style w:type="table" w:customStyle="1" w:styleId="TableGrid81">
    <w:name w:val="Table Grid8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1">
    <w:name w:val="Light Shading17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1">
    <w:name w:val="Light Grid17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1">
    <w:name w:val="Medium Shading 1 - Accent 117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1">
    <w:name w:val="Medium Grid 1 - Accent 17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1">
    <w:name w:val="Light Shading - Accent 117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1">
    <w:name w:val="RSP_Style7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1">
    <w:name w:val="2012 2 table format7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1">
    <w:name w:val="Medium Grid 1 - Accent 67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1">
    <w:name w:val="Light List - Accent 67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1">
    <w:name w:val="Light Grid - Accent 117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1">
    <w:name w:val="2012 Style7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1">
    <w:name w:val="Light Shading - Accent 127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1">
    <w:name w:val="No List171"/>
    <w:next w:val="NoList"/>
    <w:uiPriority w:val="99"/>
    <w:semiHidden/>
    <w:unhideWhenUsed/>
    <w:rsid w:val="00496814"/>
  </w:style>
  <w:style w:type="numbering" w:customStyle="1" w:styleId="CurrentList1171">
    <w:name w:val="Current List1171"/>
    <w:rsid w:val="00496814"/>
  </w:style>
  <w:style w:type="table" w:customStyle="1" w:styleId="TableGrid161">
    <w:name w:val="Table Grid1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1">
    <w:name w:val="Bulleted List171"/>
    <w:rsid w:val="00496814"/>
  </w:style>
  <w:style w:type="table" w:customStyle="1" w:styleId="LightShading1161">
    <w:name w:val="Light Shading116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1">
    <w:name w:val="Light Grid116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1">
    <w:name w:val="Medium Shading 1 - Accent 1116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1">
    <w:name w:val="Medium Grid 1 - Accent 116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1">
    <w:name w:val="Light Shading - Accent 1116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1">
    <w:name w:val="RSP_Style16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1">
    <w:name w:val="2012 2 table format16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1">
    <w:name w:val="Medium Grid 1 - Accent 61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1">
    <w:name w:val="Light List - Accent 61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1">
    <w:name w:val="Light Grid - Accent 1116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1">
    <w:name w:val="2012 Style16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1">
    <w:name w:val="Light Shading - Accent 1216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1">
    <w:name w:val="Medium Shading 1 - Accent 46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1">
    <w:name w:val="No List231"/>
    <w:next w:val="NoList"/>
    <w:uiPriority w:val="99"/>
    <w:semiHidden/>
    <w:unhideWhenUsed/>
    <w:rsid w:val="00496814"/>
  </w:style>
  <w:style w:type="numbering" w:customStyle="1" w:styleId="CurrentList1231">
    <w:name w:val="Current List1231"/>
    <w:rsid w:val="00496814"/>
  </w:style>
  <w:style w:type="numbering" w:customStyle="1" w:styleId="BulletedList231">
    <w:name w:val="Bulleted List231"/>
    <w:rsid w:val="00496814"/>
  </w:style>
  <w:style w:type="numbering" w:customStyle="1" w:styleId="NoList1131">
    <w:name w:val="No List1131"/>
    <w:next w:val="NoList"/>
    <w:uiPriority w:val="99"/>
    <w:semiHidden/>
    <w:unhideWhenUsed/>
    <w:rsid w:val="00496814"/>
  </w:style>
  <w:style w:type="numbering" w:customStyle="1" w:styleId="CurrentList11131">
    <w:name w:val="Current List11131"/>
    <w:rsid w:val="00496814"/>
  </w:style>
  <w:style w:type="numbering" w:customStyle="1" w:styleId="BulletedList1131">
    <w:name w:val="Bulleted List1131"/>
    <w:rsid w:val="00496814"/>
  </w:style>
  <w:style w:type="numbering" w:customStyle="1" w:styleId="NoList331">
    <w:name w:val="No List331"/>
    <w:next w:val="NoList"/>
    <w:uiPriority w:val="99"/>
    <w:semiHidden/>
    <w:unhideWhenUsed/>
    <w:rsid w:val="00496814"/>
  </w:style>
  <w:style w:type="table" w:customStyle="1" w:styleId="TableGrid231">
    <w:name w:val="Table Grid2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1">
    <w:name w:val="Light Shading12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1">
    <w:name w:val="Light Grid12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1">
    <w:name w:val="Medium Shading 1 - Accent 112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1">
    <w:name w:val="Medium Grid 1 - Accent 12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1">
    <w:name w:val="Light Shading - Accent 112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1">
    <w:name w:val="RSP_Style2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1">
    <w:name w:val="2012 2 table format2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1">
    <w:name w:val="Medium Grid 1 - Accent 62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1">
    <w:name w:val="Light List - Accent 62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1">
    <w:name w:val="Light Grid - Accent 112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1">
    <w:name w:val="2012 Style2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1">
    <w:name w:val="Light Shading - Accent 12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1">
    <w:name w:val="No List1231"/>
    <w:next w:val="NoList"/>
    <w:uiPriority w:val="99"/>
    <w:semiHidden/>
    <w:unhideWhenUsed/>
    <w:rsid w:val="00496814"/>
  </w:style>
  <w:style w:type="numbering" w:customStyle="1" w:styleId="CurrentList11231">
    <w:name w:val="Current List11231"/>
    <w:rsid w:val="00496814"/>
  </w:style>
  <w:style w:type="table" w:customStyle="1" w:styleId="TableGrid1131">
    <w:name w:val="Table Grid11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1">
    <w:name w:val="Bulleted List1231"/>
    <w:rsid w:val="00496814"/>
  </w:style>
  <w:style w:type="table" w:customStyle="1" w:styleId="LightShading11131">
    <w:name w:val="Light Shading11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1">
    <w:name w:val="Light Grid111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1">
    <w:name w:val="Medium Shading 1 - Accent 1111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1">
    <w:name w:val="Medium Grid 1 - Accent 111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1">
    <w:name w:val="Light Shading - Accent 1111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1">
    <w:name w:val="RSP_Style11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1">
    <w:name w:val="2012 2 table format11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1">
    <w:name w:val="Medium Grid 1 - Accent 611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1">
    <w:name w:val="Light List - Accent 611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1">
    <w:name w:val="Light Grid - Accent 1111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1">
    <w:name w:val="2012 Style11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1">
    <w:name w:val="Light Shading - Accent 1211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1">
    <w:name w:val="Medium Shading 1 - Accent 413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1">
    <w:name w:val="No List431"/>
    <w:next w:val="NoList"/>
    <w:uiPriority w:val="99"/>
    <w:semiHidden/>
    <w:unhideWhenUsed/>
    <w:rsid w:val="00496814"/>
  </w:style>
  <w:style w:type="table" w:customStyle="1" w:styleId="TableGrid341">
    <w:name w:val="Table Grid3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1">
    <w:name w:val="Light Shading13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1">
    <w:name w:val="Light Grid13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1">
    <w:name w:val="Medium Shading 1 - Accent 113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1">
    <w:name w:val="Medium Grid 1 - Accent 13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1">
    <w:name w:val="Light Shading - Accent 113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1">
    <w:name w:val="RSP_Style3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1">
    <w:name w:val="2012 2 table format3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1">
    <w:name w:val="Medium Grid 1 - Accent 63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1">
    <w:name w:val="Light List - Accent 63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1">
    <w:name w:val="Light Grid - Accent 113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1">
    <w:name w:val="2012 Style3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1">
    <w:name w:val="Light Shading - Accent 123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1">
    <w:name w:val="No List1331"/>
    <w:next w:val="NoList"/>
    <w:uiPriority w:val="99"/>
    <w:semiHidden/>
    <w:unhideWhenUsed/>
    <w:rsid w:val="00496814"/>
  </w:style>
  <w:style w:type="numbering" w:customStyle="1" w:styleId="CurrentList11331">
    <w:name w:val="Current List11331"/>
    <w:rsid w:val="00496814"/>
  </w:style>
  <w:style w:type="table" w:customStyle="1" w:styleId="TableGrid1231">
    <w:name w:val="Table Grid12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1">
    <w:name w:val="Bulleted List1331"/>
    <w:rsid w:val="00496814"/>
  </w:style>
  <w:style w:type="table" w:customStyle="1" w:styleId="LightShading11231">
    <w:name w:val="Light Shading112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1">
    <w:name w:val="Light Grid112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1">
    <w:name w:val="Medium Shading 1 - Accent 1112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1">
    <w:name w:val="Medium Grid 1 - Accent 112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1">
    <w:name w:val="Light Shading - Accent 1112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1">
    <w:name w:val="RSP_Style12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1">
    <w:name w:val="2012 2 table format12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1">
    <w:name w:val="Medium Grid 1 - Accent 612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1">
    <w:name w:val="Light List - Accent 612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1">
    <w:name w:val="Light Grid - Accent 1112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1">
    <w:name w:val="2012 Style12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1">
    <w:name w:val="Light Shading - Accent 121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1">
    <w:name w:val="Medium Shading 1 - Accent 423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1">
    <w:name w:val="Current List1331"/>
    <w:rsid w:val="00496814"/>
  </w:style>
  <w:style w:type="table" w:customStyle="1" w:styleId="TableGrid3131">
    <w:name w:val="Table Grid31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1">
    <w:name w:val="ISO Report Style21"/>
    <w:uiPriority w:val="99"/>
    <w:rsid w:val="00496814"/>
  </w:style>
  <w:style w:type="numbering" w:customStyle="1" w:styleId="NoList531">
    <w:name w:val="No List531"/>
    <w:next w:val="NoList"/>
    <w:uiPriority w:val="99"/>
    <w:semiHidden/>
    <w:unhideWhenUsed/>
    <w:rsid w:val="00496814"/>
  </w:style>
  <w:style w:type="numbering" w:customStyle="1" w:styleId="CurrentList1431">
    <w:name w:val="Current List1431"/>
    <w:rsid w:val="00496814"/>
  </w:style>
  <w:style w:type="table" w:customStyle="1" w:styleId="TableGrid431">
    <w:name w:val="Table Grid4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1">
    <w:name w:val="Bulleted List331"/>
    <w:rsid w:val="00496814"/>
  </w:style>
  <w:style w:type="table" w:customStyle="1" w:styleId="LightShading1431">
    <w:name w:val="Light Shading14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1">
    <w:name w:val="Light Grid14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1">
    <w:name w:val="Medium Shading 1 - Accent 114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1">
    <w:name w:val="Medium Grid 1 - Accent 14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1">
    <w:name w:val="Light Shading - Accent 114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1">
    <w:name w:val="RSP_Style4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1">
    <w:name w:val="2012 2 table format4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1">
    <w:name w:val="Medium Grid 1 - Accent 64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1">
    <w:name w:val="Light List - Accent 64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1">
    <w:name w:val="Light Grid - Accent 114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1">
    <w:name w:val="2012 Style4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1">
    <w:name w:val="Light Shading - Accent 124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1">
    <w:name w:val="No List1431"/>
    <w:next w:val="NoList"/>
    <w:uiPriority w:val="99"/>
    <w:semiHidden/>
    <w:unhideWhenUsed/>
    <w:rsid w:val="00496814"/>
  </w:style>
  <w:style w:type="numbering" w:customStyle="1" w:styleId="CurrentList11431">
    <w:name w:val="Current List11431"/>
    <w:rsid w:val="00496814"/>
  </w:style>
  <w:style w:type="table" w:customStyle="1" w:styleId="TableGrid1331">
    <w:name w:val="Table Grid13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1">
    <w:name w:val="Bulleted List1431"/>
    <w:rsid w:val="00496814"/>
  </w:style>
  <w:style w:type="table" w:customStyle="1" w:styleId="LightShading11331">
    <w:name w:val="Light Shading113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1">
    <w:name w:val="Light Grid113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1">
    <w:name w:val="Medium Shading 1 - Accent 1113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1">
    <w:name w:val="Medium Grid 1 - Accent 113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1">
    <w:name w:val="Light Shading - Accent 1113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1">
    <w:name w:val="RSP_Style13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1">
    <w:name w:val="2012 2 table format13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1">
    <w:name w:val="Medium Grid 1 - Accent 613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1">
    <w:name w:val="Light List - Accent 613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1">
    <w:name w:val="Light Grid - Accent 1113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1">
    <w:name w:val="2012 Style13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1">
    <w:name w:val="Light Shading - Accent 1213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1">
    <w:name w:val="Medium Shading 1 - Accent 433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1">
    <w:name w:val="Table Grid5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496814"/>
  </w:style>
  <w:style w:type="numbering" w:customStyle="1" w:styleId="CurrentList171">
    <w:name w:val="Current List171"/>
    <w:rsid w:val="00496814"/>
  </w:style>
  <w:style w:type="table" w:customStyle="1" w:styleId="TableGrid91">
    <w:name w:val="Table Grid9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1">
    <w:name w:val="Light Shading18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1">
    <w:name w:val="Light Grid18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1">
    <w:name w:val="Medium Shading 1 - Accent 118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1">
    <w:name w:val="Medium Grid 1 - Accent 18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1">
    <w:name w:val="Light Shading - Accent 118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1">
    <w:name w:val="RSP_Style8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1">
    <w:name w:val="2012 2 table format8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1">
    <w:name w:val="Medium Grid 1 - Accent 68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1">
    <w:name w:val="Light List - Accent 68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1">
    <w:name w:val="Light Grid - Accent 118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1">
    <w:name w:val="2012 Style8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1">
    <w:name w:val="Light Shading - Accent 128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1">
    <w:name w:val="No List181"/>
    <w:next w:val="NoList"/>
    <w:uiPriority w:val="99"/>
    <w:semiHidden/>
    <w:unhideWhenUsed/>
    <w:rsid w:val="00496814"/>
  </w:style>
  <w:style w:type="numbering" w:customStyle="1" w:styleId="CurrentList1181">
    <w:name w:val="Current List1181"/>
    <w:rsid w:val="00496814"/>
  </w:style>
  <w:style w:type="table" w:customStyle="1" w:styleId="TableGrid171">
    <w:name w:val="Table Grid17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1">
    <w:name w:val="Bulleted List181"/>
    <w:rsid w:val="00496814"/>
  </w:style>
  <w:style w:type="table" w:customStyle="1" w:styleId="LightShading1171">
    <w:name w:val="Light Shading117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1">
    <w:name w:val="Light Grid117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1">
    <w:name w:val="Medium Shading 1 - Accent 1117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1">
    <w:name w:val="Medium Grid 1 - Accent 117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1">
    <w:name w:val="Light Shading - Accent 1117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1">
    <w:name w:val="RSP_Style17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1">
    <w:name w:val="2012 2 table format17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1">
    <w:name w:val="Medium Grid 1 - Accent 617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1">
    <w:name w:val="Light List - Accent 617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1">
    <w:name w:val="Light Grid - Accent 1117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1">
    <w:name w:val="2012 Style17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1">
    <w:name w:val="Light Shading - Accent 1217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1">
    <w:name w:val="Medium Shading 1 - Accent 47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1">
    <w:name w:val="No List241"/>
    <w:next w:val="NoList"/>
    <w:uiPriority w:val="99"/>
    <w:semiHidden/>
    <w:unhideWhenUsed/>
    <w:rsid w:val="00496814"/>
  </w:style>
  <w:style w:type="numbering" w:customStyle="1" w:styleId="CurrentList1241">
    <w:name w:val="Current List1241"/>
    <w:rsid w:val="00496814"/>
  </w:style>
  <w:style w:type="numbering" w:customStyle="1" w:styleId="BulletedList241">
    <w:name w:val="Bulleted List241"/>
    <w:rsid w:val="00496814"/>
  </w:style>
  <w:style w:type="numbering" w:customStyle="1" w:styleId="NoList1141">
    <w:name w:val="No List1141"/>
    <w:next w:val="NoList"/>
    <w:uiPriority w:val="99"/>
    <w:semiHidden/>
    <w:unhideWhenUsed/>
    <w:rsid w:val="00496814"/>
  </w:style>
  <w:style w:type="numbering" w:customStyle="1" w:styleId="CurrentList11141">
    <w:name w:val="Current List11141"/>
    <w:rsid w:val="00496814"/>
  </w:style>
  <w:style w:type="numbering" w:customStyle="1" w:styleId="BulletedList1141">
    <w:name w:val="Bulleted List1141"/>
    <w:rsid w:val="00496814"/>
  </w:style>
  <w:style w:type="numbering" w:customStyle="1" w:styleId="NoList341">
    <w:name w:val="No List341"/>
    <w:next w:val="NoList"/>
    <w:uiPriority w:val="99"/>
    <w:semiHidden/>
    <w:unhideWhenUsed/>
    <w:rsid w:val="00496814"/>
  </w:style>
  <w:style w:type="table" w:customStyle="1" w:styleId="TableGrid241">
    <w:name w:val="Table Grid2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1">
    <w:name w:val="Light Shading12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1">
    <w:name w:val="Light Grid12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1">
    <w:name w:val="Medium Shading 1 - Accent 112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1">
    <w:name w:val="Medium Grid 1 - Accent 12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1">
    <w:name w:val="Light Shading - Accent 112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1">
    <w:name w:val="RSP_Style2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1">
    <w:name w:val="2012 2 table format2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1">
    <w:name w:val="Medium Grid 1 - Accent 62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1">
    <w:name w:val="Light List - Accent 62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1">
    <w:name w:val="Light Grid - Accent 112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1">
    <w:name w:val="2012 Style2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1">
    <w:name w:val="Light Shading - Accent 12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1">
    <w:name w:val="No List1241"/>
    <w:next w:val="NoList"/>
    <w:uiPriority w:val="99"/>
    <w:semiHidden/>
    <w:unhideWhenUsed/>
    <w:rsid w:val="00496814"/>
  </w:style>
  <w:style w:type="numbering" w:customStyle="1" w:styleId="CurrentList11241">
    <w:name w:val="Current List11241"/>
    <w:rsid w:val="00496814"/>
  </w:style>
  <w:style w:type="table" w:customStyle="1" w:styleId="TableGrid1141">
    <w:name w:val="Table Grid1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1">
    <w:name w:val="Bulleted List1241"/>
    <w:rsid w:val="00496814"/>
  </w:style>
  <w:style w:type="table" w:customStyle="1" w:styleId="LightShading11141">
    <w:name w:val="Light Shading11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1">
    <w:name w:val="Light Grid111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1">
    <w:name w:val="Medium Shading 1 - Accent 1111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1">
    <w:name w:val="Medium Grid 1 - Accent 111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1">
    <w:name w:val="Light Shading - Accent 1111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1">
    <w:name w:val="RSP_Style11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1">
    <w:name w:val="2012 2 table format11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1">
    <w:name w:val="Medium Grid 1 - Accent 611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1">
    <w:name w:val="Light List - Accent 611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1">
    <w:name w:val="Light Grid - Accent 1111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1">
    <w:name w:val="2012 Style11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1">
    <w:name w:val="Light Shading - Accent 1211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1">
    <w:name w:val="Medium Shading 1 - Accent 41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1">
    <w:name w:val="No List441"/>
    <w:next w:val="NoList"/>
    <w:uiPriority w:val="99"/>
    <w:semiHidden/>
    <w:unhideWhenUsed/>
    <w:rsid w:val="00496814"/>
  </w:style>
  <w:style w:type="table" w:customStyle="1" w:styleId="TableGrid351">
    <w:name w:val="Table Grid3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1">
    <w:name w:val="Light Shading13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1">
    <w:name w:val="Light Grid13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1">
    <w:name w:val="Medium Shading 1 - Accent 113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1">
    <w:name w:val="Medium Grid 1 - Accent 13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1">
    <w:name w:val="Light Shading - Accent 113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1">
    <w:name w:val="RSP_Style3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1">
    <w:name w:val="2012 2 table format3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1">
    <w:name w:val="Medium Grid 1 - Accent 63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1">
    <w:name w:val="Light List - Accent 63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1">
    <w:name w:val="Light Grid - Accent 113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1">
    <w:name w:val="2012 Style3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1">
    <w:name w:val="Light Shading - Accent 123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1">
    <w:name w:val="No List1341"/>
    <w:next w:val="NoList"/>
    <w:uiPriority w:val="99"/>
    <w:semiHidden/>
    <w:unhideWhenUsed/>
    <w:rsid w:val="00496814"/>
  </w:style>
  <w:style w:type="numbering" w:customStyle="1" w:styleId="CurrentList11341">
    <w:name w:val="Current List11341"/>
    <w:rsid w:val="00496814"/>
  </w:style>
  <w:style w:type="table" w:customStyle="1" w:styleId="TableGrid1241">
    <w:name w:val="Table Grid12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1">
    <w:name w:val="Bulleted List1341"/>
    <w:rsid w:val="00496814"/>
  </w:style>
  <w:style w:type="table" w:customStyle="1" w:styleId="LightShading11241">
    <w:name w:val="Light Shading112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1">
    <w:name w:val="Light Grid112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1">
    <w:name w:val="Medium Shading 1 - Accent 1112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1">
    <w:name w:val="Medium Grid 1 - Accent 112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1">
    <w:name w:val="Light Shading - Accent 1112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1">
    <w:name w:val="RSP_Style12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1">
    <w:name w:val="2012 2 table format12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1">
    <w:name w:val="Medium Grid 1 - Accent 612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1">
    <w:name w:val="Light List - Accent 612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1">
    <w:name w:val="Light Grid - Accent 1112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1">
    <w:name w:val="2012 Style12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1">
    <w:name w:val="Light Shading - Accent 121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1">
    <w:name w:val="Medium Shading 1 - Accent 42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1">
    <w:name w:val="Current List1341"/>
    <w:rsid w:val="00496814"/>
  </w:style>
  <w:style w:type="table" w:customStyle="1" w:styleId="TableGrid3141">
    <w:name w:val="Table Grid3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496814"/>
  </w:style>
  <w:style w:type="numbering" w:customStyle="1" w:styleId="CurrentList1441">
    <w:name w:val="Current List1441"/>
    <w:rsid w:val="00496814"/>
  </w:style>
  <w:style w:type="table" w:customStyle="1" w:styleId="TableGrid441">
    <w:name w:val="Table Grid4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1">
    <w:name w:val="Bulleted List341"/>
    <w:rsid w:val="00496814"/>
  </w:style>
  <w:style w:type="table" w:customStyle="1" w:styleId="LightShading1441">
    <w:name w:val="Light Shading14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1">
    <w:name w:val="Light Grid14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1">
    <w:name w:val="Medium Shading 1 - Accent 114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1">
    <w:name w:val="Medium Grid 1 - Accent 14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1">
    <w:name w:val="Light Shading - Accent 114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1">
    <w:name w:val="RSP_Style4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1">
    <w:name w:val="2012 2 table format4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1">
    <w:name w:val="Medium Grid 1 - Accent 64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1">
    <w:name w:val="Light List - Accent 64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1">
    <w:name w:val="Light Grid - Accent 114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1">
    <w:name w:val="2012 Style4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1">
    <w:name w:val="Light Shading - Accent 124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1">
    <w:name w:val="No List1441"/>
    <w:next w:val="NoList"/>
    <w:uiPriority w:val="99"/>
    <w:semiHidden/>
    <w:unhideWhenUsed/>
    <w:rsid w:val="00496814"/>
  </w:style>
  <w:style w:type="numbering" w:customStyle="1" w:styleId="CurrentList11441">
    <w:name w:val="Current List11441"/>
    <w:rsid w:val="00496814"/>
  </w:style>
  <w:style w:type="table" w:customStyle="1" w:styleId="TableGrid1341">
    <w:name w:val="Table Grid13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1">
    <w:name w:val="Bulleted List1441"/>
    <w:rsid w:val="00496814"/>
  </w:style>
  <w:style w:type="table" w:customStyle="1" w:styleId="LightShading11341">
    <w:name w:val="Light Shading113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1">
    <w:name w:val="Light Grid113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1">
    <w:name w:val="Medium Shading 1 - Accent 1113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1">
    <w:name w:val="Medium Grid 1 - Accent 113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1">
    <w:name w:val="Light Shading - Accent 1113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1">
    <w:name w:val="RSP_Style13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1">
    <w:name w:val="2012 2 table format13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1">
    <w:name w:val="Medium Grid 1 - Accent 613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1">
    <w:name w:val="Light List - Accent 613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1">
    <w:name w:val="Light Grid - Accent 1113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1">
    <w:name w:val="2012 Style13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1">
    <w:name w:val="Light Shading - Accent 1213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1">
    <w:name w:val="Medium Shading 1 - Accent 434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1">
    <w:name w:val="Table Grid5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496814"/>
  </w:style>
  <w:style w:type="numbering" w:customStyle="1" w:styleId="CurrentList181">
    <w:name w:val="Current List181"/>
    <w:rsid w:val="00496814"/>
  </w:style>
  <w:style w:type="table" w:customStyle="1" w:styleId="TableGrid101">
    <w:name w:val="Table Grid10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1">
    <w:name w:val="Light Shading19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1">
    <w:name w:val="Light Grid19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1">
    <w:name w:val="Medium Shading 1 - Accent 119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1">
    <w:name w:val="Medium Grid 1 - Accent 19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1">
    <w:name w:val="Light Shading - Accent 119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1">
    <w:name w:val="RSP_Style9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1">
    <w:name w:val="2012 2 table format9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1">
    <w:name w:val="Medium Grid 1 - Accent 69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1">
    <w:name w:val="Light List - Accent 69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1">
    <w:name w:val="Light Grid - Accent 119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1">
    <w:name w:val="2012 Style9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1">
    <w:name w:val="Light Shading - Accent 129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1">
    <w:name w:val="No List191"/>
    <w:next w:val="NoList"/>
    <w:uiPriority w:val="99"/>
    <w:semiHidden/>
    <w:unhideWhenUsed/>
    <w:rsid w:val="00496814"/>
  </w:style>
  <w:style w:type="numbering" w:customStyle="1" w:styleId="CurrentList1191">
    <w:name w:val="Current List1191"/>
    <w:rsid w:val="00496814"/>
  </w:style>
  <w:style w:type="table" w:customStyle="1" w:styleId="TableGrid181">
    <w:name w:val="Table Grid18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1">
    <w:name w:val="Bulleted List191"/>
    <w:rsid w:val="00496814"/>
  </w:style>
  <w:style w:type="table" w:customStyle="1" w:styleId="LightShading1181">
    <w:name w:val="Light Shading118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1">
    <w:name w:val="Light Grid118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1">
    <w:name w:val="Medium Shading 1 - Accent 1118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1">
    <w:name w:val="Medium Grid 1 - Accent 118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1">
    <w:name w:val="Light Shading - Accent 1118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1">
    <w:name w:val="RSP_Style18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1">
    <w:name w:val="2012 2 table format18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1">
    <w:name w:val="Medium Grid 1 - Accent 618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1">
    <w:name w:val="Light List - Accent 618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1">
    <w:name w:val="Light Grid - Accent 1118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1">
    <w:name w:val="2012 Style18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1">
    <w:name w:val="Light Shading - Accent 1218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1">
    <w:name w:val="Medium Shading 1 - Accent 48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1">
    <w:name w:val="No List251"/>
    <w:next w:val="NoList"/>
    <w:uiPriority w:val="99"/>
    <w:semiHidden/>
    <w:unhideWhenUsed/>
    <w:rsid w:val="00496814"/>
  </w:style>
  <w:style w:type="numbering" w:customStyle="1" w:styleId="CurrentList1251">
    <w:name w:val="Current List1251"/>
    <w:rsid w:val="00496814"/>
  </w:style>
  <w:style w:type="numbering" w:customStyle="1" w:styleId="BulletedList251">
    <w:name w:val="Bulleted List251"/>
    <w:rsid w:val="00496814"/>
  </w:style>
  <w:style w:type="numbering" w:customStyle="1" w:styleId="NoList1151">
    <w:name w:val="No List1151"/>
    <w:next w:val="NoList"/>
    <w:uiPriority w:val="99"/>
    <w:semiHidden/>
    <w:unhideWhenUsed/>
    <w:rsid w:val="00496814"/>
  </w:style>
  <w:style w:type="numbering" w:customStyle="1" w:styleId="CurrentList11151">
    <w:name w:val="Current List11151"/>
    <w:rsid w:val="00496814"/>
  </w:style>
  <w:style w:type="numbering" w:customStyle="1" w:styleId="BulletedList1151">
    <w:name w:val="Bulleted List1151"/>
    <w:rsid w:val="00496814"/>
  </w:style>
  <w:style w:type="numbering" w:customStyle="1" w:styleId="NoList351">
    <w:name w:val="No List351"/>
    <w:next w:val="NoList"/>
    <w:uiPriority w:val="99"/>
    <w:semiHidden/>
    <w:unhideWhenUsed/>
    <w:rsid w:val="00496814"/>
  </w:style>
  <w:style w:type="table" w:customStyle="1" w:styleId="TableGrid251">
    <w:name w:val="Table Grid2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1">
    <w:name w:val="Light Shading12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1">
    <w:name w:val="Light Grid12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1">
    <w:name w:val="Medium Shading 1 - Accent 112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1">
    <w:name w:val="Medium Grid 1 - Accent 12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1">
    <w:name w:val="Light Shading - Accent 112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1">
    <w:name w:val="RSP_Style2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1">
    <w:name w:val="2012 2 table format2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1">
    <w:name w:val="Medium Grid 1 - Accent 62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1">
    <w:name w:val="Light List - Accent 62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1">
    <w:name w:val="Light Grid - Accent 112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1">
    <w:name w:val="2012 Style2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1">
    <w:name w:val="Light Shading - Accent 12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1">
    <w:name w:val="No List1251"/>
    <w:next w:val="NoList"/>
    <w:uiPriority w:val="99"/>
    <w:semiHidden/>
    <w:unhideWhenUsed/>
    <w:rsid w:val="00496814"/>
  </w:style>
  <w:style w:type="numbering" w:customStyle="1" w:styleId="CurrentList11251">
    <w:name w:val="Current List11251"/>
    <w:rsid w:val="00496814"/>
  </w:style>
  <w:style w:type="table" w:customStyle="1" w:styleId="TableGrid1151">
    <w:name w:val="Table Grid1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1">
    <w:name w:val="Bulleted List1251"/>
    <w:rsid w:val="00496814"/>
  </w:style>
  <w:style w:type="table" w:customStyle="1" w:styleId="LightShading11151">
    <w:name w:val="Light Shading11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1">
    <w:name w:val="Light Grid11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1">
    <w:name w:val="Medium Shading 1 - Accent 11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1">
    <w:name w:val="Medium Grid 1 - Accent 11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1">
    <w:name w:val="Light Shading - Accent 11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1">
    <w:name w:val="RSP_Style11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1">
    <w:name w:val="2012 2 table format11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1">
    <w:name w:val="Medium Grid 1 - Accent 611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1">
    <w:name w:val="Light List - Accent 611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1">
    <w:name w:val="Light Grid - Accent 11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1">
    <w:name w:val="2012 Style11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1">
    <w:name w:val="Light Shading - Accent 1211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1">
    <w:name w:val="Medium Shading 1 - Accent 41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1">
    <w:name w:val="No List451"/>
    <w:next w:val="NoList"/>
    <w:uiPriority w:val="99"/>
    <w:semiHidden/>
    <w:unhideWhenUsed/>
    <w:rsid w:val="00496814"/>
  </w:style>
  <w:style w:type="table" w:customStyle="1" w:styleId="TableGrid361">
    <w:name w:val="Table Grid3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1">
    <w:name w:val="Light Shading13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1">
    <w:name w:val="Light Grid13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1">
    <w:name w:val="Medium Shading 1 - Accent 113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1">
    <w:name w:val="Medium Grid 1 - Accent 13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1">
    <w:name w:val="Light Shading - Accent 113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1">
    <w:name w:val="RSP_Style3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1">
    <w:name w:val="2012 2 table format3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1">
    <w:name w:val="Medium Grid 1 - Accent 63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1">
    <w:name w:val="Light List - Accent 63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1">
    <w:name w:val="Light Grid - Accent 113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1">
    <w:name w:val="2012 Style3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1">
    <w:name w:val="Light Shading - Accent 123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1">
    <w:name w:val="No List1351"/>
    <w:next w:val="NoList"/>
    <w:uiPriority w:val="99"/>
    <w:semiHidden/>
    <w:unhideWhenUsed/>
    <w:rsid w:val="00496814"/>
  </w:style>
  <w:style w:type="numbering" w:customStyle="1" w:styleId="CurrentList11351">
    <w:name w:val="Current List11351"/>
    <w:rsid w:val="00496814"/>
  </w:style>
  <w:style w:type="table" w:customStyle="1" w:styleId="TableGrid1251">
    <w:name w:val="Table Grid12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1">
    <w:name w:val="Bulleted List1351"/>
    <w:rsid w:val="00496814"/>
  </w:style>
  <w:style w:type="table" w:customStyle="1" w:styleId="LightShading11251">
    <w:name w:val="Light Shading112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1">
    <w:name w:val="Light Grid112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1">
    <w:name w:val="Medium Shading 1 - Accent 1112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1">
    <w:name w:val="Medium Grid 1 - Accent 112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1">
    <w:name w:val="Light Shading - Accent 1112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1">
    <w:name w:val="RSP_Style12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1">
    <w:name w:val="2012 2 table format12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1">
    <w:name w:val="Medium Grid 1 - Accent 612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1">
    <w:name w:val="Light List - Accent 612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1">
    <w:name w:val="Light Grid - Accent 1112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1">
    <w:name w:val="2012 Style12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1">
    <w:name w:val="Light Shading - Accent 121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1">
    <w:name w:val="Medium Shading 1 - Accent 42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1">
    <w:name w:val="Current List1351"/>
    <w:rsid w:val="00496814"/>
  </w:style>
  <w:style w:type="table" w:customStyle="1" w:styleId="TableGrid3151">
    <w:name w:val="Table Grid3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496814"/>
  </w:style>
  <w:style w:type="numbering" w:customStyle="1" w:styleId="CurrentList1451">
    <w:name w:val="Current List1451"/>
    <w:rsid w:val="00496814"/>
  </w:style>
  <w:style w:type="table" w:customStyle="1" w:styleId="TableGrid451">
    <w:name w:val="Table Grid45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1">
    <w:name w:val="Bulleted List351"/>
    <w:rsid w:val="00496814"/>
  </w:style>
  <w:style w:type="table" w:customStyle="1" w:styleId="LightShading1451">
    <w:name w:val="Light Shading14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1">
    <w:name w:val="Light Grid145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1">
    <w:name w:val="Medium Shading 1 - Accent 1145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1">
    <w:name w:val="Medium Grid 1 - Accent 145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1">
    <w:name w:val="Light Shading - Accent 1145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1">
    <w:name w:val="RSP_Style45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1">
    <w:name w:val="2012 2 table format4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1">
    <w:name w:val="Medium Grid 1 - Accent 645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1">
    <w:name w:val="Light List - Accent 645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1">
    <w:name w:val="Light Grid - Accent 1145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1">
    <w:name w:val="2012 Style45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1">
    <w:name w:val="Light Shading - Accent 124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1">
    <w:name w:val="No List1451"/>
    <w:next w:val="NoList"/>
    <w:uiPriority w:val="99"/>
    <w:semiHidden/>
    <w:unhideWhenUsed/>
    <w:rsid w:val="00496814"/>
  </w:style>
  <w:style w:type="numbering" w:customStyle="1" w:styleId="CurrentList11451">
    <w:name w:val="Current List11451"/>
    <w:rsid w:val="00496814"/>
  </w:style>
  <w:style w:type="table" w:customStyle="1" w:styleId="TableGrid1351">
    <w:name w:val="Table Grid135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1">
    <w:name w:val="Bulleted List1451"/>
    <w:rsid w:val="00496814"/>
  </w:style>
  <w:style w:type="table" w:customStyle="1" w:styleId="LightShading11351">
    <w:name w:val="Light Shading113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1">
    <w:name w:val="Light Grid1135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1">
    <w:name w:val="Medium Shading 1 - Accent 11135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1">
    <w:name w:val="Medium Grid 1 - Accent 1135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1">
    <w:name w:val="Light Shading - Accent 11135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1">
    <w:name w:val="RSP_Style135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1">
    <w:name w:val="2012 2 table format13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1">
    <w:name w:val="Medium Grid 1 - Accent 6135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1">
    <w:name w:val="Light List - Accent 6135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1">
    <w:name w:val="Light Grid - Accent 11135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1">
    <w:name w:val="2012 Style135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1">
    <w:name w:val="Light Shading - Accent 1213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1">
    <w:name w:val="Medium Shading 1 - Accent 435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1">
    <w:name w:val="Table Grid5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496814"/>
    <w:rPr>
      <w:rFonts w:cs="NeueHaasGroteskText Std"/>
      <w:color w:val="000000"/>
      <w:sz w:val="11"/>
      <w:szCs w:val="11"/>
    </w:rPr>
  </w:style>
  <w:style w:type="paragraph" w:customStyle="1" w:styleId="Pa18">
    <w:name w:val="Pa18"/>
    <w:basedOn w:val="Normal"/>
    <w:next w:val="Normal"/>
    <w:uiPriority w:val="99"/>
    <w:rsid w:val="00496814"/>
    <w:pPr>
      <w:autoSpaceDE w:val="0"/>
      <w:autoSpaceDN w:val="0"/>
      <w:adjustRightInd w:val="0"/>
      <w:spacing w:after="0" w:line="191" w:lineRule="atLeast"/>
    </w:pPr>
    <w:rPr>
      <w:rFonts w:ascii="Produkt Semibold" w:hAnsi="Produkt Semibold" w:cstheme="minorBidi"/>
      <w:sz w:val="24"/>
      <w:szCs w:val="24"/>
    </w:rPr>
  </w:style>
  <w:style w:type="character" w:customStyle="1" w:styleId="A8">
    <w:name w:val="A8"/>
    <w:uiPriority w:val="99"/>
    <w:rsid w:val="00496814"/>
    <w:rPr>
      <w:rFonts w:cs="Duplicate Ionic"/>
      <w:b/>
      <w:bCs/>
      <w:color w:val="000000"/>
      <w:sz w:val="28"/>
      <w:szCs w:val="28"/>
    </w:rPr>
  </w:style>
  <w:style w:type="numbering" w:customStyle="1" w:styleId="NoList27">
    <w:name w:val="No List27"/>
    <w:next w:val="NoList"/>
    <w:uiPriority w:val="99"/>
    <w:semiHidden/>
    <w:unhideWhenUsed/>
    <w:rsid w:val="00496814"/>
  </w:style>
  <w:style w:type="numbering" w:customStyle="1" w:styleId="CurrentList110">
    <w:name w:val="Current List110"/>
    <w:rsid w:val="00496814"/>
  </w:style>
  <w:style w:type="table" w:customStyle="1" w:styleId="TableGrid20">
    <w:name w:val="Table Grid2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0">
    <w:name w:val="Light Shading12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0">
    <w:name w:val="Light Grid12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0">
    <w:name w:val="Medium Shading 1 - Accent 112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0">
    <w:name w:val="Medium Grid 1 - Accent 12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0">
    <w:name w:val="Light Shading - Accent 112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0">
    <w:name w:val="RSP_Style2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0">
    <w:name w:val="2012 2 table format2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0">
    <w:name w:val="Medium Grid 1 - Accent 62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0">
    <w:name w:val="Light List - Accent 62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0">
    <w:name w:val="Light Grid - Accent 112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0">
    <w:name w:val="2012 Style2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0">
    <w:name w:val="Light Shading - Accent 122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7">
    <w:name w:val="No List117"/>
    <w:next w:val="NoList"/>
    <w:uiPriority w:val="99"/>
    <w:semiHidden/>
    <w:unhideWhenUsed/>
    <w:rsid w:val="00496814"/>
  </w:style>
  <w:style w:type="numbering" w:customStyle="1" w:styleId="CurrentList1117">
    <w:name w:val="Current List1117"/>
    <w:rsid w:val="00496814"/>
  </w:style>
  <w:style w:type="table" w:customStyle="1" w:styleId="TableGrid117">
    <w:name w:val="Table Grid1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7">
    <w:name w:val="Bulleted List117"/>
    <w:rsid w:val="00496814"/>
  </w:style>
  <w:style w:type="table" w:customStyle="1" w:styleId="LightShading1110">
    <w:name w:val="Light Shading111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0">
    <w:name w:val="Light Grid111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0">
    <w:name w:val="Medium Shading 1 - Accent 1111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0">
    <w:name w:val="Medium Grid 1 - Accent 111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0">
    <w:name w:val="Light Shading - Accent 1111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0">
    <w:name w:val="RSP_Style11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0">
    <w:name w:val="2012 2 table format11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0">
    <w:name w:val="Medium Grid 1 - Accent 611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0">
    <w:name w:val="Light List - Accent 611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0">
    <w:name w:val="Light Grid - Accent 1111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0">
    <w:name w:val="2012 Style11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0">
    <w:name w:val="Light Shading - Accent 1211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0">
    <w:name w:val="Medium Shading 1 - Accent 410"/>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8">
    <w:name w:val="No List28"/>
    <w:next w:val="NoList"/>
    <w:uiPriority w:val="99"/>
    <w:semiHidden/>
    <w:unhideWhenUsed/>
    <w:rsid w:val="00496814"/>
  </w:style>
  <w:style w:type="numbering" w:customStyle="1" w:styleId="CurrentList127">
    <w:name w:val="Current List127"/>
    <w:rsid w:val="00496814"/>
  </w:style>
  <w:style w:type="numbering" w:customStyle="1" w:styleId="BulletedList27">
    <w:name w:val="Bulleted List27"/>
    <w:rsid w:val="00496814"/>
  </w:style>
  <w:style w:type="numbering" w:customStyle="1" w:styleId="NoList118">
    <w:name w:val="No List118"/>
    <w:next w:val="NoList"/>
    <w:uiPriority w:val="99"/>
    <w:semiHidden/>
    <w:unhideWhenUsed/>
    <w:rsid w:val="00496814"/>
  </w:style>
  <w:style w:type="numbering" w:customStyle="1" w:styleId="CurrentList1118">
    <w:name w:val="Current List1118"/>
    <w:rsid w:val="00496814"/>
  </w:style>
  <w:style w:type="numbering" w:customStyle="1" w:styleId="BulletedList118">
    <w:name w:val="Bulleted List118"/>
    <w:rsid w:val="00496814"/>
  </w:style>
  <w:style w:type="numbering" w:customStyle="1" w:styleId="NoList37">
    <w:name w:val="No List37"/>
    <w:next w:val="NoList"/>
    <w:uiPriority w:val="99"/>
    <w:semiHidden/>
    <w:unhideWhenUsed/>
    <w:rsid w:val="00496814"/>
  </w:style>
  <w:style w:type="table" w:customStyle="1" w:styleId="TableGrid27">
    <w:name w:val="Table Grid2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7">
    <w:name w:val="Light Shading12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7">
    <w:name w:val="Light Grid12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7">
    <w:name w:val="Medium Shading 1 - Accent 112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7">
    <w:name w:val="Medium Grid 1 - Accent 12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7">
    <w:name w:val="Light Shading - Accent 112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7">
    <w:name w:val="RSP_Style2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7">
    <w:name w:val="2012 2 table format2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7">
    <w:name w:val="Medium Grid 1 - Accent 62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7">
    <w:name w:val="Light List - Accent 62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7">
    <w:name w:val="Light Grid - Accent 112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7">
    <w:name w:val="2012 Style2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7">
    <w:name w:val="Light Shading - Accent 12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7">
    <w:name w:val="No List127"/>
    <w:next w:val="NoList"/>
    <w:uiPriority w:val="99"/>
    <w:semiHidden/>
    <w:unhideWhenUsed/>
    <w:rsid w:val="00496814"/>
  </w:style>
  <w:style w:type="numbering" w:customStyle="1" w:styleId="CurrentList1127">
    <w:name w:val="Current List1127"/>
    <w:rsid w:val="00496814"/>
  </w:style>
  <w:style w:type="table" w:customStyle="1" w:styleId="TableGrid118">
    <w:name w:val="Table Grid1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7">
    <w:name w:val="Bulleted List127"/>
    <w:rsid w:val="00496814"/>
  </w:style>
  <w:style w:type="table" w:customStyle="1" w:styleId="LightShading1117">
    <w:name w:val="Light Shading11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7">
    <w:name w:val="Light Grid11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7">
    <w:name w:val="Medium Shading 1 - Accent 11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7">
    <w:name w:val="Medium Grid 1 - Accent 11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7">
    <w:name w:val="Light Shading - Accent 11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7">
    <w:name w:val="RSP_Style11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7">
    <w:name w:val="2012 2 table format11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7">
    <w:name w:val="Medium Grid 1 - Accent 611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7">
    <w:name w:val="Light List - Accent 611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7">
    <w:name w:val="Light Grid - Accent 11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7">
    <w:name w:val="2012 Style11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7">
    <w:name w:val="Light Shading - Accent 1211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7">
    <w:name w:val="Medium Shading 1 - Accent 41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7">
    <w:name w:val="No List47"/>
    <w:next w:val="NoList"/>
    <w:uiPriority w:val="99"/>
    <w:semiHidden/>
    <w:unhideWhenUsed/>
    <w:rsid w:val="00496814"/>
  </w:style>
  <w:style w:type="table" w:customStyle="1" w:styleId="TableGrid38">
    <w:name w:val="Table Grid3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7">
    <w:name w:val="Light Shading13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7">
    <w:name w:val="Light Grid13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7">
    <w:name w:val="Medium Shading 1 - Accent 113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7">
    <w:name w:val="Medium Grid 1 - Accent 13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7">
    <w:name w:val="Light Shading - Accent 113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7">
    <w:name w:val="RSP_Style3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7">
    <w:name w:val="2012 2 table format3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7">
    <w:name w:val="Medium Grid 1 - Accent 63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7">
    <w:name w:val="Light List - Accent 63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7">
    <w:name w:val="Light Grid - Accent 113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7">
    <w:name w:val="2012 Style3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7">
    <w:name w:val="Light Shading - Accent 123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7">
    <w:name w:val="No List137"/>
    <w:next w:val="NoList"/>
    <w:uiPriority w:val="99"/>
    <w:semiHidden/>
    <w:unhideWhenUsed/>
    <w:rsid w:val="00496814"/>
  </w:style>
  <w:style w:type="numbering" w:customStyle="1" w:styleId="CurrentList1137">
    <w:name w:val="Current List1137"/>
    <w:rsid w:val="00496814"/>
  </w:style>
  <w:style w:type="table" w:customStyle="1" w:styleId="TableGrid127">
    <w:name w:val="Table Grid12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7">
    <w:name w:val="Bulleted List137"/>
    <w:rsid w:val="00496814"/>
  </w:style>
  <w:style w:type="table" w:customStyle="1" w:styleId="LightShading1127">
    <w:name w:val="Light Shading112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7">
    <w:name w:val="Light Grid112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7">
    <w:name w:val="Medium Shading 1 - Accent 1112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7">
    <w:name w:val="Medium Grid 1 - Accent 112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7">
    <w:name w:val="Light Shading - Accent 1112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7">
    <w:name w:val="RSP_Style12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7">
    <w:name w:val="2012 2 table format12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7">
    <w:name w:val="Medium Grid 1 - Accent 612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7">
    <w:name w:val="Light List - Accent 612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7">
    <w:name w:val="Light Grid - Accent 1112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7">
    <w:name w:val="2012 Style12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7">
    <w:name w:val="Light Shading - Accent 121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7">
    <w:name w:val="Medium Shading 1 - Accent 42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7">
    <w:name w:val="Current List137"/>
    <w:rsid w:val="00496814"/>
  </w:style>
  <w:style w:type="table" w:customStyle="1" w:styleId="TableGrid317">
    <w:name w:val="Table Grid3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496814"/>
  </w:style>
  <w:style w:type="numbering" w:customStyle="1" w:styleId="CurrentList147">
    <w:name w:val="Current List147"/>
    <w:rsid w:val="00496814"/>
  </w:style>
  <w:style w:type="table" w:customStyle="1" w:styleId="TableGrid47">
    <w:name w:val="Table Grid47"/>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7">
    <w:name w:val="Bulleted List37"/>
    <w:rsid w:val="00496814"/>
  </w:style>
  <w:style w:type="table" w:customStyle="1" w:styleId="LightShading147">
    <w:name w:val="Light Shading14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7">
    <w:name w:val="Light Grid147"/>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7">
    <w:name w:val="Medium Shading 1 - Accent 1147"/>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7">
    <w:name w:val="Medium Grid 1 - Accent 147"/>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7">
    <w:name w:val="Light Shading - Accent 1147"/>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7">
    <w:name w:val="RSP_Style47"/>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7">
    <w:name w:val="2012 2 table format4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7">
    <w:name w:val="Medium Grid 1 - Accent 647"/>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7">
    <w:name w:val="Light List - Accent 647"/>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7">
    <w:name w:val="Light Grid - Accent 1147"/>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7">
    <w:name w:val="2012 Style47"/>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7">
    <w:name w:val="Light Shading - Accent 124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7">
    <w:name w:val="No List147"/>
    <w:next w:val="NoList"/>
    <w:uiPriority w:val="99"/>
    <w:semiHidden/>
    <w:unhideWhenUsed/>
    <w:rsid w:val="00496814"/>
  </w:style>
  <w:style w:type="numbering" w:customStyle="1" w:styleId="CurrentList1147">
    <w:name w:val="Current List1147"/>
    <w:rsid w:val="00496814"/>
  </w:style>
  <w:style w:type="table" w:customStyle="1" w:styleId="TableGrid137">
    <w:name w:val="Table Grid137"/>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7">
    <w:name w:val="Bulleted List147"/>
    <w:rsid w:val="00496814"/>
  </w:style>
  <w:style w:type="table" w:customStyle="1" w:styleId="LightShading1137">
    <w:name w:val="Light Shading113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7">
    <w:name w:val="Light Grid1137"/>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7">
    <w:name w:val="Medium Shading 1 - Accent 11137"/>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7">
    <w:name w:val="Medium Grid 1 - Accent 1137"/>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7">
    <w:name w:val="Light Shading - Accent 11137"/>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7">
    <w:name w:val="RSP_Style137"/>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7">
    <w:name w:val="2012 2 table format13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7">
    <w:name w:val="Medium Grid 1 - Accent 6137"/>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7">
    <w:name w:val="Light List - Accent 6137"/>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7">
    <w:name w:val="Light Grid - Accent 11137"/>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7">
    <w:name w:val="2012 Style137"/>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7">
    <w:name w:val="Light Shading - Accent 1213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7">
    <w:name w:val="Medium Shading 1 - Accent 437"/>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8">
    <w:name w:val="Table Grid5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2">
    <w:name w:val="ISO Report Style12"/>
    <w:uiPriority w:val="99"/>
    <w:rsid w:val="00496814"/>
  </w:style>
  <w:style w:type="numbering" w:customStyle="1" w:styleId="NoList62">
    <w:name w:val="No List62"/>
    <w:next w:val="NoList"/>
    <w:uiPriority w:val="99"/>
    <w:semiHidden/>
    <w:unhideWhenUsed/>
    <w:rsid w:val="00496814"/>
  </w:style>
  <w:style w:type="table" w:customStyle="1" w:styleId="TableGrid62">
    <w:name w:val="Table Grid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2">
    <w:name w:val="Light Shading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2">
    <w:name w:val="Light Grid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2">
    <w:name w:val="Medium Shading 1 - Accent 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2">
    <w:name w:val="Medium Grid 1 - Accent 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2">
    <w:name w:val="Light Shading - Accent 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2">
    <w:name w:val="RSP_Style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2">
    <w:name w:val="2012 2 table format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2">
    <w:name w:val="Medium Grid 1 - Accent 6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2">
    <w:name w:val="Light List - Accent 6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2">
    <w:name w:val="Light Grid - Accent 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2">
    <w:name w:val="2012 Style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2">
    <w:name w:val="Light Shading - Accent 1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2">
    <w:name w:val="No List152"/>
    <w:next w:val="NoList"/>
    <w:uiPriority w:val="99"/>
    <w:semiHidden/>
    <w:unhideWhenUsed/>
    <w:rsid w:val="00496814"/>
  </w:style>
  <w:style w:type="numbering" w:customStyle="1" w:styleId="CurrentList1152">
    <w:name w:val="Current List1152"/>
    <w:rsid w:val="00496814"/>
  </w:style>
  <w:style w:type="table" w:customStyle="1" w:styleId="TableGrid142">
    <w:name w:val="Table Grid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2">
    <w:name w:val="Bulleted List152"/>
    <w:rsid w:val="00496814"/>
  </w:style>
  <w:style w:type="table" w:customStyle="1" w:styleId="LightShading1142">
    <w:name w:val="Light Shading1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2">
    <w:name w:val="Light Grid11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2">
    <w:name w:val="Medium Shading 1 - Accent 111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2">
    <w:name w:val="Medium Grid 1 - Accent 11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2">
    <w:name w:val="Light Shading - Accent 111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2">
    <w:name w:val="RSP_Style1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2">
    <w:name w:val="2012 2 table format1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2">
    <w:name w:val="Medium Grid 1 - Accent 61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2">
    <w:name w:val="Light List - Accent 61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2">
    <w:name w:val="Light Grid - Accent 111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2">
    <w:name w:val="2012 Style1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2">
    <w:name w:val="Light Shading - Accent 121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2">
    <w:name w:val="Medium Shading 1 - Accent 4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2">
    <w:name w:val="No List212"/>
    <w:next w:val="NoList"/>
    <w:uiPriority w:val="99"/>
    <w:semiHidden/>
    <w:unhideWhenUsed/>
    <w:rsid w:val="00496814"/>
  </w:style>
  <w:style w:type="numbering" w:customStyle="1" w:styleId="CurrentList1212">
    <w:name w:val="Current List1212"/>
    <w:rsid w:val="00496814"/>
  </w:style>
  <w:style w:type="numbering" w:customStyle="1" w:styleId="BulletedList212">
    <w:name w:val="Bulleted List212"/>
    <w:rsid w:val="00496814"/>
  </w:style>
  <w:style w:type="numbering" w:customStyle="1" w:styleId="NoList1112">
    <w:name w:val="No List1112"/>
    <w:next w:val="NoList"/>
    <w:uiPriority w:val="99"/>
    <w:semiHidden/>
    <w:unhideWhenUsed/>
    <w:rsid w:val="00496814"/>
  </w:style>
  <w:style w:type="numbering" w:customStyle="1" w:styleId="CurrentList11112">
    <w:name w:val="Current List11112"/>
    <w:rsid w:val="00496814"/>
  </w:style>
  <w:style w:type="numbering" w:customStyle="1" w:styleId="BulletedList1112">
    <w:name w:val="Bulleted List1112"/>
    <w:rsid w:val="00496814"/>
  </w:style>
  <w:style w:type="numbering" w:customStyle="1" w:styleId="NoList312">
    <w:name w:val="No List312"/>
    <w:next w:val="NoList"/>
    <w:uiPriority w:val="99"/>
    <w:semiHidden/>
    <w:unhideWhenUsed/>
    <w:rsid w:val="00496814"/>
  </w:style>
  <w:style w:type="table" w:customStyle="1" w:styleId="TableGrid212">
    <w:name w:val="Table Grid2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2">
    <w:name w:val="Light Shading12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2">
    <w:name w:val="Light Grid12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2">
    <w:name w:val="Medium Shading 1 - Accent 112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2">
    <w:name w:val="Medium Grid 1 - Accent 12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2">
    <w:name w:val="Light Shading - Accent 112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2">
    <w:name w:val="RSP_Style2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2">
    <w:name w:val="2012 2 table format2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2">
    <w:name w:val="Medium Grid 1 - Accent 62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2">
    <w:name w:val="Light List - Accent 62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2">
    <w:name w:val="Light Grid - Accent 112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2">
    <w:name w:val="2012 Style2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2">
    <w:name w:val="Light Shading - Accent 12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2">
    <w:name w:val="No List1212"/>
    <w:next w:val="NoList"/>
    <w:uiPriority w:val="99"/>
    <w:semiHidden/>
    <w:unhideWhenUsed/>
    <w:rsid w:val="00496814"/>
  </w:style>
  <w:style w:type="numbering" w:customStyle="1" w:styleId="CurrentList11212">
    <w:name w:val="Current List11212"/>
    <w:rsid w:val="00496814"/>
  </w:style>
  <w:style w:type="table" w:customStyle="1" w:styleId="TableGrid1112">
    <w:name w:val="Table Grid1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2">
    <w:name w:val="Bulleted List1212"/>
    <w:rsid w:val="00496814"/>
  </w:style>
  <w:style w:type="table" w:customStyle="1" w:styleId="LightShading11112">
    <w:name w:val="Light Shading11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2">
    <w:name w:val="Light Grid11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2">
    <w:name w:val="Medium Shading 1 - Accent 11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2">
    <w:name w:val="Medium Grid 1 - Accent 11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2">
    <w:name w:val="Light Shading - Accent 11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2">
    <w:name w:val="RSP_Style11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2">
    <w:name w:val="2012 2 table format11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2">
    <w:name w:val="Medium Grid 1 - Accent 611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2">
    <w:name w:val="Light List - Accent 611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2">
    <w:name w:val="Light Grid - Accent 11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2">
    <w:name w:val="2012 Style11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2">
    <w:name w:val="Light Shading - Accent 1211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2">
    <w:name w:val="Medium Shading 1 - Accent 41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2">
    <w:name w:val="No List412"/>
    <w:next w:val="NoList"/>
    <w:uiPriority w:val="99"/>
    <w:semiHidden/>
    <w:unhideWhenUsed/>
    <w:rsid w:val="00496814"/>
  </w:style>
  <w:style w:type="table" w:customStyle="1" w:styleId="TableGrid322">
    <w:name w:val="Table Grid3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2">
    <w:name w:val="Light Shading13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2">
    <w:name w:val="Light Grid13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2">
    <w:name w:val="Medium Shading 1 - Accent 113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2">
    <w:name w:val="Medium Grid 1 - Accent 13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2">
    <w:name w:val="Light Shading - Accent 113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2">
    <w:name w:val="RSP_Style3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2">
    <w:name w:val="2012 2 table format3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2">
    <w:name w:val="Medium Grid 1 - Accent 63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2">
    <w:name w:val="Light List - Accent 63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2">
    <w:name w:val="Light Grid - Accent 113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2">
    <w:name w:val="2012 Style3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2">
    <w:name w:val="Light Shading - Accent 123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2">
    <w:name w:val="No List1312"/>
    <w:next w:val="NoList"/>
    <w:uiPriority w:val="99"/>
    <w:semiHidden/>
    <w:unhideWhenUsed/>
    <w:rsid w:val="00496814"/>
  </w:style>
  <w:style w:type="numbering" w:customStyle="1" w:styleId="CurrentList11312">
    <w:name w:val="Current List11312"/>
    <w:rsid w:val="00496814"/>
  </w:style>
  <w:style w:type="table" w:customStyle="1" w:styleId="TableGrid1212">
    <w:name w:val="Table Grid12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2">
    <w:name w:val="Bulleted List1312"/>
    <w:rsid w:val="00496814"/>
  </w:style>
  <w:style w:type="table" w:customStyle="1" w:styleId="LightShading11212">
    <w:name w:val="Light Shading112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2">
    <w:name w:val="Light Grid112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2">
    <w:name w:val="Medium Shading 1 - Accent 1112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2">
    <w:name w:val="Medium Grid 1 - Accent 112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2">
    <w:name w:val="Light Shading - Accent 1112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2">
    <w:name w:val="RSP_Style12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2">
    <w:name w:val="2012 2 table format12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2">
    <w:name w:val="Medium Grid 1 - Accent 612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2">
    <w:name w:val="Light List - Accent 612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2">
    <w:name w:val="Light Grid - Accent 1112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2">
    <w:name w:val="2012 Style12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2">
    <w:name w:val="Light Shading - Accent 121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2">
    <w:name w:val="Medium Shading 1 - Accent 42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2">
    <w:name w:val="Current List1312"/>
    <w:rsid w:val="00496814"/>
  </w:style>
  <w:style w:type="table" w:customStyle="1" w:styleId="TableGrid3112">
    <w:name w:val="Table Grid3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496814"/>
  </w:style>
  <w:style w:type="numbering" w:customStyle="1" w:styleId="CurrentList1412">
    <w:name w:val="Current List1412"/>
    <w:rsid w:val="00496814"/>
  </w:style>
  <w:style w:type="table" w:customStyle="1" w:styleId="TableGrid412">
    <w:name w:val="Table Grid41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2">
    <w:name w:val="Bulleted List312"/>
    <w:rsid w:val="00496814"/>
  </w:style>
  <w:style w:type="table" w:customStyle="1" w:styleId="LightShading1412">
    <w:name w:val="Light Shading14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2">
    <w:name w:val="Light Grid141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2">
    <w:name w:val="Medium Shading 1 - Accent 1141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2">
    <w:name w:val="Medium Grid 1 - Accent 141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2">
    <w:name w:val="Light Shading - Accent 1141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2">
    <w:name w:val="RSP_Style41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2">
    <w:name w:val="2012 2 table format4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2">
    <w:name w:val="Medium Grid 1 - Accent 641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2">
    <w:name w:val="Light List - Accent 641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2">
    <w:name w:val="Light Grid - Accent 1141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2">
    <w:name w:val="2012 Style41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2">
    <w:name w:val="Light Shading - Accent 124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2">
    <w:name w:val="No List1412"/>
    <w:next w:val="NoList"/>
    <w:uiPriority w:val="99"/>
    <w:semiHidden/>
    <w:unhideWhenUsed/>
    <w:rsid w:val="00496814"/>
  </w:style>
  <w:style w:type="numbering" w:customStyle="1" w:styleId="CurrentList11412">
    <w:name w:val="Current List11412"/>
    <w:rsid w:val="00496814"/>
  </w:style>
  <w:style w:type="table" w:customStyle="1" w:styleId="TableGrid1312">
    <w:name w:val="Table Grid131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2">
    <w:name w:val="Bulleted List1412"/>
    <w:rsid w:val="00496814"/>
  </w:style>
  <w:style w:type="table" w:customStyle="1" w:styleId="LightShading11312">
    <w:name w:val="Light Shading113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2">
    <w:name w:val="Light Grid1131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2">
    <w:name w:val="Medium Shading 1 - Accent 11131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2">
    <w:name w:val="Medium Grid 1 - Accent 1131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2">
    <w:name w:val="Light Shading - Accent 11131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2">
    <w:name w:val="RSP_Style131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2">
    <w:name w:val="2012 2 table format13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2">
    <w:name w:val="Medium Grid 1 - Accent 6131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2">
    <w:name w:val="Light List - Accent 6131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2">
    <w:name w:val="Light Grid - Accent 11131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2">
    <w:name w:val="2012 Style131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2">
    <w:name w:val="Light Shading - Accent 1213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2">
    <w:name w:val="Medium Shading 1 - Accent 431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2">
    <w:name w:val="Table Grid5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496814"/>
  </w:style>
  <w:style w:type="table" w:customStyle="1" w:styleId="TableGrid72">
    <w:name w:val="Table Grid7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2">
    <w:name w:val="Light Shading16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2">
    <w:name w:val="Light Grid16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2">
    <w:name w:val="Medium Shading 1 - Accent 116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2">
    <w:name w:val="Medium Grid 1 - Accent 16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2">
    <w:name w:val="Light Shading - Accent 116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2">
    <w:name w:val="RSP_Style6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2">
    <w:name w:val="2012 2 table format6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2">
    <w:name w:val="Medium Grid 1 - Accent 6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2">
    <w:name w:val="Light List - Accent 6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2">
    <w:name w:val="Light Grid - Accent 116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2">
    <w:name w:val="2012 Style6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2">
    <w:name w:val="Light Shading - Accent 126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2">
    <w:name w:val="No List162"/>
    <w:next w:val="NoList"/>
    <w:uiPriority w:val="99"/>
    <w:semiHidden/>
    <w:unhideWhenUsed/>
    <w:rsid w:val="00496814"/>
  </w:style>
  <w:style w:type="numbering" w:customStyle="1" w:styleId="CurrentList1162">
    <w:name w:val="Current List1162"/>
    <w:rsid w:val="00496814"/>
  </w:style>
  <w:style w:type="table" w:customStyle="1" w:styleId="TableGrid152">
    <w:name w:val="Table Grid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2">
    <w:name w:val="Bulleted List162"/>
    <w:rsid w:val="00496814"/>
  </w:style>
  <w:style w:type="table" w:customStyle="1" w:styleId="LightShading1152">
    <w:name w:val="Light Shading1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2">
    <w:name w:val="Light Grid1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2">
    <w:name w:val="Medium Shading 1 - Accent 1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2">
    <w:name w:val="Medium Grid 1 - Accent 1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2">
    <w:name w:val="Light Shading - Accent 1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2">
    <w:name w:val="RSP_Style1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2">
    <w:name w:val="2012 2 table format1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2">
    <w:name w:val="Medium Grid 1 - Accent 61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2">
    <w:name w:val="Light List - Accent 61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2">
    <w:name w:val="Light Grid - Accent 1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2">
    <w:name w:val="2012 Style1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2">
    <w:name w:val="Light Shading - Accent 121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2">
    <w:name w:val="Medium Shading 1 - Accent 4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2">
    <w:name w:val="No List222"/>
    <w:next w:val="NoList"/>
    <w:uiPriority w:val="99"/>
    <w:semiHidden/>
    <w:unhideWhenUsed/>
    <w:rsid w:val="00496814"/>
  </w:style>
  <w:style w:type="numbering" w:customStyle="1" w:styleId="CurrentList1222">
    <w:name w:val="Current List1222"/>
    <w:rsid w:val="00496814"/>
  </w:style>
  <w:style w:type="numbering" w:customStyle="1" w:styleId="BulletedList222">
    <w:name w:val="Bulleted List222"/>
    <w:rsid w:val="00496814"/>
  </w:style>
  <w:style w:type="numbering" w:customStyle="1" w:styleId="NoList1122">
    <w:name w:val="No List1122"/>
    <w:next w:val="NoList"/>
    <w:uiPriority w:val="99"/>
    <w:semiHidden/>
    <w:unhideWhenUsed/>
    <w:rsid w:val="00496814"/>
  </w:style>
  <w:style w:type="numbering" w:customStyle="1" w:styleId="CurrentList11122">
    <w:name w:val="Current List11122"/>
    <w:rsid w:val="00496814"/>
  </w:style>
  <w:style w:type="numbering" w:customStyle="1" w:styleId="BulletedList1122">
    <w:name w:val="Bulleted List1122"/>
    <w:rsid w:val="00496814"/>
  </w:style>
  <w:style w:type="numbering" w:customStyle="1" w:styleId="NoList322">
    <w:name w:val="No List322"/>
    <w:next w:val="NoList"/>
    <w:uiPriority w:val="99"/>
    <w:semiHidden/>
    <w:unhideWhenUsed/>
    <w:rsid w:val="00496814"/>
  </w:style>
  <w:style w:type="table" w:customStyle="1" w:styleId="TableGrid223">
    <w:name w:val="Table Grid2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2">
    <w:name w:val="Light Shading12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2">
    <w:name w:val="Light Grid12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2">
    <w:name w:val="Medium Shading 1 - Accent 112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2">
    <w:name w:val="Medium Grid 1 - Accent 12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2">
    <w:name w:val="Light Shading - Accent 112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2">
    <w:name w:val="RSP_Style2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2">
    <w:name w:val="2012 2 table format2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2">
    <w:name w:val="Medium Grid 1 - Accent 62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2">
    <w:name w:val="Light List - Accent 62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2">
    <w:name w:val="Light Grid - Accent 112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2">
    <w:name w:val="2012 Style2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2">
    <w:name w:val="Light Shading - Accent 12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2">
    <w:name w:val="No List1222"/>
    <w:next w:val="NoList"/>
    <w:uiPriority w:val="99"/>
    <w:semiHidden/>
    <w:unhideWhenUsed/>
    <w:rsid w:val="00496814"/>
  </w:style>
  <w:style w:type="numbering" w:customStyle="1" w:styleId="CurrentList11222">
    <w:name w:val="Current List11222"/>
    <w:rsid w:val="00496814"/>
  </w:style>
  <w:style w:type="table" w:customStyle="1" w:styleId="TableGrid1122">
    <w:name w:val="Table Grid1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2">
    <w:name w:val="Bulleted List1222"/>
    <w:rsid w:val="00496814"/>
  </w:style>
  <w:style w:type="table" w:customStyle="1" w:styleId="LightShading11122">
    <w:name w:val="Light Shading11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2">
    <w:name w:val="Light Grid11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2">
    <w:name w:val="Medium Shading 1 - Accent 11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2">
    <w:name w:val="Medium Grid 1 - Accent 11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2">
    <w:name w:val="Light Shading - Accent 11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2">
    <w:name w:val="RSP_Style11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2">
    <w:name w:val="2012 2 table format11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2">
    <w:name w:val="Medium Grid 1 - Accent 611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2">
    <w:name w:val="Light List - Accent 611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2">
    <w:name w:val="Light Grid - Accent 11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2">
    <w:name w:val="2012 Style11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2">
    <w:name w:val="Light Shading - Accent 121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2">
    <w:name w:val="Medium Shading 1 - Accent 41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2">
    <w:name w:val="No List422"/>
    <w:next w:val="NoList"/>
    <w:uiPriority w:val="99"/>
    <w:semiHidden/>
    <w:unhideWhenUsed/>
    <w:rsid w:val="00496814"/>
  </w:style>
  <w:style w:type="table" w:customStyle="1" w:styleId="TableGrid332">
    <w:name w:val="Table Grid3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2">
    <w:name w:val="Light Shading13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2">
    <w:name w:val="Light Grid13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2">
    <w:name w:val="Medium Shading 1 - Accent 113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2">
    <w:name w:val="Medium Grid 1 - Accent 13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2">
    <w:name w:val="Light Shading - Accent 113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2">
    <w:name w:val="RSP_Style3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2">
    <w:name w:val="2012 2 table format3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2">
    <w:name w:val="Medium Grid 1 - Accent 63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2">
    <w:name w:val="Light List - Accent 63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2">
    <w:name w:val="Light Grid - Accent 113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2">
    <w:name w:val="2012 Style3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2">
    <w:name w:val="Light Shading - Accent 123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2">
    <w:name w:val="No List1322"/>
    <w:next w:val="NoList"/>
    <w:uiPriority w:val="99"/>
    <w:semiHidden/>
    <w:unhideWhenUsed/>
    <w:rsid w:val="00496814"/>
  </w:style>
  <w:style w:type="numbering" w:customStyle="1" w:styleId="CurrentList11322">
    <w:name w:val="Current List11322"/>
    <w:rsid w:val="00496814"/>
  </w:style>
  <w:style w:type="table" w:customStyle="1" w:styleId="TableGrid1222">
    <w:name w:val="Table Grid12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2">
    <w:name w:val="Bulleted List1322"/>
    <w:rsid w:val="00496814"/>
  </w:style>
  <w:style w:type="table" w:customStyle="1" w:styleId="LightShading11222">
    <w:name w:val="Light Shading112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2">
    <w:name w:val="Light Grid112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2">
    <w:name w:val="Medium Shading 1 - Accent 1112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2">
    <w:name w:val="Medium Grid 1 - Accent 112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2">
    <w:name w:val="Light Shading - Accent 1112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2">
    <w:name w:val="RSP_Style12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2">
    <w:name w:val="2012 2 table format12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2">
    <w:name w:val="Medium Grid 1 - Accent 612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2">
    <w:name w:val="Light List - Accent 612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2">
    <w:name w:val="Light Grid - Accent 1112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2">
    <w:name w:val="2012 Style12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2">
    <w:name w:val="Light Shading - Accent 121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2">
    <w:name w:val="Medium Shading 1 - Accent 42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2">
    <w:name w:val="Current List1322"/>
    <w:rsid w:val="00496814"/>
  </w:style>
  <w:style w:type="table" w:customStyle="1" w:styleId="TableGrid3122">
    <w:name w:val="Table Grid3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496814"/>
  </w:style>
  <w:style w:type="numbering" w:customStyle="1" w:styleId="CurrentList1422">
    <w:name w:val="Current List1422"/>
    <w:rsid w:val="00496814"/>
  </w:style>
  <w:style w:type="table" w:customStyle="1" w:styleId="TableGrid422">
    <w:name w:val="Table Grid42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2">
    <w:name w:val="Bulleted List322"/>
    <w:rsid w:val="00496814"/>
  </w:style>
  <w:style w:type="table" w:customStyle="1" w:styleId="LightShading1422">
    <w:name w:val="Light Shading14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2">
    <w:name w:val="Light Grid142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2">
    <w:name w:val="Medium Shading 1 - Accent 1142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2">
    <w:name w:val="Medium Grid 1 - Accent 142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2">
    <w:name w:val="Light Shading - Accent 1142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2">
    <w:name w:val="RSP_Style42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2">
    <w:name w:val="2012 2 table format4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2">
    <w:name w:val="Medium Grid 1 - Accent 642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2">
    <w:name w:val="Light List - Accent 642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2">
    <w:name w:val="Light Grid - Accent 1142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2">
    <w:name w:val="2012 Style42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2">
    <w:name w:val="Light Shading - Accent 124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2">
    <w:name w:val="No List1422"/>
    <w:next w:val="NoList"/>
    <w:uiPriority w:val="99"/>
    <w:semiHidden/>
    <w:unhideWhenUsed/>
    <w:rsid w:val="00496814"/>
  </w:style>
  <w:style w:type="numbering" w:customStyle="1" w:styleId="CurrentList11422">
    <w:name w:val="Current List11422"/>
    <w:rsid w:val="00496814"/>
  </w:style>
  <w:style w:type="table" w:customStyle="1" w:styleId="TableGrid1322">
    <w:name w:val="Table Grid132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2">
    <w:name w:val="Bulleted List1422"/>
    <w:rsid w:val="00496814"/>
  </w:style>
  <w:style w:type="table" w:customStyle="1" w:styleId="LightShading11322">
    <w:name w:val="Light Shading113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2">
    <w:name w:val="Light Grid1132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2">
    <w:name w:val="Medium Shading 1 - Accent 11132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2">
    <w:name w:val="Medium Grid 1 - Accent 1132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2">
    <w:name w:val="Light Shading - Accent 11132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2">
    <w:name w:val="RSP_Style132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2">
    <w:name w:val="2012 2 table format13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2">
    <w:name w:val="Medium Grid 1 - Accent 6132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2">
    <w:name w:val="Light List - Accent 6132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2">
    <w:name w:val="Light Grid - Accent 11132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2">
    <w:name w:val="2012 Style132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2">
    <w:name w:val="Light Shading - Accent 1213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2">
    <w:name w:val="Medium Shading 1 - Accent 432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496814"/>
  </w:style>
  <w:style w:type="numbering" w:customStyle="1" w:styleId="CurrentList162">
    <w:name w:val="Current List162"/>
    <w:rsid w:val="00496814"/>
  </w:style>
  <w:style w:type="table" w:customStyle="1" w:styleId="TableGrid82">
    <w:name w:val="Table Grid8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2">
    <w:name w:val="Light Shading17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2">
    <w:name w:val="Light Grid17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2">
    <w:name w:val="Medium Shading 1 - Accent 117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2">
    <w:name w:val="Medium Grid 1 - Accent 17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2">
    <w:name w:val="Light Shading - Accent 117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2">
    <w:name w:val="RSP_Style7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2">
    <w:name w:val="2012 2 table format7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2">
    <w:name w:val="Medium Grid 1 - Accent 67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2">
    <w:name w:val="Light List - Accent 67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2">
    <w:name w:val="Light Grid - Accent 117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2">
    <w:name w:val="2012 Style7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2">
    <w:name w:val="Light Shading - Accent 127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2">
    <w:name w:val="No List172"/>
    <w:next w:val="NoList"/>
    <w:uiPriority w:val="99"/>
    <w:semiHidden/>
    <w:unhideWhenUsed/>
    <w:rsid w:val="00496814"/>
  </w:style>
  <w:style w:type="numbering" w:customStyle="1" w:styleId="CurrentList1172">
    <w:name w:val="Current List1172"/>
    <w:rsid w:val="00496814"/>
  </w:style>
  <w:style w:type="table" w:customStyle="1" w:styleId="TableGrid162">
    <w:name w:val="Table Grid1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2">
    <w:name w:val="Bulleted List172"/>
    <w:rsid w:val="00496814"/>
  </w:style>
  <w:style w:type="table" w:customStyle="1" w:styleId="LightShading1162">
    <w:name w:val="Light Shading116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2">
    <w:name w:val="Light Grid116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2">
    <w:name w:val="Medium Shading 1 - Accent 1116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2">
    <w:name w:val="Medium Grid 1 - Accent 116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2">
    <w:name w:val="Light Shading - Accent 1116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2">
    <w:name w:val="RSP_Style16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2">
    <w:name w:val="2012 2 table format16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2">
    <w:name w:val="Medium Grid 1 - Accent 61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2">
    <w:name w:val="Light List - Accent 61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2">
    <w:name w:val="Light Grid - Accent 1116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2">
    <w:name w:val="2012 Style16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2">
    <w:name w:val="Light Shading - Accent 1216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2">
    <w:name w:val="Medium Shading 1 - Accent 46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2">
    <w:name w:val="No List232"/>
    <w:next w:val="NoList"/>
    <w:uiPriority w:val="99"/>
    <w:semiHidden/>
    <w:unhideWhenUsed/>
    <w:rsid w:val="00496814"/>
  </w:style>
  <w:style w:type="numbering" w:customStyle="1" w:styleId="CurrentList1232">
    <w:name w:val="Current List1232"/>
    <w:rsid w:val="00496814"/>
  </w:style>
  <w:style w:type="numbering" w:customStyle="1" w:styleId="BulletedList232">
    <w:name w:val="Bulleted List232"/>
    <w:rsid w:val="00496814"/>
  </w:style>
  <w:style w:type="numbering" w:customStyle="1" w:styleId="NoList1132">
    <w:name w:val="No List1132"/>
    <w:next w:val="NoList"/>
    <w:uiPriority w:val="99"/>
    <w:semiHidden/>
    <w:unhideWhenUsed/>
    <w:rsid w:val="00496814"/>
  </w:style>
  <w:style w:type="numbering" w:customStyle="1" w:styleId="CurrentList11132">
    <w:name w:val="Current List11132"/>
    <w:rsid w:val="00496814"/>
  </w:style>
  <w:style w:type="numbering" w:customStyle="1" w:styleId="BulletedList1132">
    <w:name w:val="Bulleted List1132"/>
    <w:rsid w:val="00496814"/>
  </w:style>
  <w:style w:type="numbering" w:customStyle="1" w:styleId="NoList332">
    <w:name w:val="No List332"/>
    <w:next w:val="NoList"/>
    <w:uiPriority w:val="99"/>
    <w:semiHidden/>
    <w:unhideWhenUsed/>
    <w:rsid w:val="00496814"/>
  </w:style>
  <w:style w:type="table" w:customStyle="1" w:styleId="TableGrid232">
    <w:name w:val="Table Grid2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2">
    <w:name w:val="Light Shading12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2">
    <w:name w:val="Light Grid12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2">
    <w:name w:val="Medium Shading 1 - Accent 112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2">
    <w:name w:val="Medium Grid 1 - Accent 12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2">
    <w:name w:val="Light Shading - Accent 112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2">
    <w:name w:val="RSP_Style2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2">
    <w:name w:val="2012 2 table format2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2">
    <w:name w:val="Medium Grid 1 - Accent 62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2">
    <w:name w:val="Light List - Accent 62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2">
    <w:name w:val="Light Grid - Accent 112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2">
    <w:name w:val="2012 Style2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2">
    <w:name w:val="Light Shading - Accent 12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2">
    <w:name w:val="No List1232"/>
    <w:next w:val="NoList"/>
    <w:uiPriority w:val="99"/>
    <w:semiHidden/>
    <w:unhideWhenUsed/>
    <w:rsid w:val="00496814"/>
  </w:style>
  <w:style w:type="numbering" w:customStyle="1" w:styleId="CurrentList11232">
    <w:name w:val="Current List11232"/>
    <w:rsid w:val="00496814"/>
  </w:style>
  <w:style w:type="table" w:customStyle="1" w:styleId="TableGrid1132">
    <w:name w:val="Table Grid11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2">
    <w:name w:val="Bulleted List1232"/>
    <w:rsid w:val="00496814"/>
  </w:style>
  <w:style w:type="table" w:customStyle="1" w:styleId="LightShading11132">
    <w:name w:val="Light Shading11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2">
    <w:name w:val="Light Grid111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2">
    <w:name w:val="Medium Shading 1 - Accent 1111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2">
    <w:name w:val="Medium Grid 1 - Accent 111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2">
    <w:name w:val="Light Shading - Accent 1111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2">
    <w:name w:val="RSP_Style11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2">
    <w:name w:val="2012 2 table format11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2">
    <w:name w:val="Medium Grid 1 - Accent 611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2">
    <w:name w:val="Light List - Accent 611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2">
    <w:name w:val="Light Grid - Accent 1111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2">
    <w:name w:val="2012 Style11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2">
    <w:name w:val="Light Shading - Accent 1211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2">
    <w:name w:val="Medium Shading 1 - Accent 413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2">
    <w:name w:val="No List432"/>
    <w:next w:val="NoList"/>
    <w:uiPriority w:val="99"/>
    <w:semiHidden/>
    <w:unhideWhenUsed/>
    <w:rsid w:val="00496814"/>
  </w:style>
  <w:style w:type="table" w:customStyle="1" w:styleId="TableGrid342">
    <w:name w:val="Table Grid3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2">
    <w:name w:val="Light Shading13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2">
    <w:name w:val="Light Grid13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2">
    <w:name w:val="Medium Shading 1 - Accent 113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2">
    <w:name w:val="Medium Grid 1 - Accent 13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2">
    <w:name w:val="Light Shading - Accent 113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2">
    <w:name w:val="RSP_Style3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2">
    <w:name w:val="2012 2 table format3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2">
    <w:name w:val="Medium Grid 1 - Accent 63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2">
    <w:name w:val="Light List - Accent 63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2">
    <w:name w:val="Light Grid - Accent 113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2">
    <w:name w:val="2012 Style3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2">
    <w:name w:val="Light Shading - Accent 123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2">
    <w:name w:val="No List1332"/>
    <w:next w:val="NoList"/>
    <w:uiPriority w:val="99"/>
    <w:semiHidden/>
    <w:unhideWhenUsed/>
    <w:rsid w:val="00496814"/>
  </w:style>
  <w:style w:type="numbering" w:customStyle="1" w:styleId="CurrentList11332">
    <w:name w:val="Current List11332"/>
    <w:rsid w:val="00496814"/>
  </w:style>
  <w:style w:type="table" w:customStyle="1" w:styleId="TableGrid1232">
    <w:name w:val="Table Grid12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2">
    <w:name w:val="Bulleted List1332"/>
    <w:rsid w:val="00496814"/>
  </w:style>
  <w:style w:type="table" w:customStyle="1" w:styleId="LightShading11232">
    <w:name w:val="Light Shading112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2">
    <w:name w:val="Light Grid112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2">
    <w:name w:val="Medium Shading 1 - Accent 1112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2">
    <w:name w:val="Medium Grid 1 - Accent 112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2">
    <w:name w:val="Light Shading - Accent 1112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2">
    <w:name w:val="RSP_Style12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2">
    <w:name w:val="2012 2 table format12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2">
    <w:name w:val="Medium Grid 1 - Accent 612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2">
    <w:name w:val="Light List - Accent 612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2">
    <w:name w:val="Light Grid - Accent 1112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2">
    <w:name w:val="2012 Style12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2">
    <w:name w:val="Light Shading - Accent 121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2">
    <w:name w:val="Medium Shading 1 - Accent 423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2">
    <w:name w:val="Current List1332"/>
    <w:rsid w:val="00496814"/>
  </w:style>
  <w:style w:type="table" w:customStyle="1" w:styleId="TableGrid3132">
    <w:name w:val="Table Grid31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2">
    <w:name w:val="ISO Report Style22"/>
    <w:uiPriority w:val="99"/>
    <w:rsid w:val="00496814"/>
  </w:style>
  <w:style w:type="numbering" w:customStyle="1" w:styleId="NoList532">
    <w:name w:val="No List532"/>
    <w:next w:val="NoList"/>
    <w:uiPriority w:val="99"/>
    <w:semiHidden/>
    <w:unhideWhenUsed/>
    <w:rsid w:val="00496814"/>
  </w:style>
  <w:style w:type="numbering" w:customStyle="1" w:styleId="CurrentList1432">
    <w:name w:val="Current List1432"/>
    <w:rsid w:val="00496814"/>
  </w:style>
  <w:style w:type="table" w:customStyle="1" w:styleId="TableGrid432">
    <w:name w:val="Table Grid4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2">
    <w:name w:val="Bulleted List332"/>
    <w:rsid w:val="00496814"/>
  </w:style>
  <w:style w:type="table" w:customStyle="1" w:styleId="LightShading1432">
    <w:name w:val="Light Shading14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2">
    <w:name w:val="Light Grid14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2">
    <w:name w:val="Medium Shading 1 - Accent 114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2">
    <w:name w:val="Medium Grid 1 - Accent 14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2">
    <w:name w:val="Light Shading - Accent 114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2">
    <w:name w:val="RSP_Style4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2">
    <w:name w:val="2012 2 table format4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2">
    <w:name w:val="Medium Grid 1 - Accent 64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2">
    <w:name w:val="Light List - Accent 64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2">
    <w:name w:val="Light Grid - Accent 114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2">
    <w:name w:val="2012 Style4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2">
    <w:name w:val="Light Shading - Accent 124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2">
    <w:name w:val="No List1432"/>
    <w:next w:val="NoList"/>
    <w:uiPriority w:val="99"/>
    <w:semiHidden/>
    <w:unhideWhenUsed/>
    <w:rsid w:val="00496814"/>
  </w:style>
  <w:style w:type="numbering" w:customStyle="1" w:styleId="CurrentList11432">
    <w:name w:val="Current List11432"/>
    <w:rsid w:val="00496814"/>
  </w:style>
  <w:style w:type="table" w:customStyle="1" w:styleId="TableGrid1332">
    <w:name w:val="Table Grid13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2">
    <w:name w:val="Bulleted List1432"/>
    <w:rsid w:val="00496814"/>
  </w:style>
  <w:style w:type="table" w:customStyle="1" w:styleId="LightShading11332">
    <w:name w:val="Light Shading113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2">
    <w:name w:val="Light Grid113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2">
    <w:name w:val="Medium Shading 1 - Accent 1113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2">
    <w:name w:val="Medium Grid 1 - Accent 113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2">
    <w:name w:val="Light Shading - Accent 1113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2">
    <w:name w:val="RSP_Style13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2">
    <w:name w:val="2012 2 table format13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2">
    <w:name w:val="Medium Grid 1 - Accent 613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2">
    <w:name w:val="Light List - Accent 613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2">
    <w:name w:val="Light Grid - Accent 1113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2">
    <w:name w:val="2012 Style13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2">
    <w:name w:val="Light Shading - Accent 1213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2">
    <w:name w:val="Medium Shading 1 - Accent 433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2">
    <w:name w:val="Table Grid5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496814"/>
  </w:style>
  <w:style w:type="numbering" w:customStyle="1" w:styleId="CurrentList172">
    <w:name w:val="Current List172"/>
    <w:rsid w:val="00496814"/>
  </w:style>
  <w:style w:type="table" w:customStyle="1" w:styleId="TableGrid92">
    <w:name w:val="Table Grid9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2">
    <w:name w:val="Light Shading18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2">
    <w:name w:val="Light Grid18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2">
    <w:name w:val="Medium Shading 1 - Accent 118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2">
    <w:name w:val="Medium Grid 1 - Accent 18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2">
    <w:name w:val="Light Shading - Accent 118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2">
    <w:name w:val="RSP_Style8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2">
    <w:name w:val="2012 2 table format8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2">
    <w:name w:val="Medium Grid 1 - Accent 68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2">
    <w:name w:val="Light List - Accent 68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2">
    <w:name w:val="Light Grid - Accent 118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2">
    <w:name w:val="2012 Style8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2">
    <w:name w:val="Light Shading - Accent 128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2">
    <w:name w:val="No List182"/>
    <w:next w:val="NoList"/>
    <w:uiPriority w:val="99"/>
    <w:semiHidden/>
    <w:unhideWhenUsed/>
    <w:rsid w:val="00496814"/>
  </w:style>
  <w:style w:type="numbering" w:customStyle="1" w:styleId="CurrentList1182">
    <w:name w:val="Current List1182"/>
    <w:rsid w:val="00496814"/>
  </w:style>
  <w:style w:type="table" w:customStyle="1" w:styleId="TableGrid172">
    <w:name w:val="Table Grid17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2">
    <w:name w:val="Bulleted List182"/>
    <w:rsid w:val="00496814"/>
  </w:style>
  <w:style w:type="table" w:customStyle="1" w:styleId="LightShading1172">
    <w:name w:val="Light Shading117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2">
    <w:name w:val="Light Grid117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2">
    <w:name w:val="Medium Shading 1 - Accent 1117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2">
    <w:name w:val="Medium Grid 1 - Accent 117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2">
    <w:name w:val="Light Shading - Accent 1117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2">
    <w:name w:val="RSP_Style17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2">
    <w:name w:val="2012 2 table format17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2">
    <w:name w:val="Medium Grid 1 - Accent 617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2">
    <w:name w:val="Light List - Accent 617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2">
    <w:name w:val="Light Grid - Accent 1117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2">
    <w:name w:val="2012 Style17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2">
    <w:name w:val="Light Shading - Accent 1217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2">
    <w:name w:val="Medium Shading 1 - Accent 47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2">
    <w:name w:val="No List242"/>
    <w:next w:val="NoList"/>
    <w:uiPriority w:val="99"/>
    <w:semiHidden/>
    <w:unhideWhenUsed/>
    <w:rsid w:val="00496814"/>
  </w:style>
  <w:style w:type="numbering" w:customStyle="1" w:styleId="CurrentList1242">
    <w:name w:val="Current List1242"/>
    <w:rsid w:val="00496814"/>
  </w:style>
  <w:style w:type="numbering" w:customStyle="1" w:styleId="BulletedList242">
    <w:name w:val="Bulleted List242"/>
    <w:rsid w:val="00496814"/>
  </w:style>
  <w:style w:type="numbering" w:customStyle="1" w:styleId="NoList1142">
    <w:name w:val="No List1142"/>
    <w:next w:val="NoList"/>
    <w:uiPriority w:val="99"/>
    <w:semiHidden/>
    <w:unhideWhenUsed/>
    <w:rsid w:val="00496814"/>
  </w:style>
  <w:style w:type="numbering" w:customStyle="1" w:styleId="CurrentList11142">
    <w:name w:val="Current List11142"/>
    <w:rsid w:val="00496814"/>
  </w:style>
  <w:style w:type="numbering" w:customStyle="1" w:styleId="BulletedList1142">
    <w:name w:val="Bulleted List1142"/>
    <w:rsid w:val="00496814"/>
  </w:style>
  <w:style w:type="numbering" w:customStyle="1" w:styleId="NoList342">
    <w:name w:val="No List342"/>
    <w:next w:val="NoList"/>
    <w:uiPriority w:val="99"/>
    <w:semiHidden/>
    <w:unhideWhenUsed/>
    <w:rsid w:val="00496814"/>
  </w:style>
  <w:style w:type="table" w:customStyle="1" w:styleId="TableGrid242">
    <w:name w:val="Table Grid2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2">
    <w:name w:val="Light Shading12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2">
    <w:name w:val="Light Grid12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2">
    <w:name w:val="Medium Shading 1 - Accent 112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2">
    <w:name w:val="Medium Grid 1 - Accent 12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2">
    <w:name w:val="Light Shading - Accent 112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2">
    <w:name w:val="RSP_Style2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2">
    <w:name w:val="2012 2 table format2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2">
    <w:name w:val="Medium Grid 1 - Accent 62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2">
    <w:name w:val="Light List - Accent 62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2">
    <w:name w:val="Light Grid - Accent 112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2">
    <w:name w:val="2012 Style2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2">
    <w:name w:val="Light Shading - Accent 12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2">
    <w:name w:val="No List1242"/>
    <w:next w:val="NoList"/>
    <w:uiPriority w:val="99"/>
    <w:semiHidden/>
    <w:unhideWhenUsed/>
    <w:rsid w:val="00496814"/>
  </w:style>
  <w:style w:type="numbering" w:customStyle="1" w:styleId="CurrentList11242">
    <w:name w:val="Current List11242"/>
    <w:rsid w:val="00496814"/>
  </w:style>
  <w:style w:type="table" w:customStyle="1" w:styleId="TableGrid1142">
    <w:name w:val="Table Grid1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2">
    <w:name w:val="Bulleted List1242"/>
    <w:rsid w:val="00496814"/>
  </w:style>
  <w:style w:type="table" w:customStyle="1" w:styleId="LightShading11142">
    <w:name w:val="Light Shading11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2">
    <w:name w:val="Light Grid111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2">
    <w:name w:val="Medium Shading 1 - Accent 1111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2">
    <w:name w:val="Medium Grid 1 - Accent 111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2">
    <w:name w:val="Light Shading - Accent 1111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2">
    <w:name w:val="RSP_Style11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2">
    <w:name w:val="2012 2 table format11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2">
    <w:name w:val="Medium Grid 1 - Accent 611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2">
    <w:name w:val="Light List - Accent 611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2">
    <w:name w:val="Light Grid - Accent 1111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2">
    <w:name w:val="2012 Style11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2">
    <w:name w:val="Light Shading - Accent 1211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2">
    <w:name w:val="Medium Shading 1 - Accent 41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2">
    <w:name w:val="No List442"/>
    <w:next w:val="NoList"/>
    <w:uiPriority w:val="99"/>
    <w:semiHidden/>
    <w:unhideWhenUsed/>
    <w:rsid w:val="00496814"/>
  </w:style>
  <w:style w:type="table" w:customStyle="1" w:styleId="TableGrid352">
    <w:name w:val="Table Grid3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2">
    <w:name w:val="Light Shading13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2">
    <w:name w:val="Light Grid13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2">
    <w:name w:val="Medium Shading 1 - Accent 113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2">
    <w:name w:val="Medium Grid 1 - Accent 13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2">
    <w:name w:val="Light Shading - Accent 113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2">
    <w:name w:val="RSP_Style3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2">
    <w:name w:val="2012 2 table format3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2">
    <w:name w:val="Medium Grid 1 - Accent 63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2">
    <w:name w:val="Light List - Accent 63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2">
    <w:name w:val="Light Grid - Accent 113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2">
    <w:name w:val="2012 Style3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2">
    <w:name w:val="Light Shading - Accent 123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2">
    <w:name w:val="No List1342"/>
    <w:next w:val="NoList"/>
    <w:uiPriority w:val="99"/>
    <w:semiHidden/>
    <w:unhideWhenUsed/>
    <w:rsid w:val="00496814"/>
  </w:style>
  <w:style w:type="numbering" w:customStyle="1" w:styleId="CurrentList11342">
    <w:name w:val="Current List11342"/>
    <w:rsid w:val="00496814"/>
  </w:style>
  <w:style w:type="table" w:customStyle="1" w:styleId="TableGrid1242">
    <w:name w:val="Table Grid12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2">
    <w:name w:val="Bulleted List1342"/>
    <w:rsid w:val="00496814"/>
  </w:style>
  <w:style w:type="table" w:customStyle="1" w:styleId="LightShading11242">
    <w:name w:val="Light Shading112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2">
    <w:name w:val="Light Grid112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2">
    <w:name w:val="Medium Shading 1 - Accent 1112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2">
    <w:name w:val="Medium Grid 1 - Accent 112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2">
    <w:name w:val="Light Shading - Accent 1112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2">
    <w:name w:val="RSP_Style12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2">
    <w:name w:val="2012 2 table format12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2">
    <w:name w:val="Medium Grid 1 - Accent 612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2">
    <w:name w:val="Light List - Accent 612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2">
    <w:name w:val="Light Grid - Accent 1112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2">
    <w:name w:val="2012 Style12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2">
    <w:name w:val="Light Shading - Accent 121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2">
    <w:name w:val="Medium Shading 1 - Accent 42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2">
    <w:name w:val="Current List1342"/>
    <w:rsid w:val="00496814"/>
  </w:style>
  <w:style w:type="table" w:customStyle="1" w:styleId="TableGrid3142">
    <w:name w:val="Table Grid3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496814"/>
  </w:style>
  <w:style w:type="numbering" w:customStyle="1" w:styleId="CurrentList1442">
    <w:name w:val="Current List1442"/>
    <w:rsid w:val="00496814"/>
  </w:style>
  <w:style w:type="table" w:customStyle="1" w:styleId="TableGrid442">
    <w:name w:val="Table Grid4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2">
    <w:name w:val="Bulleted List342"/>
    <w:rsid w:val="00496814"/>
  </w:style>
  <w:style w:type="table" w:customStyle="1" w:styleId="LightShading1442">
    <w:name w:val="Light Shading14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2">
    <w:name w:val="Light Grid14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2">
    <w:name w:val="Medium Shading 1 - Accent 114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2">
    <w:name w:val="Medium Grid 1 - Accent 14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2">
    <w:name w:val="Light Shading - Accent 114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2">
    <w:name w:val="RSP_Style4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2">
    <w:name w:val="2012 2 table format4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2">
    <w:name w:val="Medium Grid 1 - Accent 64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2">
    <w:name w:val="Light List - Accent 64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2">
    <w:name w:val="Light Grid - Accent 114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2">
    <w:name w:val="2012 Style4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2">
    <w:name w:val="Light Shading - Accent 124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2">
    <w:name w:val="No List1442"/>
    <w:next w:val="NoList"/>
    <w:uiPriority w:val="99"/>
    <w:semiHidden/>
    <w:unhideWhenUsed/>
    <w:rsid w:val="00496814"/>
  </w:style>
  <w:style w:type="numbering" w:customStyle="1" w:styleId="CurrentList11442">
    <w:name w:val="Current List11442"/>
    <w:rsid w:val="00496814"/>
  </w:style>
  <w:style w:type="table" w:customStyle="1" w:styleId="TableGrid1342">
    <w:name w:val="Table Grid13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2">
    <w:name w:val="Bulleted List1442"/>
    <w:rsid w:val="00496814"/>
  </w:style>
  <w:style w:type="table" w:customStyle="1" w:styleId="LightShading11342">
    <w:name w:val="Light Shading113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2">
    <w:name w:val="Light Grid113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2">
    <w:name w:val="Medium Shading 1 - Accent 1113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2">
    <w:name w:val="Medium Grid 1 - Accent 113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2">
    <w:name w:val="Light Shading - Accent 1113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2">
    <w:name w:val="RSP_Style13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2">
    <w:name w:val="2012 2 table format13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2">
    <w:name w:val="Medium Grid 1 - Accent 613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2">
    <w:name w:val="Light List - Accent 613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2">
    <w:name w:val="Light Grid - Accent 1113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2">
    <w:name w:val="2012 Style13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2">
    <w:name w:val="Light Shading - Accent 1213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2">
    <w:name w:val="Medium Shading 1 - Accent 434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2">
    <w:name w:val="Table Grid5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496814"/>
  </w:style>
  <w:style w:type="numbering" w:customStyle="1" w:styleId="CurrentList182">
    <w:name w:val="Current List182"/>
    <w:rsid w:val="00496814"/>
  </w:style>
  <w:style w:type="table" w:customStyle="1" w:styleId="TableGrid102">
    <w:name w:val="Table Grid10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2">
    <w:name w:val="Light Shading19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2">
    <w:name w:val="Light Grid19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2">
    <w:name w:val="Medium Shading 1 - Accent 119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2">
    <w:name w:val="Medium Grid 1 - Accent 19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2">
    <w:name w:val="Light Shading - Accent 119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2">
    <w:name w:val="RSP_Style9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2">
    <w:name w:val="2012 2 table format9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2">
    <w:name w:val="Medium Grid 1 - Accent 69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2">
    <w:name w:val="Light List - Accent 69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2">
    <w:name w:val="Light Grid - Accent 119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2">
    <w:name w:val="2012 Style9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2">
    <w:name w:val="Light Shading - Accent 129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2">
    <w:name w:val="No List192"/>
    <w:next w:val="NoList"/>
    <w:uiPriority w:val="99"/>
    <w:semiHidden/>
    <w:unhideWhenUsed/>
    <w:rsid w:val="00496814"/>
  </w:style>
  <w:style w:type="numbering" w:customStyle="1" w:styleId="CurrentList1192">
    <w:name w:val="Current List1192"/>
    <w:rsid w:val="00496814"/>
  </w:style>
  <w:style w:type="table" w:customStyle="1" w:styleId="TableGrid182">
    <w:name w:val="Table Grid18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2">
    <w:name w:val="Bulleted List192"/>
    <w:rsid w:val="00496814"/>
  </w:style>
  <w:style w:type="table" w:customStyle="1" w:styleId="LightShading1182">
    <w:name w:val="Light Shading118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2">
    <w:name w:val="Light Grid118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2">
    <w:name w:val="Medium Shading 1 - Accent 1118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2">
    <w:name w:val="Medium Grid 1 - Accent 118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2">
    <w:name w:val="Light Shading - Accent 1118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2">
    <w:name w:val="RSP_Style18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2">
    <w:name w:val="2012 2 table format18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2">
    <w:name w:val="Medium Grid 1 - Accent 618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2">
    <w:name w:val="Light List - Accent 618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2">
    <w:name w:val="Light Grid - Accent 1118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2">
    <w:name w:val="2012 Style18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2">
    <w:name w:val="Light Shading - Accent 1218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2">
    <w:name w:val="Medium Shading 1 - Accent 48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2">
    <w:name w:val="No List252"/>
    <w:next w:val="NoList"/>
    <w:uiPriority w:val="99"/>
    <w:semiHidden/>
    <w:unhideWhenUsed/>
    <w:rsid w:val="00496814"/>
  </w:style>
  <w:style w:type="numbering" w:customStyle="1" w:styleId="CurrentList1252">
    <w:name w:val="Current List1252"/>
    <w:rsid w:val="00496814"/>
  </w:style>
  <w:style w:type="numbering" w:customStyle="1" w:styleId="BulletedList252">
    <w:name w:val="Bulleted List252"/>
    <w:rsid w:val="00496814"/>
  </w:style>
  <w:style w:type="numbering" w:customStyle="1" w:styleId="NoList1152">
    <w:name w:val="No List1152"/>
    <w:next w:val="NoList"/>
    <w:uiPriority w:val="99"/>
    <w:semiHidden/>
    <w:unhideWhenUsed/>
    <w:rsid w:val="00496814"/>
  </w:style>
  <w:style w:type="numbering" w:customStyle="1" w:styleId="CurrentList11152">
    <w:name w:val="Current List11152"/>
    <w:rsid w:val="00496814"/>
  </w:style>
  <w:style w:type="numbering" w:customStyle="1" w:styleId="BulletedList1152">
    <w:name w:val="Bulleted List1152"/>
    <w:rsid w:val="00496814"/>
  </w:style>
  <w:style w:type="numbering" w:customStyle="1" w:styleId="NoList352">
    <w:name w:val="No List352"/>
    <w:next w:val="NoList"/>
    <w:uiPriority w:val="99"/>
    <w:semiHidden/>
    <w:unhideWhenUsed/>
    <w:rsid w:val="00496814"/>
  </w:style>
  <w:style w:type="table" w:customStyle="1" w:styleId="TableGrid252">
    <w:name w:val="Table Grid2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2">
    <w:name w:val="Light Shading12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2">
    <w:name w:val="Light Grid12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2">
    <w:name w:val="Medium Shading 1 - Accent 112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2">
    <w:name w:val="Medium Grid 1 - Accent 12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2">
    <w:name w:val="Light Shading - Accent 112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2">
    <w:name w:val="RSP_Style2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2">
    <w:name w:val="2012 2 table format2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2">
    <w:name w:val="Medium Grid 1 - Accent 62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2">
    <w:name w:val="Light List - Accent 62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2">
    <w:name w:val="Light Grid - Accent 112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2">
    <w:name w:val="2012 Style2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2">
    <w:name w:val="Light Shading - Accent 12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2">
    <w:name w:val="No List1252"/>
    <w:next w:val="NoList"/>
    <w:uiPriority w:val="99"/>
    <w:semiHidden/>
    <w:unhideWhenUsed/>
    <w:rsid w:val="00496814"/>
  </w:style>
  <w:style w:type="numbering" w:customStyle="1" w:styleId="CurrentList11252">
    <w:name w:val="Current List11252"/>
    <w:rsid w:val="00496814"/>
  </w:style>
  <w:style w:type="table" w:customStyle="1" w:styleId="TableGrid1152">
    <w:name w:val="Table Grid1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2">
    <w:name w:val="Bulleted List1252"/>
    <w:rsid w:val="00496814"/>
  </w:style>
  <w:style w:type="table" w:customStyle="1" w:styleId="LightShading11152">
    <w:name w:val="Light Shading11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2">
    <w:name w:val="Light Grid11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2">
    <w:name w:val="Medium Shading 1 - Accent 11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2">
    <w:name w:val="Medium Grid 1 - Accent 11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2">
    <w:name w:val="Light Shading - Accent 11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2">
    <w:name w:val="RSP_Style11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2">
    <w:name w:val="2012 2 table format11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2">
    <w:name w:val="Medium Grid 1 - Accent 611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2">
    <w:name w:val="Light List - Accent 611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2">
    <w:name w:val="Light Grid - Accent 11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2">
    <w:name w:val="2012 Style11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2">
    <w:name w:val="Light Shading - Accent 1211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2">
    <w:name w:val="Medium Shading 1 - Accent 41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2">
    <w:name w:val="No List452"/>
    <w:next w:val="NoList"/>
    <w:uiPriority w:val="99"/>
    <w:semiHidden/>
    <w:unhideWhenUsed/>
    <w:rsid w:val="00496814"/>
  </w:style>
  <w:style w:type="table" w:customStyle="1" w:styleId="TableGrid362">
    <w:name w:val="Table Grid3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2">
    <w:name w:val="Light Shading13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2">
    <w:name w:val="Light Grid13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2">
    <w:name w:val="Medium Shading 1 - Accent 113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2">
    <w:name w:val="Medium Grid 1 - Accent 13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2">
    <w:name w:val="Light Shading - Accent 113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2">
    <w:name w:val="RSP_Style3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2">
    <w:name w:val="2012 2 table format3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2">
    <w:name w:val="Medium Grid 1 - Accent 63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2">
    <w:name w:val="Light List - Accent 63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2">
    <w:name w:val="Light Grid - Accent 113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2">
    <w:name w:val="2012 Style3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2">
    <w:name w:val="Light Shading - Accent 123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2">
    <w:name w:val="No List1352"/>
    <w:next w:val="NoList"/>
    <w:uiPriority w:val="99"/>
    <w:semiHidden/>
    <w:unhideWhenUsed/>
    <w:rsid w:val="00496814"/>
  </w:style>
  <w:style w:type="numbering" w:customStyle="1" w:styleId="CurrentList11352">
    <w:name w:val="Current List11352"/>
    <w:rsid w:val="00496814"/>
  </w:style>
  <w:style w:type="table" w:customStyle="1" w:styleId="TableGrid1252">
    <w:name w:val="Table Grid12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2">
    <w:name w:val="Bulleted List1352"/>
    <w:rsid w:val="00496814"/>
  </w:style>
  <w:style w:type="table" w:customStyle="1" w:styleId="LightShading11252">
    <w:name w:val="Light Shading112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2">
    <w:name w:val="Light Grid112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2">
    <w:name w:val="Medium Shading 1 - Accent 1112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2">
    <w:name w:val="Medium Grid 1 - Accent 112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2">
    <w:name w:val="Light Shading - Accent 1112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2">
    <w:name w:val="RSP_Style12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2">
    <w:name w:val="2012 2 table format12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2">
    <w:name w:val="Medium Grid 1 - Accent 612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2">
    <w:name w:val="Light List - Accent 612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2">
    <w:name w:val="Light Grid - Accent 1112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2">
    <w:name w:val="2012 Style12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2">
    <w:name w:val="Light Shading - Accent 121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2">
    <w:name w:val="Medium Shading 1 - Accent 42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2">
    <w:name w:val="Current List1352"/>
    <w:rsid w:val="00496814"/>
  </w:style>
  <w:style w:type="table" w:customStyle="1" w:styleId="TableGrid3152">
    <w:name w:val="Table Grid3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496814"/>
  </w:style>
  <w:style w:type="numbering" w:customStyle="1" w:styleId="CurrentList1452">
    <w:name w:val="Current List1452"/>
    <w:rsid w:val="00496814"/>
  </w:style>
  <w:style w:type="table" w:customStyle="1" w:styleId="TableGrid452">
    <w:name w:val="Table Grid45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2">
    <w:name w:val="Bulleted List352"/>
    <w:rsid w:val="00496814"/>
  </w:style>
  <w:style w:type="table" w:customStyle="1" w:styleId="LightShading1452">
    <w:name w:val="Light Shading14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2">
    <w:name w:val="Light Grid145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2">
    <w:name w:val="Medium Shading 1 - Accent 1145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2">
    <w:name w:val="Medium Grid 1 - Accent 145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2">
    <w:name w:val="Light Shading - Accent 1145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2">
    <w:name w:val="RSP_Style45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2">
    <w:name w:val="2012 2 table format4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2">
    <w:name w:val="Medium Grid 1 - Accent 645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2">
    <w:name w:val="Light List - Accent 645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2">
    <w:name w:val="Light Grid - Accent 1145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2">
    <w:name w:val="2012 Style45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2">
    <w:name w:val="Light Shading - Accent 124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2">
    <w:name w:val="No List1452"/>
    <w:next w:val="NoList"/>
    <w:uiPriority w:val="99"/>
    <w:semiHidden/>
    <w:unhideWhenUsed/>
    <w:rsid w:val="00496814"/>
  </w:style>
  <w:style w:type="numbering" w:customStyle="1" w:styleId="CurrentList11452">
    <w:name w:val="Current List11452"/>
    <w:rsid w:val="00496814"/>
  </w:style>
  <w:style w:type="table" w:customStyle="1" w:styleId="TableGrid1352">
    <w:name w:val="Table Grid135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2">
    <w:name w:val="Bulleted List1452"/>
    <w:rsid w:val="00496814"/>
  </w:style>
  <w:style w:type="table" w:customStyle="1" w:styleId="LightShading11352">
    <w:name w:val="Light Shading113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2">
    <w:name w:val="Light Grid1135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2">
    <w:name w:val="Medium Shading 1 - Accent 11135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2">
    <w:name w:val="Medium Grid 1 - Accent 1135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2">
    <w:name w:val="Light Shading - Accent 11135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2">
    <w:name w:val="RSP_Style135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2">
    <w:name w:val="2012 2 table format13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2">
    <w:name w:val="Medium Grid 1 - Accent 6135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2">
    <w:name w:val="Light List - Accent 6135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2">
    <w:name w:val="Light Grid - Accent 11135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2">
    <w:name w:val="2012 Style135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2">
    <w:name w:val="Light Shading - Accent 1213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2">
    <w:name w:val="Medium Shading 1 - Accent 435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2">
    <w:name w:val="Table Grid5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3">
    <w:name w:val="ISO Report Style3"/>
    <w:uiPriority w:val="99"/>
    <w:rsid w:val="00496814"/>
  </w:style>
  <w:style w:type="numbering" w:customStyle="1" w:styleId="ISOReportStyle4">
    <w:name w:val="ISO Report Style4"/>
    <w:uiPriority w:val="99"/>
    <w:rsid w:val="00496814"/>
  </w:style>
  <w:style w:type="numbering" w:customStyle="1" w:styleId="NoList29">
    <w:name w:val="No List29"/>
    <w:next w:val="NoList"/>
    <w:uiPriority w:val="99"/>
    <w:semiHidden/>
    <w:unhideWhenUsed/>
    <w:rsid w:val="00496814"/>
  </w:style>
  <w:style w:type="numbering" w:customStyle="1" w:styleId="CurrentList120">
    <w:name w:val="Current List120"/>
    <w:rsid w:val="00496814"/>
  </w:style>
  <w:style w:type="table" w:customStyle="1" w:styleId="TableGrid28">
    <w:name w:val="Table Grid2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8">
    <w:name w:val="Light Shading12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8">
    <w:name w:val="Light Grid12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8">
    <w:name w:val="Medium Shading 1 - Accent 112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8">
    <w:name w:val="Medium Grid 1 - Accent 12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8">
    <w:name w:val="Light Shading - Accent 112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8">
    <w:name w:val="RSP_Style2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8">
    <w:name w:val="2012 2 table format2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8">
    <w:name w:val="Medium Grid 1 - Accent 62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8">
    <w:name w:val="Light List - Accent 62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8">
    <w:name w:val="Light Grid - Accent 112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8">
    <w:name w:val="2012 Style2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8">
    <w:name w:val="Light Shading - Accent 12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9">
    <w:name w:val="No List119"/>
    <w:next w:val="NoList"/>
    <w:uiPriority w:val="99"/>
    <w:semiHidden/>
    <w:unhideWhenUsed/>
    <w:rsid w:val="00496814"/>
  </w:style>
  <w:style w:type="numbering" w:customStyle="1" w:styleId="CurrentList1119">
    <w:name w:val="Current List1119"/>
    <w:rsid w:val="00496814"/>
  </w:style>
  <w:style w:type="table" w:customStyle="1" w:styleId="TableGrid119">
    <w:name w:val="Table Grid11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9">
    <w:name w:val="Bulleted List119"/>
    <w:rsid w:val="00496814"/>
  </w:style>
  <w:style w:type="table" w:customStyle="1" w:styleId="LightShading1118">
    <w:name w:val="Light Shading11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8">
    <w:name w:val="Light Grid11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8">
    <w:name w:val="Medium Shading 1 - Accent 11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8">
    <w:name w:val="Medium Grid 1 - Accent 11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8">
    <w:name w:val="Light Shading - Accent 11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8">
    <w:name w:val="RSP_Style11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8">
    <w:name w:val="2012 2 table format11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8">
    <w:name w:val="Medium Grid 1 - Accent 611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8">
    <w:name w:val="Light List - Accent 611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8">
    <w:name w:val="Light Grid - Accent 11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8">
    <w:name w:val="2012 Style11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8">
    <w:name w:val="Light Shading - Accent 1211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8">
    <w:name w:val="Medium Shading 1 - Accent 41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0">
    <w:name w:val="No List210"/>
    <w:next w:val="NoList"/>
    <w:uiPriority w:val="99"/>
    <w:semiHidden/>
    <w:unhideWhenUsed/>
    <w:rsid w:val="00496814"/>
  </w:style>
  <w:style w:type="numbering" w:customStyle="1" w:styleId="CurrentList128">
    <w:name w:val="Current List128"/>
    <w:rsid w:val="00496814"/>
  </w:style>
  <w:style w:type="numbering" w:customStyle="1" w:styleId="BulletedList28">
    <w:name w:val="Bulleted List28"/>
    <w:rsid w:val="00496814"/>
  </w:style>
  <w:style w:type="numbering" w:customStyle="1" w:styleId="NoList1110">
    <w:name w:val="No List1110"/>
    <w:next w:val="NoList"/>
    <w:uiPriority w:val="99"/>
    <w:semiHidden/>
    <w:unhideWhenUsed/>
    <w:rsid w:val="00496814"/>
  </w:style>
  <w:style w:type="numbering" w:customStyle="1" w:styleId="CurrentList11110">
    <w:name w:val="Current List11110"/>
    <w:rsid w:val="00496814"/>
  </w:style>
  <w:style w:type="numbering" w:customStyle="1" w:styleId="BulletedList1110">
    <w:name w:val="Bulleted List1110"/>
    <w:rsid w:val="00496814"/>
  </w:style>
  <w:style w:type="numbering" w:customStyle="1" w:styleId="NoList38">
    <w:name w:val="No List38"/>
    <w:next w:val="NoList"/>
    <w:uiPriority w:val="99"/>
    <w:semiHidden/>
    <w:unhideWhenUsed/>
    <w:rsid w:val="00496814"/>
  </w:style>
  <w:style w:type="table" w:customStyle="1" w:styleId="TableGrid29">
    <w:name w:val="Table Grid2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9">
    <w:name w:val="Light Shading12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9">
    <w:name w:val="Light Grid12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9">
    <w:name w:val="Medium Shading 1 - Accent 112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9">
    <w:name w:val="Medium Grid 1 - Accent 12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9">
    <w:name w:val="Light Shading - Accent 112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9">
    <w:name w:val="RSP_Style2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9">
    <w:name w:val="2012 2 table format2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9">
    <w:name w:val="Medium Grid 1 - Accent 62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9">
    <w:name w:val="Light List - Accent 62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9">
    <w:name w:val="Light Grid - Accent 112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9">
    <w:name w:val="2012 Style2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9">
    <w:name w:val="Light Shading - Accent 122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8">
    <w:name w:val="No List128"/>
    <w:next w:val="NoList"/>
    <w:uiPriority w:val="99"/>
    <w:semiHidden/>
    <w:unhideWhenUsed/>
    <w:rsid w:val="00496814"/>
  </w:style>
  <w:style w:type="numbering" w:customStyle="1" w:styleId="CurrentList1128">
    <w:name w:val="Current List1128"/>
    <w:rsid w:val="00496814"/>
  </w:style>
  <w:style w:type="table" w:customStyle="1" w:styleId="TableGrid1110">
    <w:name w:val="Table Grid11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8">
    <w:name w:val="Bulleted List128"/>
    <w:rsid w:val="00496814"/>
  </w:style>
  <w:style w:type="table" w:customStyle="1" w:styleId="LightShading1119">
    <w:name w:val="Light Shading11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9">
    <w:name w:val="Light Grid11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9">
    <w:name w:val="Medium Shading 1 - Accent 11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9">
    <w:name w:val="Medium Grid 1 - Accent 11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9">
    <w:name w:val="Light Shading - Accent 11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9">
    <w:name w:val="RSP_Style11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9">
    <w:name w:val="2012 2 table format11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9">
    <w:name w:val="Medium Grid 1 - Accent 611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9">
    <w:name w:val="Light List - Accent 611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9">
    <w:name w:val="Light Grid - Accent 11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9">
    <w:name w:val="2012 Style11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9">
    <w:name w:val="Light Shading - Accent 1211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9">
    <w:name w:val="Medium Shading 1 - Accent 419"/>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8">
    <w:name w:val="No List48"/>
    <w:next w:val="NoList"/>
    <w:uiPriority w:val="99"/>
    <w:semiHidden/>
    <w:unhideWhenUsed/>
    <w:rsid w:val="00496814"/>
  </w:style>
  <w:style w:type="table" w:customStyle="1" w:styleId="TableGrid39">
    <w:name w:val="Table Grid3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8">
    <w:name w:val="Light Shading13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8">
    <w:name w:val="Light Grid13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8">
    <w:name w:val="Medium Shading 1 - Accent 113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8">
    <w:name w:val="Medium Grid 1 - Accent 13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8">
    <w:name w:val="Light Shading - Accent 113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8">
    <w:name w:val="RSP_Style3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8">
    <w:name w:val="2012 2 table format3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8">
    <w:name w:val="Medium Grid 1 - Accent 63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8">
    <w:name w:val="Light List - Accent 63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8">
    <w:name w:val="Light Grid - Accent 113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8">
    <w:name w:val="2012 Style3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8">
    <w:name w:val="Light Shading - Accent 123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8">
    <w:name w:val="No List138"/>
    <w:next w:val="NoList"/>
    <w:uiPriority w:val="99"/>
    <w:semiHidden/>
    <w:unhideWhenUsed/>
    <w:rsid w:val="00496814"/>
  </w:style>
  <w:style w:type="numbering" w:customStyle="1" w:styleId="CurrentList1138">
    <w:name w:val="Current List1138"/>
    <w:rsid w:val="00496814"/>
  </w:style>
  <w:style w:type="table" w:customStyle="1" w:styleId="TableGrid128">
    <w:name w:val="Table Grid12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8">
    <w:name w:val="Bulleted List138"/>
    <w:rsid w:val="00496814"/>
  </w:style>
  <w:style w:type="table" w:customStyle="1" w:styleId="LightShading1128">
    <w:name w:val="Light Shading112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8">
    <w:name w:val="Light Grid112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8">
    <w:name w:val="Medium Shading 1 - Accent 1112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8">
    <w:name w:val="Medium Grid 1 - Accent 112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8">
    <w:name w:val="Light Shading - Accent 1112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8">
    <w:name w:val="RSP_Style12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8">
    <w:name w:val="2012 2 table format12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8">
    <w:name w:val="Medium Grid 1 - Accent 612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8">
    <w:name w:val="Light List - Accent 612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8">
    <w:name w:val="Light Grid - Accent 1112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8">
    <w:name w:val="2012 Style12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8">
    <w:name w:val="Light Shading - Accent 121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8">
    <w:name w:val="Medium Shading 1 - Accent 42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8">
    <w:name w:val="Current List138"/>
    <w:rsid w:val="00496814"/>
  </w:style>
  <w:style w:type="table" w:customStyle="1" w:styleId="TableGrid318">
    <w:name w:val="Table Grid3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96814"/>
  </w:style>
  <w:style w:type="numbering" w:customStyle="1" w:styleId="CurrentList148">
    <w:name w:val="Current List148"/>
    <w:rsid w:val="00496814"/>
  </w:style>
  <w:style w:type="table" w:customStyle="1" w:styleId="TableGrid48">
    <w:name w:val="Table Grid48"/>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8">
    <w:name w:val="Bulleted List38"/>
    <w:rsid w:val="00496814"/>
  </w:style>
  <w:style w:type="table" w:customStyle="1" w:styleId="LightShading148">
    <w:name w:val="Light Shading14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8">
    <w:name w:val="Light Grid148"/>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8">
    <w:name w:val="Medium Shading 1 - Accent 1148"/>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8">
    <w:name w:val="Medium Grid 1 - Accent 148"/>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8">
    <w:name w:val="Light Shading - Accent 1148"/>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8">
    <w:name w:val="RSP_Style48"/>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8">
    <w:name w:val="2012 2 table format4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8">
    <w:name w:val="Medium Grid 1 - Accent 648"/>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8">
    <w:name w:val="Light List - Accent 648"/>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8">
    <w:name w:val="Light Grid - Accent 1148"/>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8">
    <w:name w:val="2012 Style48"/>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8">
    <w:name w:val="Light Shading - Accent 124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8">
    <w:name w:val="No List148"/>
    <w:next w:val="NoList"/>
    <w:uiPriority w:val="99"/>
    <w:semiHidden/>
    <w:unhideWhenUsed/>
    <w:rsid w:val="00496814"/>
  </w:style>
  <w:style w:type="numbering" w:customStyle="1" w:styleId="CurrentList1148">
    <w:name w:val="Current List1148"/>
    <w:rsid w:val="00496814"/>
  </w:style>
  <w:style w:type="table" w:customStyle="1" w:styleId="TableGrid138">
    <w:name w:val="Table Grid138"/>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8">
    <w:name w:val="Bulleted List148"/>
    <w:rsid w:val="00496814"/>
  </w:style>
  <w:style w:type="table" w:customStyle="1" w:styleId="LightShading1138">
    <w:name w:val="Light Shading113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8">
    <w:name w:val="Light Grid1138"/>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8">
    <w:name w:val="Medium Shading 1 - Accent 11138"/>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8">
    <w:name w:val="Medium Grid 1 - Accent 1138"/>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8">
    <w:name w:val="Light Shading - Accent 11138"/>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8">
    <w:name w:val="RSP_Style138"/>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8">
    <w:name w:val="2012 2 table format13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8">
    <w:name w:val="Medium Grid 1 - Accent 6138"/>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8">
    <w:name w:val="Light List - Accent 6138"/>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8">
    <w:name w:val="Light Grid - Accent 11138"/>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8">
    <w:name w:val="2012 Style138"/>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8">
    <w:name w:val="Light Shading - Accent 1213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8">
    <w:name w:val="Medium Shading 1 - Accent 438"/>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9">
    <w:name w:val="Table Grid5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3">
    <w:name w:val="ISO Report Style13"/>
    <w:uiPriority w:val="99"/>
    <w:rsid w:val="00496814"/>
  </w:style>
  <w:style w:type="numbering" w:customStyle="1" w:styleId="NoList63">
    <w:name w:val="No List63"/>
    <w:next w:val="NoList"/>
    <w:uiPriority w:val="99"/>
    <w:semiHidden/>
    <w:unhideWhenUsed/>
    <w:rsid w:val="00496814"/>
  </w:style>
  <w:style w:type="table" w:customStyle="1" w:styleId="TableGrid63">
    <w:name w:val="Table Grid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3">
    <w:name w:val="Light Shading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3">
    <w:name w:val="Light Grid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3">
    <w:name w:val="Medium Shading 1 - Accent 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3">
    <w:name w:val="Medium Grid 1 - Accent 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3">
    <w:name w:val="Light Shading - Accent 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3">
    <w:name w:val="RSP_Style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3">
    <w:name w:val="2012 2 table format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3">
    <w:name w:val="Medium Grid 1 - Accent 6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3">
    <w:name w:val="Light List - Accent 6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3">
    <w:name w:val="Light Grid - Accent 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3">
    <w:name w:val="2012 Style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3">
    <w:name w:val="Light Shading - Accent 12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3">
    <w:name w:val="No List153"/>
    <w:next w:val="NoList"/>
    <w:uiPriority w:val="99"/>
    <w:semiHidden/>
    <w:unhideWhenUsed/>
    <w:rsid w:val="00496814"/>
  </w:style>
  <w:style w:type="numbering" w:customStyle="1" w:styleId="CurrentList1153">
    <w:name w:val="Current List1153"/>
    <w:rsid w:val="00496814"/>
  </w:style>
  <w:style w:type="table" w:customStyle="1" w:styleId="TableGrid143">
    <w:name w:val="Table Grid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3">
    <w:name w:val="Bulleted List153"/>
    <w:rsid w:val="00496814"/>
  </w:style>
  <w:style w:type="table" w:customStyle="1" w:styleId="LightShading1143">
    <w:name w:val="Light Shading1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3">
    <w:name w:val="Light Grid11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3">
    <w:name w:val="Medium Shading 1 - Accent 111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3">
    <w:name w:val="Medium Grid 1 - Accent 11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3">
    <w:name w:val="Light Shading - Accent 111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3">
    <w:name w:val="RSP_Style1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3">
    <w:name w:val="2012 2 table format1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3">
    <w:name w:val="Medium Grid 1 - Accent 61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3">
    <w:name w:val="Light List - Accent 61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3">
    <w:name w:val="Light Grid - Accent 111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3">
    <w:name w:val="2012 Style1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3">
    <w:name w:val="Light Shading - Accent 121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3">
    <w:name w:val="Medium Shading 1 - Accent 4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3">
    <w:name w:val="No List213"/>
    <w:next w:val="NoList"/>
    <w:uiPriority w:val="99"/>
    <w:semiHidden/>
    <w:unhideWhenUsed/>
    <w:rsid w:val="00496814"/>
  </w:style>
  <w:style w:type="numbering" w:customStyle="1" w:styleId="CurrentList1213">
    <w:name w:val="Current List1213"/>
    <w:rsid w:val="00496814"/>
  </w:style>
  <w:style w:type="numbering" w:customStyle="1" w:styleId="BulletedList213">
    <w:name w:val="Bulleted List213"/>
    <w:rsid w:val="00496814"/>
  </w:style>
  <w:style w:type="numbering" w:customStyle="1" w:styleId="NoList1113">
    <w:name w:val="No List1113"/>
    <w:next w:val="NoList"/>
    <w:uiPriority w:val="99"/>
    <w:semiHidden/>
    <w:unhideWhenUsed/>
    <w:rsid w:val="00496814"/>
  </w:style>
  <w:style w:type="numbering" w:customStyle="1" w:styleId="CurrentList11113">
    <w:name w:val="Current List11113"/>
    <w:rsid w:val="00496814"/>
  </w:style>
  <w:style w:type="numbering" w:customStyle="1" w:styleId="BulletedList1113">
    <w:name w:val="Bulleted List1113"/>
    <w:rsid w:val="00496814"/>
  </w:style>
  <w:style w:type="numbering" w:customStyle="1" w:styleId="NoList313">
    <w:name w:val="No List313"/>
    <w:next w:val="NoList"/>
    <w:uiPriority w:val="99"/>
    <w:semiHidden/>
    <w:unhideWhenUsed/>
    <w:rsid w:val="00496814"/>
  </w:style>
  <w:style w:type="table" w:customStyle="1" w:styleId="TableGrid213">
    <w:name w:val="Table Grid2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3">
    <w:name w:val="Light Shading12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3">
    <w:name w:val="Light Grid12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3">
    <w:name w:val="Medium Shading 1 - Accent 112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3">
    <w:name w:val="Medium Grid 1 - Accent 12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3">
    <w:name w:val="Light Shading - Accent 112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3">
    <w:name w:val="RSP_Style2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3">
    <w:name w:val="2012 2 table format2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3">
    <w:name w:val="Medium Grid 1 - Accent 62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3">
    <w:name w:val="Light List - Accent 62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3">
    <w:name w:val="Light Grid - Accent 112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3">
    <w:name w:val="2012 Style2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3">
    <w:name w:val="Light Shading - Accent 12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3">
    <w:name w:val="No List1213"/>
    <w:next w:val="NoList"/>
    <w:uiPriority w:val="99"/>
    <w:semiHidden/>
    <w:unhideWhenUsed/>
    <w:rsid w:val="00496814"/>
  </w:style>
  <w:style w:type="numbering" w:customStyle="1" w:styleId="CurrentList11213">
    <w:name w:val="Current List11213"/>
    <w:rsid w:val="00496814"/>
  </w:style>
  <w:style w:type="table" w:customStyle="1" w:styleId="TableGrid1113">
    <w:name w:val="Table Grid1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3">
    <w:name w:val="Bulleted List1213"/>
    <w:rsid w:val="00496814"/>
  </w:style>
  <w:style w:type="table" w:customStyle="1" w:styleId="LightShading11113">
    <w:name w:val="Light Shading11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3">
    <w:name w:val="Light Grid111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3">
    <w:name w:val="Medium Shading 1 - Accent 111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3">
    <w:name w:val="Medium Grid 1 - Accent 111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3">
    <w:name w:val="Light Shading - Accent 111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3">
    <w:name w:val="RSP_Style11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3">
    <w:name w:val="2012 2 table format11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3">
    <w:name w:val="Medium Grid 1 - Accent 611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3">
    <w:name w:val="Light List - Accent 611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3">
    <w:name w:val="Light Grid - Accent 111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3">
    <w:name w:val="2012 Style11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3">
    <w:name w:val="Light Shading - Accent 1211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3">
    <w:name w:val="Medium Shading 1 - Accent 41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3">
    <w:name w:val="No List413"/>
    <w:next w:val="NoList"/>
    <w:uiPriority w:val="99"/>
    <w:semiHidden/>
    <w:unhideWhenUsed/>
    <w:rsid w:val="00496814"/>
  </w:style>
  <w:style w:type="table" w:customStyle="1" w:styleId="TableGrid323">
    <w:name w:val="Table Grid3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3">
    <w:name w:val="Light Shading13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3">
    <w:name w:val="Light Grid13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3">
    <w:name w:val="Medium Shading 1 - Accent 113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3">
    <w:name w:val="Medium Grid 1 - Accent 13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3">
    <w:name w:val="Light Shading - Accent 113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3">
    <w:name w:val="RSP_Style3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3">
    <w:name w:val="2012 2 table format3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3">
    <w:name w:val="Medium Grid 1 - Accent 63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3">
    <w:name w:val="Light List - Accent 63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3">
    <w:name w:val="Light Grid - Accent 113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3">
    <w:name w:val="2012 Style3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3">
    <w:name w:val="Light Shading - Accent 123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3">
    <w:name w:val="No List1313"/>
    <w:next w:val="NoList"/>
    <w:uiPriority w:val="99"/>
    <w:semiHidden/>
    <w:unhideWhenUsed/>
    <w:rsid w:val="00496814"/>
  </w:style>
  <w:style w:type="numbering" w:customStyle="1" w:styleId="CurrentList11313">
    <w:name w:val="Current List11313"/>
    <w:rsid w:val="00496814"/>
  </w:style>
  <w:style w:type="table" w:customStyle="1" w:styleId="TableGrid1213">
    <w:name w:val="Table Grid12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3">
    <w:name w:val="Bulleted List1313"/>
    <w:rsid w:val="00496814"/>
  </w:style>
  <w:style w:type="table" w:customStyle="1" w:styleId="LightShading11213">
    <w:name w:val="Light Shading112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3">
    <w:name w:val="Light Grid112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3">
    <w:name w:val="Medium Shading 1 - Accent 1112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3">
    <w:name w:val="Medium Grid 1 - Accent 112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3">
    <w:name w:val="Light Shading - Accent 1112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3">
    <w:name w:val="RSP_Style12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3">
    <w:name w:val="2012 2 table format12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3">
    <w:name w:val="Medium Grid 1 - Accent 612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3">
    <w:name w:val="Light List - Accent 612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3">
    <w:name w:val="Light Grid - Accent 1112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3">
    <w:name w:val="2012 Style12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3">
    <w:name w:val="Light Shading - Accent 121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3">
    <w:name w:val="Medium Shading 1 - Accent 42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3">
    <w:name w:val="Current List1313"/>
    <w:rsid w:val="00496814"/>
  </w:style>
  <w:style w:type="table" w:customStyle="1" w:styleId="TableGrid3113">
    <w:name w:val="Table Grid3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496814"/>
  </w:style>
  <w:style w:type="numbering" w:customStyle="1" w:styleId="CurrentList1413">
    <w:name w:val="Current List1413"/>
    <w:rsid w:val="00496814"/>
  </w:style>
  <w:style w:type="table" w:customStyle="1" w:styleId="TableGrid413">
    <w:name w:val="Table Grid4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3">
    <w:name w:val="Bulleted List313"/>
    <w:rsid w:val="00496814"/>
  </w:style>
  <w:style w:type="table" w:customStyle="1" w:styleId="LightShading1413">
    <w:name w:val="Light Shading14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3">
    <w:name w:val="Light Grid14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3">
    <w:name w:val="Medium Shading 1 - Accent 114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3">
    <w:name w:val="Medium Grid 1 - Accent 14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3">
    <w:name w:val="Light Shading - Accent 114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3">
    <w:name w:val="RSP_Style4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3">
    <w:name w:val="2012 2 table format4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3">
    <w:name w:val="Medium Grid 1 - Accent 64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3">
    <w:name w:val="Light List - Accent 64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3">
    <w:name w:val="Light Grid - Accent 114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3">
    <w:name w:val="2012 Style4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3">
    <w:name w:val="Light Shading - Accent 124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3">
    <w:name w:val="No List1413"/>
    <w:next w:val="NoList"/>
    <w:uiPriority w:val="99"/>
    <w:semiHidden/>
    <w:unhideWhenUsed/>
    <w:rsid w:val="00496814"/>
  </w:style>
  <w:style w:type="numbering" w:customStyle="1" w:styleId="CurrentList11413">
    <w:name w:val="Current List11413"/>
    <w:rsid w:val="00496814"/>
  </w:style>
  <w:style w:type="table" w:customStyle="1" w:styleId="TableGrid1313">
    <w:name w:val="Table Grid13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3">
    <w:name w:val="Bulleted List1413"/>
    <w:rsid w:val="00496814"/>
  </w:style>
  <w:style w:type="table" w:customStyle="1" w:styleId="LightShading11313">
    <w:name w:val="Light Shading113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3">
    <w:name w:val="Light Grid113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3">
    <w:name w:val="Medium Shading 1 - Accent 1113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3">
    <w:name w:val="Medium Grid 1 - Accent 113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3">
    <w:name w:val="Light Shading - Accent 1113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3">
    <w:name w:val="RSP_Style13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3">
    <w:name w:val="2012 2 table format13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3">
    <w:name w:val="Medium Grid 1 - Accent 613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3">
    <w:name w:val="Light List - Accent 613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3">
    <w:name w:val="Light Grid - Accent 1113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3">
    <w:name w:val="2012 Style13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3">
    <w:name w:val="Light Shading - Accent 1213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3">
    <w:name w:val="Medium Shading 1 - Accent 431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3">
    <w:name w:val="Table Grid5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496814"/>
  </w:style>
  <w:style w:type="table" w:customStyle="1" w:styleId="TableGrid73">
    <w:name w:val="Table Grid7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3">
    <w:name w:val="Light Shading16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3">
    <w:name w:val="Light Grid16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3">
    <w:name w:val="Medium Shading 1 - Accent 116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3">
    <w:name w:val="Medium Grid 1 - Accent 16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3">
    <w:name w:val="Light Shading - Accent 116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3">
    <w:name w:val="RSP_Style6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3">
    <w:name w:val="2012 2 table format6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3">
    <w:name w:val="Medium Grid 1 - Accent 6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3">
    <w:name w:val="Light List - Accent 6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3">
    <w:name w:val="Light Grid - Accent 116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3">
    <w:name w:val="2012 Style6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3">
    <w:name w:val="Light Shading - Accent 126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3">
    <w:name w:val="No List163"/>
    <w:next w:val="NoList"/>
    <w:uiPriority w:val="99"/>
    <w:semiHidden/>
    <w:unhideWhenUsed/>
    <w:rsid w:val="00496814"/>
  </w:style>
  <w:style w:type="numbering" w:customStyle="1" w:styleId="CurrentList1163">
    <w:name w:val="Current List1163"/>
    <w:rsid w:val="00496814"/>
  </w:style>
  <w:style w:type="table" w:customStyle="1" w:styleId="TableGrid153">
    <w:name w:val="Table Grid1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3">
    <w:name w:val="Bulleted List163"/>
    <w:rsid w:val="00496814"/>
  </w:style>
  <w:style w:type="table" w:customStyle="1" w:styleId="LightShading1153">
    <w:name w:val="Light Shading1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3">
    <w:name w:val="Light Grid1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3">
    <w:name w:val="Medium Shading 1 - Accent 1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3">
    <w:name w:val="Medium Grid 1 - Accent 1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3">
    <w:name w:val="Light Shading - Accent 1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3">
    <w:name w:val="RSP_Style1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3">
    <w:name w:val="2012 2 table format1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3">
    <w:name w:val="Medium Grid 1 - Accent 61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3">
    <w:name w:val="Light List - Accent 61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3">
    <w:name w:val="Light Grid - Accent 1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3">
    <w:name w:val="2012 Style1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3">
    <w:name w:val="Light Shading - Accent 121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3">
    <w:name w:val="Medium Shading 1 - Accent 45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3">
    <w:name w:val="No List223"/>
    <w:next w:val="NoList"/>
    <w:uiPriority w:val="99"/>
    <w:semiHidden/>
    <w:unhideWhenUsed/>
    <w:rsid w:val="00496814"/>
  </w:style>
  <w:style w:type="numbering" w:customStyle="1" w:styleId="CurrentList1223">
    <w:name w:val="Current List1223"/>
    <w:rsid w:val="00496814"/>
  </w:style>
  <w:style w:type="numbering" w:customStyle="1" w:styleId="BulletedList223">
    <w:name w:val="Bulleted List223"/>
    <w:rsid w:val="00496814"/>
  </w:style>
  <w:style w:type="numbering" w:customStyle="1" w:styleId="NoList1123">
    <w:name w:val="No List1123"/>
    <w:next w:val="NoList"/>
    <w:uiPriority w:val="99"/>
    <w:semiHidden/>
    <w:unhideWhenUsed/>
    <w:rsid w:val="00496814"/>
  </w:style>
  <w:style w:type="numbering" w:customStyle="1" w:styleId="CurrentList11123">
    <w:name w:val="Current List11123"/>
    <w:rsid w:val="00496814"/>
  </w:style>
  <w:style w:type="numbering" w:customStyle="1" w:styleId="BulletedList1123">
    <w:name w:val="Bulleted List1123"/>
    <w:rsid w:val="00496814"/>
  </w:style>
  <w:style w:type="numbering" w:customStyle="1" w:styleId="NoList323">
    <w:name w:val="No List323"/>
    <w:next w:val="NoList"/>
    <w:uiPriority w:val="99"/>
    <w:semiHidden/>
    <w:unhideWhenUsed/>
    <w:rsid w:val="00496814"/>
  </w:style>
  <w:style w:type="table" w:customStyle="1" w:styleId="TableGrid224">
    <w:name w:val="Table Grid2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3">
    <w:name w:val="Light Shading12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3">
    <w:name w:val="Light Grid12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3">
    <w:name w:val="Medium Shading 1 - Accent 112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3">
    <w:name w:val="Medium Grid 1 - Accent 12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3">
    <w:name w:val="Light Shading - Accent 112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3">
    <w:name w:val="RSP_Style2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3">
    <w:name w:val="2012 2 table format2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3">
    <w:name w:val="Medium Grid 1 - Accent 62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3">
    <w:name w:val="Light List - Accent 62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3">
    <w:name w:val="Light Grid - Accent 112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3">
    <w:name w:val="2012 Style2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3">
    <w:name w:val="Light Shading - Accent 12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3">
    <w:name w:val="No List1223"/>
    <w:next w:val="NoList"/>
    <w:uiPriority w:val="99"/>
    <w:semiHidden/>
    <w:unhideWhenUsed/>
    <w:rsid w:val="00496814"/>
  </w:style>
  <w:style w:type="numbering" w:customStyle="1" w:styleId="CurrentList11223">
    <w:name w:val="Current List11223"/>
    <w:rsid w:val="00496814"/>
  </w:style>
  <w:style w:type="table" w:customStyle="1" w:styleId="TableGrid1123">
    <w:name w:val="Table Grid1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3">
    <w:name w:val="Bulleted List1223"/>
    <w:rsid w:val="00496814"/>
  </w:style>
  <w:style w:type="table" w:customStyle="1" w:styleId="LightShading11123">
    <w:name w:val="Light Shading11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3">
    <w:name w:val="Light Grid11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3">
    <w:name w:val="Medium Shading 1 - Accent 11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3">
    <w:name w:val="Medium Grid 1 - Accent 11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3">
    <w:name w:val="Light Shading - Accent 11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3">
    <w:name w:val="RSP_Style11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3">
    <w:name w:val="2012 2 table format11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3">
    <w:name w:val="Medium Grid 1 - Accent 611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3">
    <w:name w:val="Light List - Accent 611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3">
    <w:name w:val="Light Grid - Accent 11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3">
    <w:name w:val="2012 Style11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3">
    <w:name w:val="Light Shading - Accent 121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3">
    <w:name w:val="Medium Shading 1 - Accent 41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3">
    <w:name w:val="No List423"/>
    <w:next w:val="NoList"/>
    <w:uiPriority w:val="99"/>
    <w:semiHidden/>
    <w:unhideWhenUsed/>
    <w:rsid w:val="00496814"/>
  </w:style>
  <w:style w:type="table" w:customStyle="1" w:styleId="TableGrid333">
    <w:name w:val="Table Grid3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3">
    <w:name w:val="Light Shading13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3">
    <w:name w:val="Light Grid13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3">
    <w:name w:val="Medium Shading 1 - Accent 113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3">
    <w:name w:val="Medium Grid 1 - Accent 13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3">
    <w:name w:val="Light Shading - Accent 113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3">
    <w:name w:val="RSP_Style3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3">
    <w:name w:val="2012 2 table format3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3">
    <w:name w:val="Medium Grid 1 - Accent 63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3">
    <w:name w:val="Light List - Accent 63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3">
    <w:name w:val="Light Grid - Accent 113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3">
    <w:name w:val="2012 Style3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3">
    <w:name w:val="Light Shading - Accent 123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3">
    <w:name w:val="No List1323"/>
    <w:next w:val="NoList"/>
    <w:uiPriority w:val="99"/>
    <w:semiHidden/>
    <w:unhideWhenUsed/>
    <w:rsid w:val="00496814"/>
  </w:style>
  <w:style w:type="numbering" w:customStyle="1" w:styleId="CurrentList11323">
    <w:name w:val="Current List11323"/>
    <w:rsid w:val="00496814"/>
  </w:style>
  <w:style w:type="table" w:customStyle="1" w:styleId="TableGrid1223">
    <w:name w:val="Table Grid12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3">
    <w:name w:val="Bulleted List1323"/>
    <w:rsid w:val="00496814"/>
  </w:style>
  <w:style w:type="table" w:customStyle="1" w:styleId="LightShading11223">
    <w:name w:val="Light Shading112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3">
    <w:name w:val="Light Grid112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3">
    <w:name w:val="Medium Shading 1 - Accent 1112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3">
    <w:name w:val="Medium Grid 1 - Accent 112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3">
    <w:name w:val="Light Shading - Accent 1112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3">
    <w:name w:val="RSP_Style12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3">
    <w:name w:val="2012 2 table format12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3">
    <w:name w:val="Medium Grid 1 - Accent 612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3">
    <w:name w:val="Light List - Accent 612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3">
    <w:name w:val="Light Grid - Accent 1112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3">
    <w:name w:val="2012 Style12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3">
    <w:name w:val="Light Shading - Accent 121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3">
    <w:name w:val="Medium Shading 1 - Accent 42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3">
    <w:name w:val="Current List1323"/>
    <w:rsid w:val="00496814"/>
  </w:style>
  <w:style w:type="table" w:customStyle="1" w:styleId="TableGrid3123">
    <w:name w:val="Table Grid3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496814"/>
  </w:style>
  <w:style w:type="numbering" w:customStyle="1" w:styleId="CurrentList1423">
    <w:name w:val="Current List1423"/>
    <w:rsid w:val="00496814"/>
  </w:style>
  <w:style w:type="table" w:customStyle="1" w:styleId="TableGrid423">
    <w:name w:val="Table Grid42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3">
    <w:name w:val="Bulleted List323"/>
    <w:rsid w:val="00496814"/>
  </w:style>
  <w:style w:type="table" w:customStyle="1" w:styleId="LightShading1423">
    <w:name w:val="Light Shading14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3">
    <w:name w:val="Light Grid142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3">
    <w:name w:val="Medium Shading 1 - Accent 1142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3">
    <w:name w:val="Medium Grid 1 - Accent 142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3">
    <w:name w:val="Light Shading - Accent 1142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3">
    <w:name w:val="RSP_Style42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3">
    <w:name w:val="2012 2 table format4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3">
    <w:name w:val="Medium Grid 1 - Accent 642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3">
    <w:name w:val="Light List - Accent 642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3">
    <w:name w:val="Light Grid - Accent 1142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3">
    <w:name w:val="2012 Style42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3">
    <w:name w:val="Light Shading - Accent 124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3">
    <w:name w:val="No List1423"/>
    <w:next w:val="NoList"/>
    <w:uiPriority w:val="99"/>
    <w:semiHidden/>
    <w:unhideWhenUsed/>
    <w:rsid w:val="00496814"/>
  </w:style>
  <w:style w:type="numbering" w:customStyle="1" w:styleId="CurrentList11423">
    <w:name w:val="Current List11423"/>
    <w:rsid w:val="00496814"/>
  </w:style>
  <w:style w:type="table" w:customStyle="1" w:styleId="TableGrid1323">
    <w:name w:val="Table Grid132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3">
    <w:name w:val="Bulleted List1423"/>
    <w:rsid w:val="00496814"/>
  </w:style>
  <w:style w:type="table" w:customStyle="1" w:styleId="LightShading11323">
    <w:name w:val="Light Shading113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3">
    <w:name w:val="Light Grid1132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3">
    <w:name w:val="Medium Shading 1 - Accent 11132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3">
    <w:name w:val="Medium Grid 1 - Accent 1132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3">
    <w:name w:val="Light Shading - Accent 11132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3">
    <w:name w:val="RSP_Style132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3">
    <w:name w:val="2012 2 table format13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3">
    <w:name w:val="Medium Grid 1 - Accent 6132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3">
    <w:name w:val="Light List - Accent 6132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3">
    <w:name w:val="Light Grid - Accent 11132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3">
    <w:name w:val="2012 Style132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3">
    <w:name w:val="Light Shading - Accent 1213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3">
    <w:name w:val="Medium Shading 1 - Accent 432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3">
    <w:name w:val="Table Grid5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496814"/>
  </w:style>
  <w:style w:type="numbering" w:customStyle="1" w:styleId="CurrentList163">
    <w:name w:val="Current List163"/>
    <w:rsid w:val="00496814"/>
  </w:style>
  <w:style w:type="table" w:customStyle="1" w:styleId="TableGrid83">
    <w:name w:val="Table Grid8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3">
    <w:name w:val="Light Shading17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3">
    <w:name w:val="Light Grid17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3">
    <w:name w:val="Medium Shading 1 - Accent 117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3">
    <w:name w:val="Medium Grid 1 - Accent 17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3">
    <w:name w:val="Light Shading - Accent 117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3">
    <w:name w:val="RSP_Style7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3">
    <w:name w:val="2012 2 table format7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3">
    <w:name w:val="Medium Grid 1 - Accent 67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3">
    <w:name w:val="Light List - Accent 67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3">
    <w:name w:val="Light Grid - Accent 117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3">
    <w:name w:val="2012 Style7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3">
    <w:name w:val="Light Shading - Accent 127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3">
    <w:name w:val="No List173"/>
    <w:next w:val="NoList"/>
    <w:uiPriority w:val="99"/>
    <w:semiHidden/>
    <w:unhideWhenUsed/>
    <w:rsid w:val="00496814"/>
  </w:style>
  <w:style w:type="numbering" w:customStyle="1" w:styleId="CurrentList1173">
    <w:name w:val="Current List1173"/>
    <w:rsid w:val="00496814"/>
  </w:style>
  <w:style w:type="table" w:customStyle="1" w:styleId="TableGrid163">
    <w:name w:val="Table Grid1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3">
    <w:name w:val="Bulleted List173"/>
    <w:rsid w:val="00496814"/>
  </w:style>
  <w:style w:type="table" w:customStyle="1" w:styleId="LightShading1163">
    <w:name w:val="Light Shading116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3">
    <w:name w:val="Light Grid116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3">
    <w:name w:val="Medium Shading 1 - Accent 1116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3">
    <w:name w:val="Medium Grid 1 - Accent 116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3">
    <w:name w:val="Light Shading - Accent 1116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3">
    <w:name w:val="RSP_Style16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3">
    <w:name w:val="2012 2 table format16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3">
    <w:name w:val="Medium Grid 1 - Accent 61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3">
    <w:name w:val="Light List - Accent 61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3">
    <w:name w:val="Light Grid - Accent 1116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3">
    <w:name w:val="2012 Style16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3">
    <w:name w:val="Light Shading - Accent 1216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3">
    <w:name w:val="Medium Shading 1 - Accent 46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3">
    <w:name w:val="No List233"/>
    <w:next w:val="NoList"/>
    <w:uiPriority w:val="99"/>
    <w:semiHidden/>
    <w:unhideWhenUsed/>
    <w:rsid w:val="00496814"/>
  </w:style>
  <w:style w:type="numbering" w:customStyle="1" w:styleId="CurrentList1233">
    <w:name w:val="Current List1233"/>
    <w:rsid w:val="00496814"/>
  </w:style>
  <w:style w:type="numbering" w:customStyle="1" w:styleId="BulletedList233">
    <w:name w:val="Bulleted List233"/>
    <w:rsid w:val="00496814"/>
  </w:style>
  <w:style w:type="numbering" w:customStyle="1" w:styleId="NoList1133">
    <w:name w:val="No List1133"/>
    <w:next w:val="NoList"/>
    <w:uiPriority w:val="99"/>
    <w:semiHidden/>
    <w:unhideWhenUsed/>
    <w:rsid w:val="00496814"/>
  </w:style>
  <w:style w:type="numbering" w:customStyle="1" w:styleId="CurrentList11133">
    <w:name w:val="Current List11133"/>
    <w:rsid w:val="00496814"/>
  </w:style>
  <w:style w:type="numbering" w:customStyle="1" w:styleId="BulletedList1133">
    <w:name w:val="Bulleted List1133"/>
    <w:rsid w:val="00496814"/>
  </w:style>
  <w:style w:type="numbering" w:customStyle="1" w:styleId="NoList333">
    <w:name w:val="No List333"/>
    <w:next w:val="NoList"/>
    <w:uiPriority w:val="99"/>
    <w:semiHidden/>
    <w:unhideWhenUsed/>
    <w:rsid w:val="00496814"/>
  </w:style>
  <w:style w:type="table" w:customStyle="1" w:styleId="TableGrid233">
    <w:name w:val="Table Grid2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3">
    <w:name w:val="Light Shading12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3">
    <w:name w:val="Light Grid12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3">
    <w:name w:val="Medium Shading 1 - Accent 112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3">
    <w:name w:val="Medium Grid 1 - Accent 12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3">
    <w:name w:val="Light Shading - Accent 112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3">
    <w:name w:val="RSP_Style2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3">
    <w:name w:val="2012 2 table format2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3">
    <w:name w:val="Medium Grid 1 - Accent 62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3">
    <w:name w:val="Light List - Accent 62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3">
    <w:name w:val="Light Grid - Accent 112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3">
    <w:name w:val="2012 Style2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3">
    <w:name w:val="Light Shading - Accent 12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3">
    <w:name w:val="No List1233"/>
    <w:next w:val="NoList"/>
    <w:uiPriority w:val="99"/>
    <w:semiHidden/>
    <w:unhideWhenUsed/>
    <w:rsid w:val="00496814"/>
  </w:style>
  <w:style w:type="numbering" w:customStyle="1" w:styleId="CurrentList11233">
    <w:name w:val="Current List11233"/>
    <w:rsid w:val="00496814"/>
  </w:style>
  <w:style w:type="table" w:customStyle="1" w:styleId="TableGrid1133">
    <w:name w:val="Table Grid11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3">
    <w:name w:val="Bulleted List1233"/>
    <w:rsid w:val="00496814"/>
  </w:style>
  <w:style w:type="table" w:customStyle="1" w:styleId="LightShading11133">
    <w:name w:val="Light Shading11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3">
    <w:name w:val="Light Grid111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3">
    <w:name w:val="Medium Shading 1 - Accent 1111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3">
    <w:name w:val="Medium Grid 1 - Accent 111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3">
    <w:name w:val="Light Shading - Accent 1111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3">
    <w:name w:val="RSP_Style11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3">
    <w:name w:val="2012 2 table format11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3">
    <w:name w:val="Medium Grid 1 - Accent 611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3">
    <w:name w:val="Light List - Accent 611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3">
    <w:name w:val="Light Grid - Accent 1111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3">
    <w:name w:val="2012 Style11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3">
    <w:name w:val="Light Shading - Accent 1211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3">
    <w:name w:val="Medium Shading 1 - Accent 413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3">
    <w:name w:val="No List433"/>
    <w:next w:val="NoList"/>
    <w:uiPriority w:val="99"/>
    <w:semiHidden/>
    <w:unhideWhenUsed/>
    <w:rsid w:val="00496814"/>
  </w:style>
  <w:style w:type="table" w:customStyle="1" w:styleId="TableGrid343">
    <w:name w:val="Table Grid3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3">
    <w:name w:val="Light Shading13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3">
    <w:name w:val="Light Grid13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3">
    <w:name w:val="Medium Shading 1 - Accent 113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3">
    <w:name w:val="Medium Grid 1 - Accent 13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3">
    <w:name w:val="Light Shading - Accent 113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3">
    <w:name w:val="RSP_Style3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3">
    <w:name w:val="2012 2 table format3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3">
    <w:name w:val="Medium Grid 1 - Accent 63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3">
    <w:name w:val="Light List - Accent 63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3">
    <w:name w:val="Light Grid - Accent 113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3">
    <w:name w:val="2012 Style3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3">
    <w:name w:val="Light Shading - Accent 123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3">
    <w:name w:val="No List1333"/>
    <w:next w:val="NoList"/>
    <w:uiPriority w:val="99"/>
    <w:semiHidden/>
    <w:unhideWhenUsed/>
    <w:rsid w:val="00496814"/>
  </w:style>
  <w:style w:type="numbering" w:customStyle="1" w:styleId="CurrentList11333">
    <w:name w:val="Current List11333"/>
    <w:rsid w:val="00496814"/>
  </w:style>
  <w:style w:type="table" w:customStyle="1" w:styleId="TableGrid1233">
    <w:name w:val="Table Grid12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3">
    <w:name w:val="Bulleted List1333"/>
    <w:rsid w:val="00496814"/>
  </w:style>
  <w:style w:type="table" w:customStyle="1" w:styleId="LightShading11233">
    <w:name w:val="Light Shading112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3">
    <w:name w:val="Light Grid112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3">
    <w:name w:val="Medium Shading 1 - Accent 1112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3">
    <w:name w:val="Medium Grid 1 - Accent 112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3">
    <w:name w:val="Light Shading - Accent 1112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3">
    <w:name w:val="RSP_Style12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3">
    <w:name w:val="2012 2 table format12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3">
    <w:name w:val="Medium Grid 1 - Accent 612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3">
    <w:name w:val="Light List - Accent 612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3">
    <w:name w:val="Light Grid - Accent 1112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3">
    <w:name w:val="2012 Style12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3">
    <w:name w:val="Light Shading - Accent 121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3">
    <w:name w:val="Medium Shading 1 - Accent 423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3">
    <w:name w:val="Current List1333"/>
    <w:rsid w:val="00496814"/>
  </w:style>
  <w:style w:type="table" w:customStyle="1" w:styleId="TableGrid3133">
    <w:name w:val="Table Grid31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3">
    <w:name w:val="ISO Report Style23"/>
    <w:uiPriority w:val="99"/>
    <w:rsid w:val="00496814"/>
  </w:style>
  <w:style w:type="numbering" w:customStyle="1" w:styleId="NoList533">
    <w:name w:val="No List533"/>
    <w:next w:val="NoList"/>
    <w:uiPriority w:val="99"/>
    <w:semiHidden/>
    <w:unhideWhenUsed/>
    <w:rsid w:val="00496814"/>
  </w:style>
  <w:style w:type="numbering" w:customStyle="1" w:styleId="CurrentList1433">
    <w:name w:val="Current List1433"/>
    <w:rsid w:val="00496814"/>
  </w:style>
  <w:style w:type="table" w:customStyle="1" w:styleId="TableGrid433">
    <w:name w:val="Table Grid4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3">
    <w:name w:val="Bulleted List333"/>
    <w:rsid w:val="00496814"/>
  </w:style>
  <w:style w:type="table" w:customStyle="1" w:styleId="LightShading1433">
    <w:name w:val="Light Shading14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3">
    <w:name w:val="Light Grid14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3">
    <w:name w:val="Medium Shading 1 - Accent 114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3">
    <w:name w:val="Medium Grid 1 - Accent 14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3">
    <w:name w:val="Light Shading - Accent 114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3">
    <w:name w:val="RSP_Style4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3">
    <w:name w:val="2012 2 table format4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3">
    <w:name w:val="Medium Grid 1 - Accent 64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3">
    <w:name w:val="Light List - Accent 64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3">
    <w:name w:val="Light Grid - Accent 114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3">
    <w:name w:val="2012 Style4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3">
    <w:name w:val="Light Shading - Accent 124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3">
    <w:name w:val="No List1433"/>
    <w:next w:val="NoList"/>
    <w:uiPriority w:val="99"/>
    <w:semiHidden/>
    <w:unhideWhenUsed/>
    <w:rsid w:val="00496814"/>
  </w:style>
  <w:style w:type="numbering" w:customStyle="1" w:styleId="CurrentList11433">
    <w:name w:val="Current List11433"/>
    <w:rsid w:val="00496814"/>
  </w:style>
  <w:style w:type="table" w:customStyle="1" w:styleId="TableGrid1333">
    <w:name w:val="Table Grid13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3">
    <w:name w:val="Bulleted List1433"/>
    <w:rsid w:val="00496814"/>
  </w:style>
  <w:style w:type="table" w:customStyle="1" w:styleId="LightShading11333">
    <w:name w:val="Light Shading113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3">
    <w:name w:val="Light Grid113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3">
    <w:name w:val="Medium Shading 1 - Accent 1113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3">
    <w:name w:val="Medium Grid 1 - Accent 113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3">
    <w:name w:val="Light Shading - Accent 1113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3">
    <w:name w:val="RSP_Style13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3">
    <w:name w:val="2012 2 table format13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3">
    <w:name w:val="Medium Grid 1 - Accent 613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3">
    <w:name w:val="Light List - Accent 613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3">
    <w:name w:val="Light Grid - Accent 1113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3">
    <w:name w:val="2012 Style13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3">
    <w:name w:val="Light Shading - Accent 1213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3">
    <w:name w:val="Medium Shading 1 - Accent 433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3">
    <w:name w:val="Table Grid5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496814"/>
  </w:style>
  <w:style w:type="numbering" w:customStyle="1" w:styleId="CurrentList173">
    <w:name w:val="Current List173"/>
    <w:rsid w:val="00496814"/>
  </w:style>
  <w:style w:type="table" w:customStyle="1" w:styleId="TableGrid93">
    <w:name w:val="Table Grid9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3">
    <w:name w:val="Light Shading18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3">
    <w:name w:val="Light Grid18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3">
    <w:name w:val="Medium Shading 1 - Accent 118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3">
    <w:name w:val="Medium Grid 1 - Accent 18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3">
    <w:name w:val="Light Shading - Accent 118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3">
    <w:name w:val="RSP_Style8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3">
    <w:name w:val="2012 2 table format8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3">
    <w:name w:val="Medium Grid 1 - Accent 68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3">
    <w:name w:val="Light List - Accent 68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3">
    <w:name w:val="Light Grid - Accent 118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3">
    <w:name w:val="2012 Style8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3">
    <w:name w:val="Light Shading - Accent 128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3">
    <w:name w:val="No List183"/>
    <w:next w:val="NoList"/>
    <w:uiPriority w:val="99"/>
    <w:semiHidden/>
    <w:unhideWhenUsed/>
    <w:rsid w:val="00496814"/>
  </w:style>
  <w:style w:type="numbering" w:customStyle="1" w:styleId="CurrentList1183">
    <w:name w:val="Current List1183"/>
    <w:rsid w:val="00496814"/>
  </w:style>
  <w:style w:type="table" w:customStyle="1" w:styleId="TableGrid173">
    <w:name w:val="Table Grid17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3">
    <w:name w:val="Bulleted List183"/>
    <w:rsid w:val="00496814"/>
  </w:style>
  <w:style w:type="table" w:customStyle="1" w:styleId="LightShading1173">
    <w:name w:val="Light Shading117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3">
    <w:name w:val="Light Grid117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3">
    <w:name w:val="Medium Shading 1 - Accent 1117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3">
    <w:name w:val="Medium Grid 1 - Accent 117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3">
    <w:name w:val="Light Shading - Accent 1117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3">
    <w:name w:val="RSP_Style17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3">
    <w:name w:val="2012 2 table format17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3">
    <w:name w:val="Medium Grid 1 - Accent 617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3">
    <w:name w:val="Light List - Accent 617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3">
    <w:name w:val="Light Grid - Accent 1117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3">
    <w:name w:val="2012 Style17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3">
    <w:name w:val="Light Shading - Accent 1217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3">
    <w:name w:val="Medium Shading 1 - Accent 47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3">
    <w:name w:val="No List243"/>
    <w:next w:val="NoList"/>
    <w:uiPriority w:val="99"/>
    <w:semiHidden/>
    <w:unhideWhenUsed/>
    <w:rsid w:val="00496814"/>
  </w:style>
  <w:style w:type="numbering" w:customStyle="1" w:styleId="CurrentList1243">
    <w:name w:val="Current List1243"/>
    <w:rsid w:val="00496814"/>
  </w:style>
  <w:style w:type="numbering" w:customStyle="1" w:styleId="BulletedList243">
    <w:name w:val="Bulleted List243"/>
    <w:rsid w:val="00496814"/>
  </w:style>
  <w:style w:type="numbering" w:customStyle="1" w:styleId="NoList1143">
    <w:name w:val="No List1143"/>
    <w:next w:val="NoList"/>
    <w:uiPriority w:val="99"/>
    <w:semiHidden/>
    <w:unhideWhenUsed/>
    <w:rsid w:val="00496814"/>
  </w:style>
  <w:style w:type="numbering" w:customStyle="1" w:styleId="CurrentList11143">
    <w:name w:val="Current List11143"/>
    <w:rsid w:val="00496814"/>
  </w:style>
  <w:style w:type="numbering" w:customStyle="1" w:styleId="BulletedList1143">
    <w:name w:val="Bulleted List1143"/>
    <w:rsid w:val="00496814"/>
  </w:style>
  <w:style w:type="numbering" w:customStyle="1" w:styleId="NoList343">
    <w:name w:val="No List343"/>
    <w:next w:val="NoList"/>
    <w:uiPriority w:val="99"/>
    <w:semiHidden/>
    <w:unhideWhenUsed/>
    <w:rsid w:val="00496814"/>
  </w:style>
  <w:style w:type="table" w:customStyle="1" w:styleId="TableGrid243">
    <w:name w:val="Table Grid2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3">
    <w:name w:val="Light Shading12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3">
    <w:name w:val="Light Grid12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3">
    <w:name w:val="Medium Shading 1 - Accent 112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3">
    <w:name w:val="Medium Grid 1 - Accent 12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3">
    <w:name w:val="Light Shading - Accent 112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3">
    <w:name w:val="RSP_Style2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3">
    <w:name w:val="2012 2 table format2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3">
    <w:name w:val="Medium Grid 1 - Accent 62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3">
    <w:name w:val="Light List - Accent 62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3">
    <w:name w:val="Light Grid - Accent 112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3">
    <w:name w:val="2012 Style2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3">
    <w:name w:val="Light Shading - Accent 12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3">
    <w:name w:val="No List1243"/>
    <w:next w:val="NoList"/>
    <w:uiPriority w:val="99"/>
    <w:semiHidden/>
    <w:unhideWhenUsed/>
    <w:rsid w:val="00496814"/>
  </w:style>
  <w:style w:type="numbering" w:customStyle="1" w:styleId="CurrentList11243">
    <w:name w:val="Current List11243"/>
    <w:rsid w:val="00496814"/>
  </w:style>
  <w:style w:type="table" w:customStyle="1" w:styleId="TableGrid1143">
    <w:name w:val="Table Grid1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3">
    <w:name w:val="Bulleted List1243"/>
    <w:rsid w:val="00496814"/>
  </w:style>
  <w:style w:type="table" w:customStyle="1" w:styleId="LightShading11143">
    <w:name w:val="Light Shading11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3">
    <w:name w:val="Light Grid111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3">
    <w:name w:val="Medium Shading 1 - Accent 1111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3">
    <w:name w:val="Medium Grid 1 - Accent 111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3">
    <w:name w:val="Light Shading - Accent 1111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3">
    <w:name w:val="RSP_Style11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3">
    <w:name w:val="2012 2 table format11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3">
    <w:name w:val="Medium Grid 1 - Accent 611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3">
    <w:name w:val="Light List - Accent 611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3">
    <w:name w:val="Light Grid - Accent 1111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3">
    <w:name w:val="2012 Style11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3">
    <w:name w:val="Light Shading - Accent 1211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3">
    <w:name w:val="Medium Shading 1 - Accent 41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3">
    <w:name w:val="No List443"/>
    <w:next w:val="NoList"/>
    <w:uiPriority w:val="99"/>
    <w:semiHidden/>
    <w:unhideWhenUsed/>
    <w:rsid w:val="00496814"/>
  </w:style>
  <w:style w:type="table" w:customStyle="1" w:styleId="TableGrid353">
    <w:name w:val="Table Grid3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3">
    <w:name w:val="Light Shading13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3">
    <w:name w:val="Light Grid13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3">
    <w:name w:val="Medium Shading 1 - Accent 113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3">
    <w:name w:val="Medium Grid 1 - Accent 13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3">
    <w:name w:val="Light Shading - Accent 113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3">
    <w:name w:val="RSP_Style3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3">
    <w:name w:val="2012 2 table format3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3">
    <w:name w:val="Medium Grid 1 - Accent 63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3">
    <w:name w:val="Light List - Accent 63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3">
    <w:name w:val="Light Grid - Accent 113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3">
    <w:name w:val="2012 Style3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3">
    <w:name w:val="Light Shading - Accent 123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3">
    <w:name w:val="No List1343"/>
    <w:next w:val="NoList"/>
    <w:uiPriority w:val="99"/>
    <w:semiHidden/>
    <w:unhideWhenUsed/>
    <w:rsid w:val="00496814"/>
  </w:style>
  <w:style w:type="numbering" w:customStyle="1" w:styleId="CurrentList11343">
    <w:name w:val="Current List11343"/>
    <w:rsid w:val="00496814"/>
  </w:style>
  <w:style w:type="table" w:customStyle="1" w:styleId="TableGrid1243">
    <w:name w:val="Table Grid12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3">
    <w:name w:val="Bulleted List1343"/>
    <w:rsid w:val="00496814"/>
  </w:style>
  <w:style w:type="table" w:customStyle="1" w:styleId="LightShading11243">
    <w:name w:val="Light Shading112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3">
    <w:name w:val="Light Grid112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3">
    <w:name w:val="Medium Shading 1 - Accent 1112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3">
    <w:name w:val="Medium Grid 1 - Accent 112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3">
    <w:name w:val="Light Shading - Accent 1112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3">
    <w:name w:val="RSP_Style12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3">
    <w:name w:val="2012 2 table format12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3">
    <w:name w:val="Medium Grid 1 - Accent 612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3">
    <w:name w:val="Light List - Accent 612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3">
    <w:name w:val="Light Grid - Accent 1112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3">
    <w:name w:val="2012 Style12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3">
    <w:name w:val="Light Shading - Accent 121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3">
    <w:name w:val="Medium Shading 1 - Accent 42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3">
    <w:name w:val="Current List1343"/>
    <w:rsid w:val="00496814"/>
  </w:style>
  <w:style w:type="table" w:customStyle="1" w:styleId="TableGrid3143">
    <w:name w:val="Table Grid3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496814"/>
  </w:style>
  <w:style w:type="numbering" w:customStyle="1" w:styleId="CurrentList1443">
    <w:name w:val="Current List1443"/>
    <w:rsid w:val="00496814"/>
  </w:style>
  <w:style w:type="table" w:customStyle="1" w:styleId="TableGrid443">
    <w:name w:val="Table Grid4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3">
    <w:name w:val="Bulleted List343"/>
    <w:rsid w:val="00496814"/>
  </w:style>
  <w:style w:type="table" w:customStyle="1" w:styleId="LightShading1443">
    <w:name w:val="Light Shading14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3">
    <w:name w:val="Light Grid14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3">
    <w:name w:val="Medium Shading 1 - Accent 114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3">
    <w:name w:val="Medium Grid 1 - Accent 14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3">
    <w:name w:val="Light Shading - Accent 114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3">
    <w:name w:val="RSP_Style4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3">
    <w:name w:val="2012 2 table format4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3">
    <w:name w:val="Medium Grid 1 - Accent 64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3">
    <w:name w:val="Light List - Accent 64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3">
    <w:name w:val="Light Grid - Accent 114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3">
    <w:name w:val="2012 Style4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3">
    <w:name w:val="Light Shading - Accent 124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3">
    <w:name w:val="No List1443"/>
    <w:next w:val="NoList"/>
    <w:uiPriority w:val="99"/>
    <w:semiHidden/>
    <w:unhideWhenUsed/>
    <w:rsid w:val="00496814"/>
  </w:style>
  <w:style w:type="numbering" w:customStyle="1" w:styleId="CurrentList11443">
    <w:name w:val="Current List11443"/>
    <w:rsid w:val="00496814"/>
  </w:style>
  <w:style w:type="table" w:customStyle="1" w:styleId="TableGrid1343">
    <w:name w:val="Table Grid13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3">
    <w:name w:val="Bulleted List1443"/>
    <w:rsid w:val="00496814"/>
  </w:style>
  <w:style w:type="table" w:customStyle="1" w:styleId="LightShading11343">
    <w:name w:val="Light Shading113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3">
    <w:name w:val="Light Grid113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3">
    <w:name w:val="Medium Shading 1 - Accent 1113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3">
    <w:name w:val="Medium Grid 1 - Accent 113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3">
    <w:name w:val="Light Shading - Accent 1113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3">
    <w:name w:val="RSP_Style13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3">
    <w:name w:val="2012 2 table format13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3">
    <w:name w:val="Medium Grid 1 - Accent 613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3">
    <w:name w:val="Light List - Accent 613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3">
    <w:name w:val="Light Grid - Accent 1113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3">
    <w:name w:val="2012 Style13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3">
    <w:name w:val="Light Shading - Accent 1213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3">
    <w:name w:val="Medium Shading 1 - Accent 434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3">
    <w:name w:val="Table Grid5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496814"/>
  </w:style>
  <w:style w:type="numbering" w:customStyle="1" w:styleId="CurrentList183">
    <w:name w:val="Current List183"/>
    <w:rsid w:val="00496814"/>
  </w:style>
  <w:style w:type="table" w:customStyle="1" w:styleId="TableGrid103">
    <w:name w:val="Table Grid10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3">
    <w:name w:val="Light Shading19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3">
    <w:name w:val="Light Grid19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3">
    <w:name w:val="Medium Shading 1 - Accent 119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3">
    <w:name w:val="Medium Grid 1 - Accent 19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3">
    <w:name w:val="Light Shading - Accent 119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3">
    <w:name w:val="RSP_Style9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3">
    <w:name w:val="2012 2 table format9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3">
    <w:name w:val="Medium Grid 1 - Accent 69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3">
    <w:name w:val="Light List - Accent 69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3">
    <w:name w:val="Light Grid - Accent 119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3">
    <w:name w:val="2012 Style9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3">
    <w:name w:val="Light Shading - Accent 129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3">
    <w:name w:val="No List193"/>
    <w:next w:val="NoList"/>
    <w:uiPriority w:val="99"/>
    <w:semiHidden/>
    <w:unhideWhenUsed/>
    <w:rsid w:val="00496814"/>
  </w:style>
  <w:style w:type="numbering" w:customStyle="1" w:styleId="CurrentList1193">
    <w:name w:val="Current List1193"/>
    <w:rsid w:val="00496814"/>
  </w:style>
  <w:style w:type="table" w:customStyle="1" w:styleId="TableGrid183">
    <w:name w:val="Table Grid18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3">
    <w:name w:val="Bulleted List193"/>
    <w:rsid w:val="00496814"/>
  </w:style>
  <w:style w:type="table" w:customStyle="1" w:styleId="LightShading1183">
    <w:name w:val="Light Shading118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3">
    <w:name w:val="Light Grid118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3">
    <w:name w:val="Medium Shading 1 - Accent 1118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3">
    <w:name w:val="Medium Grid 1 - Accent 118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3">
    <w:name w:val="Light Shading - Accent 1118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3">
    <w:name w:val="RSP_Style18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3">
    <w:name w:val="2012 2 table format18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3">
    <w:name w:val="Medium Grid 1 - Accent 618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3">
    <w:name w:val="Light List - Accent 618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3">
    <w:name w:val="Light Grid - Accent 1118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3">
    <w:name w:val="2012 Style18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3">
    <w:name w:val="Light Shading - Accent 1218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3">
    <w:name w:val="Medium Shading 1 - Accent 48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3">
    <w:name w:val="No List253"/>
    <w:next w:val="NoList"/>
    <w:uiPriority w:val="99"/>
    <w:semiHidden/>
    <w:unhideWhenUsed/>
    <w:rsid w:val="00496814"/>
  </w:style>
  <w:style w:type="numbering" w:customStyle="1" w:styleId="CurrentList1253">
    <w:name w:val="Current List1253"/>
    <w:rsid w:val="00496814"/>
  </w:style>
  <w:style w:type="numbering" w:customStyle="1" w:styleId="BulletedList253">
    <w:name w:val="Bulleted List253"/>
    <w:rsid w:val="00496814"/>
  </w:style>
  <w:style w:type="numbering" w:customStyle="1" w:styleId="NoList1153">
    <w:name w:val="No List1153"/>
    <w:next w:val="NoList"/>
    <w:uiPriority w:val="99"/>
    <w:semiHidden/>
    <w:unhideWhenUsed/>
    <w:rsid w:val="00496814"/>
  </w:style>
  <w:style w:type="numbering" w:customStyle="1" w:styleId="CurrentList11153">
    <w:name w:val="Current List11153"/>
    <w:rsid w:val="00496814"/>
  </w:style>
  <w:style w:type="numbering" w:customStyle="1" w:styleId="BulletedList1153">
    <w:name w:val="Bulleted List1153"/>
    <w:rsid w:val="00496814"/>
  </w:style>
  <w:style w:type="numbering" w:customStyle="1" w:styleId="NoList353">
    <w:name w:val="No List353"/>
    <w:next w:val="NoList"/>
    <w:uiPriority w:val="99"/>
    <w:semiHidden/>
    <w:unhideWhenUsed/>
    <w:rsid w:val="00496814"/>
  </w:style>
  <w:style w:type="table" w:customStyle="1" w:styleId="TableGrid253">
    <w:name w:val="Table Grid2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3">
    <w:name w:val="Light Shading12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3">
    <w:name w:val="Light Grid12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3">
    <w:name w:val="Medium Shading 1 - Accent 112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3">
    <w:name w:val="Medium Grid 1 - Accent 12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3">
    <w:name w:val="Light Shading - Accent 112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3">
    <w:name w:val="RSP_Style2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3">
    <w:name w:val="2012 2 table format2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3">
    <w:name w:val="Medium Grid 1 - Accent 62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3">
    <w:name w:val="Light List - Accent 62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3">
    <w:name w:val="Light Grid - Accent 112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3">
    <w:name w:val="2012 Style2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3">
    <w:name w:val="Light Shading - Accent 122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3">
    <w:name w:val="No List1253"/>
    <w:next w:val="NoList"/>
    <w:uiPriority w:val="99"/>
    <w:semiHidden/>
    <w:unhideWhenUsed/>
    <w:rsid w:val="00496814"/>
  </w:style>
  <w:style w:type="numbering" w:customStyle="1" w:styleId="CurrentList11253">
    <w:name w:val="Current List11253"/>
    <w:rsid w:val="00496814"/>
  </w:style>
  <w:style w:type="table" w:customStyle="1" w:styleId="TableGrid1153">
    <w:name w:val="Table Grid11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3">
    <w:name w:val="Bulleted List1253"/>
    <w:rsid w:val="00496814"/>
  </w:style>
  <w:style w:type="table" w:customStyle="1" w:styleId="LightShading11153">
    <w:name w:val="Light Shading11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3">
    <w:name w:val="Light Grid11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3">
    <w:name w:val="Medium Shading 1 - Accent 11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3">
    <w:name w:val="Medium Grid 1 - Accent 11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3">
    <w:name w:val="Light Shading - Accent 11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3">
    <w:name w:val="RSP_Style11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3">
    <w:name w:val="2012 2 table format11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3">
    <w:name w:val="Medium Grid 1 - Accent 611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3">
    <w:name w:val="Light List - Accent 611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3">
    <w:name w:val="Light Grid - Accent 11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3">
    <w:name w:val="2012 Style11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3">
    <w:name w:val="Light Shading - Accent 1211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3">
    <w:name w:val="Medium Shading 1 - Accent 415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3">
    <w:name w:val="No List453"/>
    <w:next w:val="NoList"/>
    <w:uiPriority w:val="99"/>
    <w:semiHidden/>
    <w:unhideWhenUsed/>
    <w:rsid w:val="00496814"/>
  </w:style>
  <w:style w:type="table" w:customStyle="1" w:styleId="TableGrid363">
    <w:name w:val="Table Grid3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3">
    <w:name w:val="Light Shading13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3">
    <w:name w:val="Light Grid13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3">
    <w:name w:val="Medium Shading 1 - Accent 113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3">
    <w:name w:val="Medium Grid 1 - Accent 13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3">
    <w:name w:val="Light Shading - Accent 113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3">
    <w:name w:val="RSP_Style3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3">
    <w:name w:val="2012 2 table format3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3">
    <w:name w:val="Medium Grid 1 - Accent 63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3">
    <w:name w:val="Light List - Accent 63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3">
    <w:name w:val="Light Grid - Accent 113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3">
    <w:name w:val="2012 Style3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3">
    <w:name w:val="Light Shading - Accent 123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3">
    <w:name w:val="No List1353"/>
    <w:next w:val="NoList"/>
    <w:uiPriority w:val="99"/>
    <w:semiHidden/>
    <w:unhideWhenUsed/>
    <w:rsid w:val="00496814"/>
  </w:style>
  <w:style w:type="numbering" w:customStyle="1" w:styleId="CurrentList11353">
    <w:name w:val="Current List11353"/>
    <w:rsid w:val="00496814"/>
  </w:style>
  <w:style w:type="table" w:customStyle="1" w:styleId="TableGrid1253">
    <w:name w:val="Table Grid12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3">
    <w:name w:val="Bulleted List1353"/>
    <w:rsid w:val="00496814"/>
  </w:style>
  <w:style w:type="table" w:customStyle="1" w:styleId="LightShading11253">
    <w:name w:val="Light Shading112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3">
    <w:name w:val="Light Grid112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3">
    <w:name w:val="Medium Shading 1 - Accent 1112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3">
    <w:name w:val="Medium Grid 1 - Accent 112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3">
    <w:name w:val="Light Shading - Accent 1112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3">
    <w:name w:val="RSP_Style12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3">
    <w:name w:val="2012 2 table format12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5879">
      <w:bodyDiv w:val="1"/>
      <w:marLeft w:val="0"/>
      <w:marRight w:val="0"/>
      <w:marTop w:val="0"/>
      <w:marBottom w:val="0"/>
      <w:divBdr>
        <w:top w:val="none" w:sz="0" w:space="0" w:color="auto"/>
        <w:left w:val="none" w:sz="0" w:space="0" w:color="auto"/>
        <w:bottom w:val="none" w:sz="0" w:space="0" w:color="auto"/>
        <w:right w:val="none" w:sz="0" w:space="0" w:color="auto"/>
      </w:divBdr>
    </w:div>
    <w:div w:id="270433493">
      <w:bodyDiv w:val="1"/>
      <w:marLeft w:val="0"/>
      <w:marRight w:val="0"/>
      <w:marTop w:val="0"/>
      <w:marBottom w:val="0"/>
      <w:divBdr>
        <w:top w:val="none" w:sz="0" w:space="0" w:color="auto"/>
        <w:left w:val="none" w:sz="0" w:space="0" w:color="auto"/>
        <w:bottom w:val="none" w:sz="0" w:space="0" w:color="auto"/>
        <w:right w:val="none" w:sz="0" w:space="0" w:color="auto"/>
      </w:divBdr>
    </w:div>
    <w:div w:id="472134880">
      <w:bodyDiv w:val="1"/>
      <w:marLeft w:val="0"/>
      <w:marRight w:val="0"/>
      <w:marTop w:val="0"/>
      <w:marBottom w:val="0"/>
      <w:divBdr>
        <w:top w:val="none" w:sz="0" w:space="0" w:color="auto"/>
        <w:left w:val="none" w:sz="0" w:space="0" w:color="auto"/>
        <w:bottom w:val="none" w:sz="0" w:space="0" w:color="auto"/>
        <w:right w:val="none" w:sz="0" w:space="0" w:color="auto"/>
      </w:divBdr>
    </w:div>
    <w:div w:id="519589221">
      <w:bodyDiv w:val="1"/>
      <w:marLeft w:val="0"/>
      <w:marRight w:val="0"/>
      <w:marTop w:val="0"/>
      <w:marBottom w:val="0"/>
      <w:divBdr>
        <w:top w:val="none" w:sz="0" w:space="0" w:color="auto"/>
        <w:left w:val="none" w:sz="0" w:space="0" w:color="auto"/>
        <w:bottom w:val="none" w:sz="0" w:space="0" w:color="auto"/>
        <w:right w:val="none" w:sz="0" w:space="0" w:color="auto"/>
      </w:divBdr>
      <w:divsChild>
        <w:div w:id="1792745009">
          <w:marLeft w:val="547"/>
          <w:marRight w:val="0"/>
          <w:marTop w:val="240"/>
          <w:marBottom w:val="0"/>
          <w:divBdr>
            <w:top w:val="none" w:sz="0" w:space="0" w:color="auto"/>
            <w:left w:val="none" w:sz="0" w:space="0" w:color="auto"/>
            <w:bottom w:val="none" w:sz="0" w:space="0" w:color="auto"/>
            <w:right w:val="none" w:sz="0" w:space="0" w:color="auto"/>
          </w:divBdr>
        </w:div>
        <w:div w:id="1695574669">
          <w:marLeft w:val="1166"/>
          <w:marRight w:val="0"/>
          <w:marTop w:val="0"/>
          <w:marBottom w:val="0"/>
          <w:divBdr>
            <w:top w:val="none" w:sz="0" w:space="0" w:color="auto"/>
            <w:left w:val="none" w:sz="0" w:space="0" w:color="auto"/>
            <w:bottom w:val="none" w:sz="0" w:space="0" w:color="auto"/>
            <w:right w:val="none" w:sz="0" w:space="0" w:color="auto"/>
          </w:divBdr>
        </w:div>
        <w:div w:id="1927181818">
          <w:marLeft w:val="1166"/>
          <w:marRight w:val="0"/>
          <w:marTop w:val="0"/>
          <w:marBottom w:val="0"/>
          <w:divBdr>
            <w:top w:val="none" w:sz="0" w:space="0" w:color="auto"/>
            <w:left w:val="none" w:sz="0" w:space="0" w:color="auto"/>
            <w:bottom w:val="none" w:sz="0" w:space="0" w:color="auto"/>
            <w:right w:val="none" w:sz="0" w:space="0" w:color="auto"/>
          </w:divBdr>
        </w:div>
        <w:div w:id="479423354">
          <w:marLeft w:val="1166"/>
          <w:marRight w:val="0"/>
          <w:marTop w:val="0"/>
          <w:marBottom w:val="0"/>
          <w:divBdr>
            <w:top w:val="none" w:sz="0" w:space="0" w:color="auto"/>
            <w:left w:val="none" w:sz="0" w:space="0" w:color="auto"/>
            <w:bottom w:val="none" w:sz="0" w:space="0" w:color="auto"/>
            <w:right w:val="none" w:sz="0" w:space="0" w:color="auto"/>
          </w:divBdr>
        </w:div>
        <w:div w:id="884491760">
          <w:marLeft w:val="1166"/>
          <w:marRight w:val="0"/>
          <w:marTop w:val="0"/>
          <w:marBottom w:val="0"/>
          <w:divBdr>
            <w:top w:val="none" w:sz="0" w:space="0" w:color="auto"/>
            <w:left w:val="none" w:sz="0" w:space="0" w:color="auto"/>
            <w:bottom w:val="none" w:sz="0" w:space="0" w:color="auto"/>
            <w:right w:val="none" w:sz="0" w:space="0" w:color="auto"/>
          </w:divBdr>
        </w:div>
        <w:div w:id="259531739">
          <w:marLeft w:val="547"/>
          <w:marRight w:val="0"/>
          <w:marTop w:val="240"/>
          <w:marBottom w:val="0"/>
          <w:divBdr>
            <w:top w:val="none" w:sz="0" w:space="0" w:color="auto"/>
            <w:left w:val="none" w:sz="0" w:space="0" w:color="auto"/>
            <w:bottom w:val="none" w:sz="0" w:space="0" w:color="auto"/>
            <w:right w:val="none" w:sz="0" w:space="0" w:color="auto"/>
          </w:divBdr>
        </w:div>
        <w:div w:id="679084276">
          <w:marLeft w:val="547"/>
          <w:marRight w:val="0"/>
          <w:marTop w:val="240"/>
          <w:marBottom w:val="0"/>
          <w:divBdr>
            <w:top w:val="none" w:sz="0" w:space="0" w:color="auto"/>
            <w:left w:val="none" w:sz="0" w:space="0" w:color="auto"/>
            <w:bottom w:val="none" w:sz="0" w:space="0" w:color="auto"/>
            <w:right w:val="none" w:sz="0" w:space="0" w:color="auto"/>
          </w:divBdr>
        </w:div>
        <w:div w:id="2136753778">
          <w:marLeft w:val="547"/>
          <w:marRight w:val="0"/>
          <w:marTop w:val="240"/>
          <w:marBottom w:val="0"/>
          <w:divBdr>
            <w:top w:val="none" w:sz="0" w:space="0" w:color="auto"/>
            <w:left w:val="none" w:sz="0" w:space="0" w:color="auto"/>
            <w:bottom w:val="none" w:sz="0" w:space="0" w:color="auto"/>
            <w:right w:val="none" w:sz="0" w:space="0" w:color="auto"/>
          </w:divBdr>
        </w:div>
        <w:div w:id="1733236392">
          <w:marLeft w:val="1166"/>
          <w:marRight w:val="0"/>
          <w:marTop w:val="0"/>
          <w:marBottom w:val="0"/>
          <w:divBdr>
            <w:top w:val="none" w:sz="0" w:space="0" w:color="auto"/>
            <w:left w:val="none" w:sz="0" w:space="0" w:color="auto"/>
            <w:bottom w:val="none" w:sz="0" w:space="0" w:color="auto"/>
            <w:right w:val="none" w:sz="0" w:space="0" w:color="auto"/>
          </w:divBdr>
        </w:div>
        <w:div w:id="2014216059">
          <w:marLeft w:val="1166"/>
          <w:marRight w:val="0"/>
          <w:marTop w:val="0"/>
          <w:marBottom w:val="0"/>
          <w:divBdr>
            <w:top w:val="none" w:sz="0" w:space="0" w:color="auto"/>
            <w:left w:val="none" w:sz="0" w:space="0" w:color="auto"/>
            <w:bottom w:val="none" w:sz="0" w:space="0" w:color="auto"/>
            <w:right w:val="none" w:sz="0" w:space="0" w:color="auto"/>
          </w:divBdr>
        </w:div>
        <w:div w:id="2054692780">
          <w:marLeft w:val="1166"/>
          <w:marRight w:val="0"/>
          <w:marTop w:val="0"/>
          <w:marBottom w:val="0"/>
          <w:divBdr>
            <w:top w:val="none" w:sz="0" w:space="0" w:color="auto"/>
            <w:left w:val="none" w:sz="0" w:space="0" w:color="auto"/>
            <w:bottom w:val="none" w:sz="0" w:space="0" w:color="auto"/>
            <w:right w:val="none" w:sz="0" w:space="0" w:color="auto"/>
          </w:divBdr>
        </w:div>
      </w:divsChild>
    </w:div>
    <w:div w:id="525411977">
      <w:bodyDiv w:val="1"/>
      <w:marLeft w:val="0"/>
      <w:marRight w:val="0"/>
      <w:marTop w:val="0"/>
      <w:marBottom w:val="0"/>
      <w:divBdr>
        <w:top w:val="none" w:sz="0" w:space="0" w:color="auto"/>
        <w:left w:val="none" w:sz="0" w:space="0" w:color="auto"/>
        <w:bottom w:val="none" w:sz="0" w:space="0" w:color="auto"/>
        <w:right w:val="none" w:sz="0" w:space="0" w:color="auto"/>
      </w:divBdr>
      <w:divsChild>
        <w:div w:id="60299620">
          <w:marLeft w:val="547"/>
          <w:marRight w:val="0"/>
          <w:marTop w:val="240"/>
          <w:marBottom w:val="0"/>
          <w:divBdr>
            <w:top w:val="none" w:sz="0" w:space="0" w:color="auto"/>
            <w:left w:val="none" w:sz="0" w:space="0" w:color="auto"/>
            <w:bottom w:val="none" w:sz="0" w:space="0" w:color="auto"/>
            <w:right w:val="none" w:sz="0" w:space="0" w:color="auto"/>
          </w:divBdr>
        </w:div>
      </w:divsChild>
    </w:div>
    <w:div w:id="609824857">
      <w:bodyDiv w:val="1"/>
      <w:marLeft w:val="0"/>
      <w:marRight w:val="0"/>
      <w:marTop w:val="0"/>
      <w:marBottom w:val="0"/>
      <w:divBdr>
        <w:top w:val="none" w:sz="0" w:space="0" w:color="auto"/>
        <w:left w:val="none" w:sz="0" w:space="0" w:color="auto"/>
        <w:bottom w:val="none" w:sz="0" w:space="0" w:color="auto"/>
        <w:right w:val="none" w:sz="0" w:space="0" w:color="auto"/>
      </w:divBdr>
      <w:divsChild>
        <w:div w:id="1739865800">
          <w:marLeft w:val="547"/>
          <w:marRight w:val="0"/>
          <w:marTop w:val="20"/>
          <w:marBottom w:val="0"/>
          <w:divBdr>
            <w:top w:val="none" w:sz="0" w:space="0" w:color="auto"/>
            <w:left w:val="none" w:sz="0" w:space="0" w:color="auto"/>
            <w:bottom w:val="none" w:sz="0" w:space="0" w:color="auto"/>
            <w:right w:val="none" w:sz="0" w:space="0" w:color="auto"/>
          </w:divBdr>
        </w:div>
      </w:divsChild>
    </w:div>
    <w:div w:id="957612135">
      <w:bodyDiv w:val="1"/>
      <w:marLeft w:val="0"/>
      <w:marRight w:val="0"/>
      <w:marTop w:val="0"/>
      <w:marBottom w:val="0"/>
      <w:divBdr>
        <w:top w:val="none" w:sz="0" w:space="0" w:color="auto"/>
        <w:left w:val="none" w:sz="0" w:space="0" w:color="auto"/>
        <w:bottom w:val="none" w:sz="0" w:space="0" w:color="auto"/>
        <w:right w:val="none" w:sz="0" w:space="0" w:color="auto"/>
      </w:divBdr>
    </w:div>
    <w:div w:id="1009330749">
      <w:bodyDiv w:val="1"/>
      <w:marLeft w:val="0"/>
      <w:marRight w:val="0"/>
      <w:marTop w:val="0"/>
      <w:marBottom w:val="0"/>
      <w:divBdr>
        <w:top w:val="none" w:sz="0" w:space="0" w:color="auto"/>
        <w:left w:val="none" w:sz="0" w:space="0" w:color="auto"/>
        <w:bottom w:val="none" w:sz="0" w:space="0" w:color="auto"/>
        <w:right w:val="none" w:sz="0" w:space="0" w:color="auto"/>
      </w:divBdr>
    </w:div>
    <w:div w:id="1428311775">
      <w:bodyDiv w:val="1"/>
      <w:marLeft w:val="0"/>
      <w:marRight w:val="0"/>
      <w:marTop w:val="0"/>
      <w:marBottom w:val="0"/>
      <w:divBdr>
        <w:top w:val="none" w:sz="0" w:space="0" w:color="auto"/>
        <w:left w:val="none" w:sz="0" w:space="0" w:color="auto"/>
        <w:bottom w:val="none" w:sz="0" w:space="0" w:color="auto"/>
        <w:right w:val="none" w:sz="0" w:space="0" w:color="auto"/>
      </w:divBdr>
    </w:div>
    <w:div w:id="1438331423">
      <w:bodyDiv w:val="1"/>
      <w:marLeft w:val="0"/>
      <w:marRight w:val="0"/>
      <w:marTop w:val="0"/>
      <w:marBottom w:val="0"/>
      <w:divBdr>
        <w:top w:val="none" w:sz="0" w:space="0" w:color="auto"/>
        <w:left w:val="none" w:sz="0" w:space="0" w:color="auto"/>
        <w:bottom w:val="none" w:sz="0" w:space="0" w:color="auto"/>
        <w:right w:val="none" w:sz="0" w:space="0" w:color="auto"/>
      </w:divBdr>
    </w:div>
    <w:div w:id="1458643071">
      <w:bodyDiv w:val="1"/>
      <w:marLeft w:val="0"/>
      <w:marRight w:val="0"/>
      <w:marTop w:val="0"/>
      <w:marBottom w:val="0"/>
      <w:divBdr>
        <w:top w:val="none" w:sz="0" w:space="0" w:color="auto"/>
        <w:left w:val="none" w:sz="0" w:space="0" w:color="auto"/>
        <w:bottom w:val="none" w:sz="0" w:space="0" w:color="auto"/>
        <w:right w:val="none" w:sz="0" w:space="0" w:color="auto"/>
      </w:divBdr>
    </w:div>
    <w:div w:id="1497265239">
      <w:bodyDiv w:val="1"/>
      <w:marLeft w:val="0"/>
      <w:marRight w:val="0"/>
      <w:marTop w:val="0"/>
      <w:marBottom w:val="0"/>
      <w:divBdr>
        <w:top w:val="none" w:sz="0" w:space="0" w:color="auto"/>
        <w:left w:val="none" w:sz="0" w:space="0" w:color="auto"/>
        <w:bottom w:val="none" w:sz="0" w:space="0" w:color="auto"/>
        <w:right w:val="none" w:sz="0" w:space="0" w:color="auto"/>
      </w:divBdr>
      <w:divsChild>
        <w:div w:id="1730416118">
          <w:marLeft w:val="547"/>
          <w:marRight w:val="0"/>
          <w:marTop w:val="240"/>
          <w:marBottom w:val="0"/>
          <w:divBdr>
            <w:top w:val="none" w:sz="0" w:space="0" w:color="auto"/>
            <w:left w:val="none" w:sz="0" w:space="0" w:color="auto"/>
            <w:bottom w:val="none" w:sz="0" w:space="0" w:color="auto"/>
            <w:right w:val="none" w:sz="0" w:space="0" w:color="auto"/>
          </w:divBdr>
        </w:div>
        <w:div w:id="1519931010">
          <w:marLeft w:val="1166"/>
          <w:marRight w:val="0"/>
          <w:marTop w:val="0"/>
          <w:marBottom w:val="0"/>
          <w:divBdr>
            <w:top w:val="none" w:sz="0" w:space="0" w:color="auto"/>
            <w:left w:val="none" w:sz="0" w:space="0" w:color="auto"/>
            <w:bottom w:val="none" w:sz="0" w:space="0" w:color="auto"/>
            <w:right w:val="none" w:sz="0" w:space="0" w:color="auto"/>
          </w:divBdr>
        </w:div>
        <w:div w:id="547491426">
          <w:marLeft w:val="1800"/>
          <w:marRight w:val="0"/>
          <w:marTop w:val="0"/>
          <w:marBottom w:val="0"/>
          <w:divBdr>
            <w:top w:val="none" w:sz="0" w:space="0" w:color="auto"/>
            <w:left w:val="none" w:sz="0" w:space="0" w:color="auto"/>
            <w:bottom w:val="none" w:sz="0" w:space="0" w:color="auto"/>
            <w:right w:val="none" w:sz="0" w:space="0" w:color="auto"/>
          </w:divBdr>
        </w:div>
        <w:div w:id="1001275471">
          <w:marLeft w:val="1800"/>
          <w:marRight w:val="0"/>
          <w:marTop w:val="0"/>
          <w:marBottom w:val="0"/>
          <w:divBdr>
            <w:top w:val="none" w:sz="0" w:space="0" w:color="auto"/>
            <w:left w:val="none" w:sz="0" w:space="0" w:color="auto"/>
            <w:bottom w:val="none" w:sz="0" w:space="0" w:color="auto"/>
            <w:right w:val="none" w:sz="0" w:space="0" w:color="auto"/>
          </w:divBdr>
        </w:div>
        <w:div w:id="1396274184">
          <w:marLeft w:val="1166"/>
          <w:marRight w:val="0"/>
          <w:marTop w:val="0"/>
          <w:marBottom w:val="0"/>
          <w:divBdr>
            <w:top w:val="none" w:sz="0" w:space="0" w:color="auto"/>
            <w:left w:val="none" w:sz="0" w:space="0" w:color="auto"/>
            <w:bottom w:val="none" w:sz="0" w:space="0" w:color="auto"/>
            <w:right w:val="none" w:sz="0" w:space="0" w:color="auto"/>
          </w:divBdr>
        </w:div>
        <w:div w:id="1505051362">
          <w:marLeft w:val="1800"/>
          <w:marRight w:val="0"/>
          <w:marTop w:val="0"/>
          <w:marBottom w:val="0"/>
          <w:divBdr>
            <w:top w:val="none" w:sz="0" w:space="0" w:color="auto"/>
            <w:left w:val="none" w:sz="0" w:space="0" w:color="auto"/>
            <w:bottom w:val="none" w:sz="0" w:space="0" w:color="auto"/>
            <w:right w:val="none" w:sz="0" w:space="0" w:color="auto"/>
          </w:divBdr>
        </w:div>
        <w:div w:id="1861119102">
          <w:marLeft w:val="1800"/>
          <w:marRight w:val="0"/>
          <w:marTop w:val="0"/>
          <w:marBottom w:val="0"/>
          <w:divBdr>
            <w:top w:val="none" w:sz="0" w:space="0" w:color="auto"/>
            <w:left w:val="none" w:sz="0" w:space="0" w:color="auto"/>
            <w:bottom w:val="none" w:sz="0" w:space="0" w:color="auto"/>
            <w:right w:val="none" w:sz="0" w:space="0" w:color="auto"/>
          </w:divBdr>
        </w:div>
        <w:div w:id="2076854053">
          <w:marLeft w:val="1800"/>
          <w:marRight w:val="0"/>
          <w:marTop w:val="0"/>
          <w:marBottom w:val="0"/>
          <w:divBdr>
            <w:top w:val="none" w:sz="0" w:space="0" w:color="auto"/>
            <w:left w:val="none" w:sz="0" w:space="0" w:color="auto"/>
            <w:bottom w:val="none" w:sz="0" w:space="0" w:color="auto"/>
            <w:right w:val="none" w:sz="0" w:space="0" w:color="auto"/>
          </w:divBdr>
        </w:div>
        <w:div w:id="31075322">
          <w:marLeft w:val="1800"/>
          <w:marRight w:val="0"/>
          <w:marTop w:val="0"/>
          <w:marBottom w:val="0"/>
          <w:divBdr>
            <w:top w:val="none" w:sz="0" w:space="0" w:color="auto"/>
            <w:left w:val="none" w:sz="0" w:space="0" w:color="auto"/>
            <w:bottom w:val="none" w:sz="0" w:space="0" w:color="auto"/>
            <w:right w:val="none" w:sz="0" w:space="0" w:color="auto"/>
          </w:divBdr>
        </w:div>
        <w:div w:id="1748841857">
          <w:marLeft w:val="547"/>
          <w:marRight w:val="0"/>
          <w:marTop w:val="240"/>
          <w:marBottom w:val="0"/>
          <w:divBdr>
            <w:top w:val="none" w:sz="0" w:space="0" w:color="auto"/>
            <w:left w:val="none" w:sz="0" w:space="0" w:color="auto"/>
            <w:bottom w:val="none" w:sz="0" w:space="0" w:color="auto"/>
            <w:right w:val="none" w:sz="0" w:space="0" w:color="auto"/>
          </w:divBdr>
        </w:div>
        <w:div w:id="2039507441">
          <w:marLeft w:val="1166"/>
          <w:marRight w:val="0"/>
          <w:marTop w:val="0"/>
          <w:marBottom w:val="0"/>
          <w:divBdr>
            <w:top w:val="none" w:sz="0" w:space="0" w:color="auto"/>
            <w:left w:val="none" w:sz="0" w:space="0" w:color="auto"/>
            <w:bottom w:val="none" w:sz="0" w:space="0" w:color="auto"/>
            <w:right w:val="none" w:sz="0" w:space="0" w:color="auto"/>
          </w:divBdr>
        </w:div>
      </w:divsChild>
    </w:div>
    <w:div w:id="1678919347">
      <w:bodyDiv w:val="1"/>
      <w:marLeft w:val="0"/>
      <w:marRight w:val="0"/>
      <w:marTop w:val="0"/>
      <w:marBottom w:val="0"/>
      <w:divBdr>
        <w:top w:val="none" w:sz="0" w:space="0" w:color="auto"/>
        <w:left w:val="none" w:sz="0" w:space="0" w:color="auto"/>
        <w:bottom w:val="none" w:sz="0" w:space="0" w:color="auto"/>
        <w:right w:val="none" w:sz="0" w:space="0" w:color="auto"/>
      </w:divBdr>
    </w:div>
    <w:div w:id="1789423509">
      <w:bodyDiv w:val="1"/>
      <w:marLeft w:val="0"/>
      <w:marRight w:val="0"/>
      <w:marTop w:val="0"/>
      <w:marBottom w:val="0"/>
      <w:divBdr>
        <w:top w:val="none" w:sz="0" w:space="0" w:color="auto"/>
        <w:left w:val="none" w:sz="0" w:space="0" w:color="auto"/>
        <w:bottom w:val="none" w:sz="0" w:space="0" w:color="auto"/>
        <w:right w:val="none" w:sz="0" w:space="0" w:color="auto"/>
      </w:divBdr>
      <w:divsChild>
        <w:div w:id="1582107501">
          <w:marLeft w:val="547"/>
          <w:marRight w:val="0"/>
          <w:marTop w:val="20"/>
          <w:marBottom w:val="0"/>
          <w:divBdr>
            <w:top w:val="none" w:sz="0" w:space="0" w:color="auto"/>
            <w:left w:val="none" w:sz="0" w:space="0" w:color="auto"/>
            <w:bottom w:val="none" w:sz="0" w:space="0" w:color="auto"/>
            <w:right w:val="none" w:sz="0" w:space="0" w:color="auto"/>
          </w:divBdr>
        </w:div>
      </w:divsChild>
    </w:div>
    <w:div w:id="2022849572">
      <w:bodyDiv w:val="1"/>
      <w:marLeft w:val="0"/>
      <w:marRight w:val="0"/>
      <w:marTop w:val="0"/>
      <w:marBottom w:val="0"/>
      <w:divBdr>
        <w:top w:val="none" w:sz="0" w:space="0" w:color="auto"/>
        <w:left w:val="none" w:sz="0" w:space="0" w:color="auto"/>
        <w:bottom w:val="none" w:sz="0" w:space="0" w:color="auto"/>
        <w:right w:val="none" w:sz="0" w:space="0" w:color="auto"/>
      </w:divBdr>
    </w:div>
    <w:div w:id="204039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ne.com/system-planning/system-plans-studies/celt/" TargetMode="External"/><Relationship Id="rId299" Type="http://schemas.openxmlformats.org/officeDocument/2006/relationships/hyperlink" Target="https://www.iso-ne.com/system-planning/system-plans-studies/rsp/" TargetMode="External"/><Relationship Id="rId303" Type="http://schemas.openxmlformats.org/officeDocument/2006/relationships/hyperlink" Target="https://www.iso-ne.com/markets-operations/settlements/rate-development/" TargetMode="External"/><Relationship Id="rId21" Type="http://schemas.openxmlformats.org/officeDocument/2006/relationships/hyperlink" Target="https://www.iso-ne.com/system-planning/transmission-planning/competitive-transmission/" TargetMode="External"/><Relationship Id="rId42" Type="http://schemas.openxmlformats.org/officeDocument/2006/relationships/hyperlink" Target="https://standards.ieee.org/standard/1547-2018.html" TargetMode="External"/><Relationship Id="rId63" Type="http://schemas.openxmlformats.org/officeDocument/2006/relationships/hyperlink" Target="https://www.iso-ne.com/static-assets/documents/2021/07/a7_transmission_planning_for_the_clean_energy_transition_pilot_study_results.pdf" TargetMode="External"/><Relationship Id="rId84" Type="http://schemas.openxmlformats.org/officeDocument/2006/relationships/hyperlink" Target="https://vimeo.com/282917036" TargetMode="External"/><Relationship Id="rId138" Type="http://schemas.openxmlformats.org/officeDocument/2006/relationships/hyperlink" Target="https://www.iso-ne.com/committees/reliability/reliability-committee" TargetMode="External"/><Relationship Id="rId159" Type="http://schemas.openxmlformats.org/officeDocument/2006/relationships/hyperlink" Target="https://www.iso-ne.com/static-assets/documents/2021/04/natural_gas.pdf" TargetMode="External"/><Relationship Id="rId324" Type="http://schemas.openxmlformats.org/officeDocument/2006/relationships/hyperlink" Target="https://www.iso-ne.com/committees/planning/environmental-advisory/" TargetMode="External"/><Relationship Id="rId345" Type="http://schemas.openxmlformats.org/officeDocument/2006/relationships/hyperlink" Target="https://www.iso-ne.com/committees/industry-collaborations/consumer-liaison" TargetMode="External"/><Relationship Id="rId170" Type="http://schemas.openxmlformats.org/officeDocument/2006/relationships/image" Target="media/image20.emf"/><Relationship Id="rId191" Type="http://schemas.openxmlformats.org/officeDocument/2006/relationships/hyperlink" Target="https://www.iso-ne.com/static-assets/documents/2019/04/renew_2019_economic_study_request.pdf" TargetMode="External"/><Relationship Id="rId205" Type="http://schemas.openxmlformats.org/officeDocument/2006/relationships/hyperlink" Target="https://www.iso-ne.com/static-assets/documents/2020/07/final_boston_2028_rfp_review_of_phase_one_proposals.pdf" TargetMode="External"/><Relationship Id="rId226" Type="http://schemas.openxmlformats.org/officeDocument/2006/relationships/hyperlink" Target="https://www.iso-ne.com/system-planning/system-plans-studies/celt/" TargetMode="External"/><Relationship Id="rId247" Type="http://schemas.openxmlformats.org/officeDocument/2006/relationships/hyperlink" Target="https://smd.iso-ne.com/planning/ceii/reports/2010s/archive/a7_newport_aquidneck_island_transmission_area_improvements_presentation.pdf" TargetMode="External"/><Relationship Id="rId107" Type="http://schemas.openxmlformats.org/officeDocument/2006/relationships/hyperlink" Target="https://www.iso-ne.com/participate/support/request-ceii-access" TargetMode="External"/><Relationship Id="rId268" Type="http://schemas.openxmlformats.org/officeDocument/2006/relationships/hyperlink" Target="https://smd.iso-ne.com/operations-services/ceii/pac/2021/05/final_ceii_lme_2030_na.pdf" TargetMode="External"/><Relationship Id="rId289" Type="http://schemas.openxmlformats.org/officeDocument/2006/relationships/hyperlink" Target="https://www.iso-ne.com/static-assets/documents/2021/06/a9_transmission_planning_for_the_clean_energy_transition_pilot_study_preliminary_results.pdf" TargetMode="External"/><Relationship Id="rId11" Type="http://schemas.openxmlformats.org/officeDocument/2006/relationships/footer" Target="footer1.xml"/><Relationship Id="rId32" Type="http://schemas.openxmlformats.org/officeDocument/2006/relationships/hyperlink" Target="https://www.iso-ne.com/event-details?eventId=145887" TargetMode="External"/><Relationship Id="rId53" Type="http://schemas.openxmlformats.org/officeDocument/2006/relationships/hyperlink" Target="https://www.iso-ne.com/system-planning/transmission-planning/transmission-planning-guides/" TargetMode="External"/><Relationship Id="rId74" Type="http://schemas.openxmlformats.org/officeDocument/2006/relationships/hyperlink" Target="https://www.nerc.com/Pages/default.aspx" TargetMode="External"/><Relationship Id="rId128" Type="http://schemas.openxmlformats.org/officeDocument/2006/relationships/image" Target="media/image13.emf"/><Relationship Id="rId149" Type="http://schemas.openxmlformats.org/officeDocument/2006/relationships/hyperlink" Target="https://www.iso-ne.com/static-assets/documents/2021/02/fca_15_results_filing_2-26-2021.pdf" TargetMode="External"/><Relationship Id="rId314" Type="http://schemas.openxmlformats.org/officeDocument/2006/relationships/image" Target="media/image25.png"/><Relationship Id="rId335" Type="http://schemas.openxmlformats.org/officeDocument/2006/relationships/hyperlink" Target="https://www.iso-ne.com/static-assets/documents/2021/03/2019_air_emissions_report.pdf" TargetMode="External"/><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iso-ne.com/committees/reliability/reliability-committee/" TargetMode="External"/><Relationship Id="rId160" Type="http://schemas.openxmlformats.org/officeDocument/2006/relationships/hyperlink" Target="https://www.iso-ne.com/static-assets/documents/2021/04/oil_infrastructure.pdf" TargetMode="External"/><Relationship Id="rId181" Type="http://schemas.openxmlformats.org/officeDocument/2006/relationships/hyperlink" Target="https://smd.iso-ne.com/operations-services/ceii/cluster-studies/cape-cod-resource-integration-study-report-ceii-final.pdf" TargetMode="External"/><Relationship Id="rId216" Type="http://schemas.openxmlformats.org/officeDocument/2006/relationships/hyperlink" Target="https://www.iso-ne.com/system-planning/system-plans-studies/rsp/" TargetMode="External"/><Relationship Id="rId237" Type="http://schemas.openxmlformats.org/officeDocument/2006/relationships/hyperlink" Target="https://smd.iso-ne.com/operations-services/ceii/pac/2019/09/ceii_boston_2028_na_update_presentation_clean_rev1.pdf" TargetMode="External"/><Relationship Id="rId258" Type="http://schemas.openxmlformats.org/officeDocument/2006/relationships/hyperlink" Target="https://www.iso-ne.com/static-assets/documents/2021/03/sema_ri_2030_minimum_load_needs_assessment_notice_of_initiation.pdf" TargetMode="External"/><Relationship Id="rId279" Type="http://schemas.openxmlformats.org/officeDocument/2006/relationships/hyperlink" Target="https://www.iso-ne.com/static-assets/documents/2019/05/eastern_connecticut_2029_needs_assessment_details_rev1_clean.pdf" TargetMode="External"/><Relationship Id="rId22" Type="http://schemas.openxmlformats.org/officeDocument/2006/relationships/hyperlink" Target="https://www.iso-ne.com/static-assets/documents/regulatory/ferc/orders/2013/may/er13_193_er13_196_5_17_13_order_on_order_1000_compliance_filings.pdf" TargetMode="External"/><Relationship Id="rId43" Type="http://schemas.openxmlformats.org/officeDocument/2006/relationships/hyperlink" Target="https://www.npcc.org" TargetMode="External"/><Relationship Id="rId64" Type="http://schemas.openxmlformats.org/officeDocument/2006/relationships/hyperlink" Target="https://www.iso-ne.com/static-assets/documents/2021/08/a3_transmission_planning_for_the_clean_energy_transition_pilot_study_results_and_assumption_changes.pdf" TargetMode="External"/><Relationship Id="rId118" Type="http://schemas.openxmlformats.org/officeDocument/2006/relationships/hyperlink" Target="https://www.iso-ne.com/markets-operations/markets/forward-capacity-market" TargetMode="External"/><Relationship Id="rId139" Type="http://schemas.openxmlformats.org/officeDocument/2006/relationships/hyperlink" Target="https://www.iso-ne.com/committees/participants/participants-committee" TargetMode="External"/><Relationship Id="rId290" Type="http://schemas.openxmlformats.org/officeDocument/2006/relationships/hyperlink" Target="https://www.iso-ne.com/static-assets/documents/2021/07/a7_transmission_planning_for_the_clean_energy_transition_pilot_study_results.pdf" TargetMode="External"/><Relationship Id="rId304" Type="http://schemas.openxmlformats.org/officeDocument/2006/relationships/hyperlink" Target="https://www.iso-ne.com/static-assets/documents/2020/08/a02_tc_2020_08_19_pto_ac_rns_rates.pptx" TargetMode="External"/><Relationship Id="rId325" Type="http://schemas.openxmlformats.org/officeDocument/2006/relationships/hyperlink" Target="https://www.rggi.org/" TargetMode="External"/><Relationship Id="rId346" Type="http://schemas.openxmlformats.org/officeDocument/2006/relationships/hyperlink" Target="file:///C:\Users\cwaterhouse\AppData\Local\Microsoft\Windows\INetCache\Content.Outlook\ESP601VE\),%20https:\www.iso-ne.com\static-assets\documents\2021\03\2020_report_of_the_consumer_liaison_group_final.pdf" TargetMode="External"/><Relationship Id="rId85" Type="http://schemas.openxmlformats.org/officeDocument/2006/relationships/hyperlink" Target="https://www.iso-ne.com/participate/rules-procedures/tariff/oatt" TargetMode="External"/><Relationship Id="rId150" Type="http://schemas.openxmlformats.org/officeDocument/2006/relationships/hyperlink" Target="file:///C:\Users\csedlacek\Documents\BACKUP%20-%20needed\RSP\RSP21\Chapters_2021-05-20\vailable%20at%20https:\www.iso-ne.com\system-planning\system-forecasting\energy-efficien" TargetMode="External"/><Relationship Id="rId171" Type="http://schemas.openxmlformats.org/officeDocument/2006/relationships/image" Target="media/image21.emf"/><Relationship Id="rId192" Type="http://schemas.openxmlformats.org/officeDocument/2006/relationships/hyperlink" Target="https://www.iso-ne.com/static-assets/documents/2020/10/2019-renew-es-report-final.docx" TargetMode="External"/><Relationship Id="rId206" Type="http://schemas.openxmlformats.org/officeDocument/2006/relationships/hyperlink" Target="https://smd.iso-ne.com/operations-services/ceii/pac/2020/09/final_ceii_boston_2028_sol_study_mys_retirement.pdf" TargetMode="External"/><Relationship Id="rId227" Type="http://schemas.openxmlformats.org/officeDocument/2006/relationships/hyperlink" Target="https://smd.iso-ne.com/operations-services/ceii/pac/2020/05/final_ceii_wcma_2029_na.pdf" TargetMode="External"/><Relationship Id="rId248" Type="http://schemas.openxmlformats.org/officeDocument/2006/relationships/hyperlink" Target="https://www.iso-ne.com/system-planning/system-plans-studies/rsp/" TargetMode="External"/><Relationship Id="rId269" Type="http://schemas.openxmlformats.org/officeDocument/2006/relationships/hyperlink" Target="https://www.iso-ne.com/system-planning/key-study-areas/vt-nh" TargetMode="External"/><Relationship Id="rId12" Type="http://schemas.openxmlformats.org/officeDocument/2006/relationships/hyperlink" Target="https://www.iso-ne.com/system-planning/system-plans-studies/rsp/" TargetMode="External"/><Relationship Id="rId33" Type="http://schemas.openxmlformats.org/officeDocument/2006/relationships/hyperlink" Target="https://www.iso-ne.com/static-assets/documents/rules_proceds/operating/isone/op4/op4_rto_final.pdf" TargetMode="External"/><Relationship Id="rId108" Type="http://schemas.openxmlformats.org/officeDocument/2006/relationships/hyperlink" Target="https://www.nerc.com/pa/Stand/Pages/AllReliabilityStandards.aspx?jurisdiction=United%20States" TargetMode="External"/><Relationship Id="rId129" Type="http://schemas.openxmlformats.org/officeDocument/2006/relationships/hyperlink" Target="https://www.iso-ne.com/static-assets/documents/2021/04/forecast_data_2021.xlsx" TargetMode="External"/><Relationship Id="rId280" Type="http://schemas.openxmlformats.org/officeDocument/2006/relationships/hyperlink" Target="https://smd.iso-ne.com/operations-services/ceii/pac/2019/10/ect_2029_needs_assessment_rev1_clean.pdf" TargetMode="External"/><Relationship Id="rId315" Type="http://schemas.openxmlformats.org/officeDocument/2006/relationships/hyperlink" Target="https://www.iso-ne.com/system-planning/system-plans-studies/emissions/" TargetMode="External"/><Relationship Id="rId336" Type="http://schemas.openxmlformats.org/officeDocument/2006/relationships/image" Target="media/image31.emf"/><Relationship Id="rId54" Type="http://schemas.openxmlformats.org/officeDocument/2006/relationships/hyperlink" Target="https://www.iso-ne.com/static-assets/documents/regulatory/tariff/sect_2/oatt/sect_ii.pdf" TargetMode="External"/><Relationship Id="rId75" Type="http://schemas.openxmlformats.org/officeDocument/2006/relationships/hyperlink" Target="https://www.iso-ne.com/committees/planning/eipc" TargetMode="External"/><Relationship Id="rId96" Type="http://schemas.openxmlformats.org/officeDocument/2006/relationships/hyperlink" Target="https://www.iso-ne.com/system-planning/transmission-planning/transmission-cost-allocation/" TargetMode="External"/><Relationship Id="rId140" Type="http://schemas.openxmlformats.org/officeDocument/2006/relationships/hyperlink" Target="https://www.iso-ne.com/system-planning/system-plans-studies/celt" TargetMode="External"/><Relationship Id="rId161" Type="http://schemas.openxmlformats.org/officeDocument/2006/relationships/hyperlink" Target="https://www.iso-ne.com/committees/key-projects/winter-energy-security-initiatives/" TargetMode="External"/><Relationship Id="rId182" Type="http://schemas.openxmlformats.org/officeDocument/2006/relationships/hyperlink" Target="https://www.iso-ne.com/static-assets/documents/2021/05/a4_initiation_of_second_cape_cod_resource_integration_study_presentation.pdf" TargetMode="External"/><Relationship Id="rId217" Type="http://schemas.openxmlformats.org/officeDocument/2006/relationships/hyperlink" Target="https://smd.iso-ne.com/operations-services/ceii/pac/2018/07/final_ceii_swct_2027_na.pdf" TargetMode="External"/><Relationship Id="rId6" Type="http://schemas.openxmlformats.org/officeDocument/2006/relationships/footnotes" Target="footnotes.xml"/><Relationship Id="rId238" Type="http://schemas.openxmlformats.org/officeDocument/2006/relationships/hyperlink" Target="https://smd.iso-ne.com/operations-services/ceii/pac/2019/10/ceii_final_boston_2028_na_update.pdf" TargetMode="External"/><Relationship Id="rId259" Type="http://schemas.openxmlformats.org/officeDocument/2006/relationships/hyperlink" Target="https://www.iso-ne.com/system-planning/key-study-areas/maine" TargetMode="External"/><Relationship Id="rId23" Type="http://schemas.openxmlformats.org/officeDocument/2006/relationships/hyperlink" Target="https://www.iso-ne.com/system-planning/system-plans-studies/economic-studies/" TargetMode="External"/><Relationship Id="rId119" Type="http://schemas.openxmlformats.org/officeDocument/2006/relationships/hyperlink" Target="https://www.iso-ne.com/markets-operations/markets/forward-capacity-market/fcm-participation-guide/installed-capacity-requirement" TargetMode="External"/><Relationship Id="rId270" Type="http://schemas.openxmlformats.org/officeDocument/2006/relationships/hyperlink" Target="https://www.iso-ne.com/static-assets/documents/2019/05/2029_nh_needs_assessment_study_initiation_pac_notice.pdf" TargetMode="External"/><Relationship Id="rId291" Type="http://schemas.openxmlformats.org/officeDocument/2006/relationships/hyperlink" Target="https://www.iso-ne.com/static-assets/documents/2021/08/a3_transmission_planning_for_the_clean_energy_transition_pilot_study_results_and_assumption_changes.pdf" TargetMode="External"/><Relationship Id="rId305" Type="http://schemas.openxmlformats.org/officeDocument/2006/relationships/hyperlink" Target="https://www.iso-ne.com/static-assets/documents/2021/07/a03_tc_2021_07_14_rns_rates_presentation.pdf" TargetMode="External"/><Relationship Id="rId326" Type="http://schemas.openxmlformats.org/officeDocument/2006/relationships/image" Target="media/image28.png"/><Relationship Id="rId347" Type="http://schemas.openxmlformats.org/officeDocument/2006/relationships/image" Target="media/image33.png"/><Relationship Id="rId44" Type="http://schemas.openxmlformats.org/officeDocument/2006/relationships/hyperlink" Target="https://www.nerc.com/Pages/default.aspx" TargetMode="External"/><Relationship Id="rId65" Type="http://schemas.openxmlformats.org/officeDocument/2006/relationships/hyperlink" Target="http://nescoe.com/resource-center/vision-stmt-oct2020/" TargetMode="External"/><Relationship Id="rId86" Type="http://schemas.openxmlformats.org/officeDocument/2006/relationships/hyperlink" Target="https://www.iso-ne.com/static-assets/documents/2020/09/types-of-transmission-upgrades-from-old-section-2.1.1-of-rsp.docx" TargetMode="External"/><Relationship Id="rId130" Type="http://schemas.openxmlformats.org/officeDocument/2006/relationships/hyperlink" Target="https://www.iso-ne.com/static-assets/documents/2021/04/forecast_data_2021.xlsx" TargetMode="External"/><Relationship Id="rId151" Type="http://schemas.openxmlformats.org/officeDocument/2006/relationships/hyperlink" Target="https://www.iso-ne.com/static-assets/documents/rules_proceds/operating/isone/op4/op4_rto_final.pdf" TargetMode="External"/><Relationship Id="rId172" Type="http://schemas.openxmlformats.org/officeDocument/2006/relationships/hyperlink" Target="https://www.iso-ne.com/participate/rules-procedures/tariff/oatt" TargetMode="External"/><Relationship Id="rId193" Type="http://schemas.openxmlformats.org/officeDocument/2006/relationships/hyperlink" Target="https://www.iso-ne.com/static-assets/documents/2020/04/a7-national-grid-2020-economic-study-request.pdf" TargetMode="External"/><Relationship Id="rId207" Type="http://schemas.openxmlformats.org/officeDocument/2006/relationships/hyperlink" Target="https://www.iso-ne.com/static-assets/documents/2020/12/a3_competitive_solution_process_order_1000_boston_2020_request_for_proposal_lessons_learned_presentation.pdf" TargetMode="External"/><Relationship Id="rId228" Type="http://schemas.openxmlformats.org/officeDocument/2006/relationships/hyperlink" Target="https://smd.iso-ne.com/operations-services/ceii/pac/2020/04/a2-national-grid-asset-condition-projects.zip" TargetMode="External"/><Relationship Id="rId249" Type="http://schemas.openxmlformats.org/officeDocument/2006/relationships/hyperlink" Target="https://www.iso-ne.com/static-assets/documents/2017/06/2027_sema_ri_needs_assessment_study_initiation_pac_notice.pdf" TargetMode="External"/><Relationship Id="rId13" Type="http://schemas.openxmlformats.org/officeDocument/2006/relationships/header" Target="header2.xml"/><Relationship Id="rId109" Type="http://schemas.openxmlformats.org/officeDocument/2006/relationships/hyperlink" Target="https://www.npcc.org/program-areas/standards-and-criteria/regional-standards" TargetMode="External"/><Relationship Id="rId260" Type="http://schemas.openxmlformats.org/officeDocument/2006/relationships/hyperlink" Target="https://www.necleanenergyconnect.org/" TargetMode="External"/><Relationship Id="rId281" Type="http://schemas.openxmlformats.org/officeDocument/2006/relationships/hyperlink" Target="https://smd.iso-ne.com/operations-services/ceii/pac/2019/11/final_ceii_ect_2029_na.pdf" TargetMode="External"/><Relationship Id="rId316" Type="http://schemas.openxmlformats.org/officeDocument/2006/relationships/hyperlink" Target="https://www.epa.gov/" TargetMode="External"/><Relationship Id="rId337" Type="http://schemas.openxmlformats.org/officeDocument/2006/relationships/image" Target="media/image32.emf"/><Relationship Id="rId34" Type="http://schemas.openxmlformats.org/officeDocument/2006/relationships/hyperlink" Target="https://www.iso-ne.com/static-assets/documents/rules_proceds/operating/isone/op7/op7_rto_final.pdf" TargetMode="External"/><Relationship Id="rId55" Type="http://schemas.openxmlformats.org/officeDocument/2006/relationships/hyperlink" Target="https://www.iso-ne.com/static-assets/documents/regulatory/ferc/orders/2013/may/er13_193_er13_196_5_17_13_order_on_order_1000_compliance_filings.pdf" TargetMode="External"/><Relationship Id="rId76" Type="http://schemas.openxmlformats.org/officeDocument/2006/relationships/header" Target="header4.xml"/><Relationship Id="rId97" Type="http://schemas.openxmlformats.org/officeDocument/2006/relationships/hyperlink" Target="https://www.iso-ne.com/static-assets/documents/2014/12/mr1_sec_1_12.pdf" TargetMode="External"/><Relationship Id="rId120" Type="http://schemas.openxmlformats.org/officeDocument/2006/relationships/hyperlink" Target="https://www.iso-ne.com/static-assets/documents/2020/10/er20-2869-000.pdf" TargetMode="External"/><Relationship Id="rId141" Type="http://schemas.openxmlformats.org/officeDocument/2006/relationships/hyperlink" Target="https://www.iso-ne.com/static-assets/documents/2016/12/summary_of_historical_icr_values.xlsx" TargetMode="External"/><Relationship Id="rId7" Type="http://schemas.openxmlformats.org/officeDocument/2006/relationships/endnotes" Target="endnotes.xml"/><Relationship Id="rId162" Type="http://schemas.openxmlformats.org/officeDocument/2006/relationships/hyperlink" Target="https://www.iso-ne.com/committees/key-projects/energy-security-improvements" TargetMode="External"/><Relationship Id="rId183" Type="http://schemas.openxmlformats.org/officeDocument/2006/relationships/image" Target="media/image22.png"/><Relationship Id="rId218" Type="http://schemas.openxmlformats.org/officeDocument/2006/relationships/hyperlink" Target="https://www.iso-ne.com/static-assets/documents/2020/09/a5_swct_2027_solutions_study_update.pdf" TargetMode="External"/><Relationship Id="rId239" Type="http://schemas.openxmlformats.org/officeDocument/2006/relationships/hyperlink" Target="https://www.iso-ne.com/static-assets/documents/2019/10/final_boston_2028_na_addendum.pdf" TargetMode="External"/><Relationship Id="rId250" Type="http://schemas.openxmlformats.org/officeDocument/2006/relationships/hyperlink" Target="https://www.iso-ne.com/static-assets/documents/2017/12/a_11_sema_ri_2027_needs_assessment_scope_of_work.pdf" TargetMode="External"/><Relationship Id="rId271" Type="http://schemas.openxmlformats.org/officeDocument/2006/relationships/hyperlink" Target="https://smd.iso-ne.com/operations-services/ceii/pac/2019/12/final_ceii_nh_2029_na.pdf" TargetMode="External"/><Relationship Id="rId292" Type="http://schemas.openxmlformats.org/officeDocument/2006/relationships/hyperlink" Target="https://www.iso-ne.com/static-assets/documents/2020/06/transmission_planning_techincal_guide_rev6_1.pdf" TargetMode="External"/><Relationship Id="rId306" Type="http://schemas.openxmlformats.org/officeDocument/2006/relationships/hyperlink" Target="https://www.iso-ne.com/static-assets/documents/2021/03/2020_report_of_the_consumer_liaison_group_final.pdf" TargetMode="External"/><Relationship Id="rId24" Type="http://schemas.openxmlformats.org/officeDocument/2006/relationships/hyperlink" Target="https://www.c2es.org/document/decarbonizing-u-s-power/" TargetMode="External"/><Relationship Id="rId45" Type="http://schemas.openxmlformats.org/officeDocument/2006/relationships/hyperlink" Target="https://www.iso-ne.com/committees/planning/eipc" TargetMode="External"/><Relationship Id="rId66" Type="http://schemas.openxmlformats.org/officeDocument/2006/relationships/hyperlink" Target="https://www.eia.gov/" TargetMode="External"/><Relationship Id="rId87" Type="http://schemas.openxmlformats.org/officeDocument/2006/relationships/image" Target="media/image7.png"/><Relationship Id="rId110" Type="http://schemas.openxmlformats.org/officeDocument/2006/relationships/hyperlink" Target="https://www.iso-ne.com/participate/rules-procedures/" TargetMode="External"/><Relationship Id="rId131" Type="http://schemas.openxmlformats.org/officeDocument/2006/relationships/image" Target="media/image14.png"/><Relationship Id="rId327" Type="http://schemas.openxmlformats.org/officeDocument/2006/relationships/hyperlink" Target="https://www.eia.gov/" TargetMode="External"/><Relationship Id="rId348" Type="http://schemas.openxmlformats.org/officeDocument/2006/relationships/hyperlink" Target="https://www.iso-ne.com/committees/industry-collaborations/consumer-liaison/?document-type=Consumer%20Liaison%20Group%20Annual%20Reports" TargetMode="External"/><Relationship Id="rId152" Type="http://schemas.openxmlformats.org/officeDocument/2006/relationships/hyperlink" Target="https://www.iso-ne.com/static-assets/documents/rules_proceds/operating/isone/op7/op7_rto_final.pdf" TargetMode="External"/><Relationship Id="rId173" Type="http://schemas.openxmlformats.org/officeDocument/2006/relationships/hyperlink" Target="https://www.iso-ne.com/static-assets/documents/2017/07/a5_distributed_connected_generation_guidance.pdf" TargetMode="External"/><Relationship Id="rId194" Type="http://schemas.openxmlformats.org/officeDocument/2006/relationships/hyperlink" Target="https://www.iso-ne.com/static-assets/documents/2021/03/nepool_memo_for_2021_economic_study_request_3_12_21.DOCX" TargetMode="External"/><Relationship Id="rId208" Type="http://schemas.openxmlformats.org/officeDocument/2006/relationships/hyperlink" Target="https://www.iso-ne.com/static-assets/documents/regulatory/ferc/orders/2013/may/er13_193_er13_196_5_17_13_order_on_order_1000_compliance_filings.pdf" TargetMode="External"/><Relationship Id="rId229" Type="http://schemas.openxmlformats.org/officeDocument/2006/relationships/hyperlink" Target="https://www.iso-ne.com/system-planning/key-study-areas/greater-boston" TargetMode="External"/><Relationship Id="rId240" Type="http://schemas.openxmlformats.org/officeDocument/2006/relationships/hyperlink" Target="https://smd.iso-ne.com/operations-services/ceii/pac/2020/09/final_ceii_boston_2028_sol_study_mys_retirement.pdf" TargetMode="External"/><Relationship Id="rId261" Type="http://schemas.openxmlformats.org/officeDocument/2006/relationships/hyperlink" Target="https://www.iso-ne.com/static-assets/documents/2019/06/2029_upperme_needs_assessment_study_initiation_pac_notice.pdf" TargetMode="External"/><Relationship Id="rId14" Type="http://schemas.openxmlformats.org/officeDocument/2006/relationships/footer" Target="footer2.xml"/><Relationship Id="rId35" Type="http://schemas.openxmlformats.org/officeDocument/2006/relationships/hyperlink" Target="https://www.iso-ne.com/system-planning/system-plans-studies/celt/" TargetMode="External"/><Relationship Id="rId56" Type="http://schemas.openxmlformats.org/officeDocument/2006/relationships/hyperlink" Target="https://www.iso-ne.com/static-assets/documents/2017/10/pp3_r8.pdf" TargetMode="External"/><Relationship Id="rId77" Type="http://schemas.openxmlformats.org/officeDocument/2006/relationships/footer" Target="footer4.xml"/><Relationship Id="rId100" Type="http://schemas.openxmlformats.org/officeDocument/2006/relationships/hyperlink" Target="https://www.iso-ne.com/committees/markets/markets-committee/" TargetMode="External"/><Relationship Id="rId282" Type="http://schemas.openxmlformats.org/officeDocument/2006/relationships/hyperlink" Target="https://www.iso-ne.com/static-assets/documents/2019/11/pac_notice_ect_2029_ss.pdf" TargetMode="External"/><Relationship Id="rId317" Type="http://schemas.openxmlformats.org/officeDocument/2006/relationships/hyperlink" Target="https://www.epa.gov/laws-regulations/summary-clean-water-act" TargetMode="External"/><Relationship Id="rId338" Type="http://schemas.openxmlformats.org/officeDocument/2006/relationships/hyperlink" Target="https://www.rggi.org/" TargetMode="External"/><Relationship Id="rId8" Type="http://schemas.openxmlformats.org/officeDocument/2006/relationships/image" Target="media/image1.png"/><Relationship Id="rId98" Type="http://schemas.openxmlformats.org/officeDocument/2006/relationships/hyperlink" Target="https://www.iso-ne.com/committees/transmission/transmission-committee/" TargetMode="External"/><Relationship Id="rId121" Type="http://schemas.openxmlformats.org/officeDocument/2006/relationships/hyperlink" Target="https://www.iso-ne.com/static-assets/documents/2020/12/eef2021_embedded_exp_measures.pdf" TargetMode="External"/><Relationship Id="rId142" Type="http://schemas.openxmlformats.org/officeDocument/2006/relationships/hyperlink" Target="http://www.iso-ne.com/isoexpress/web/reports/operations/-/tree/single-src-cont" TargetMode="External"/><Relationship Id="rId163" Type="http://schemas.openxmlformats.org/officeDocument/2006/relationships/hyperlink" Target="https://www.iso-ne.com/static-assets/documents/2020/04/energy_security_improvements_filing.pdf" TargetMode="External"/><Relationship Id="rId184" Type="http://schemas.openxmlformats.org/officeDocument/2006/relationships/hyperlink" Target="https://www.iso-ne.com/event-details?eventId=145887" TargetMode="External"/><Relationship Id="rId219" Type="http://schemas.openxmlformats.org/officeDocument/2006/relationships/hyperlink" Target="https://www.iso-ne.com/system-planning/key-study-areas/greater-hartford" TargetMode="External"/><Relationship Id="rId230" Type="http://schemas.openxmlformats.org/officeDocument/2006/relationships/hyperlink" Target="https://www.iso-ne.com/static-assets/documents/2018/09/notice_of_initiation_of_boston_2028_needs_assessment_study.pdf" TargetMode="External"/><Relationship Id="rId251" Type="http://schemas.openxmlformats.org/officeDocument/2006/relationships/hyperlink" Target="https://www.iso-ne.com/static-assets/documents/2018/11/a3_sema_ri_2028_needs_assessment_scope_of_work.pdf" TargetMode="External"/><Relationship Id="rId25" Type="http://schemas.openxmlformats.org/officeDocument/2006/relationships/hyperlink" Target="http://nescoe.com/resource-center/vision-stmt-oct2020/" TargetMode="External"/><Relationship Id="rId46" Type="http://schemas.openxmlformats.org/officeDocument/2006/relationships/hyperlink" Target="https://www.iso-ne.com/static-assets/documents/2015/07/northeastern_protocol_dmeast.doc" TargetMode="External"/><Relationship Id="rId67" Type="http://schemas.openxmlformats.org/officeDocument/2006/relationships/hyperlink" Target="http://necpuc.org/" TargetMode="External"/><Relationship Id="rId272" Type="http://schemas.openxmlformats.org/officeDocument/2006/relationships/hyperlink" Target="https://www.iso-ne.com/static-assets/documents/2019/12/pac_notice_nh_2029_ss.pdf" TargetMode="External"/><Relationship Id="rId293" Type="http://schemas.openxmlformats.org/officeDocument/2006/relationships/hyperlink" Target="https://www.iso-ne.com/system-planning/system-plans-studies/rsp/" TargetMode="External"/><Relationship Id="rId307" Type="http://schemas.openxmlformats.org/officeDocument/2006/relationships/hyperlink" Target="https://www.iso-ne.com/system-planning/system-plans-studies/rsp/" TargetMode="External"/><Relationship Id="rId328" Type="http://schemas.openxmlformats.org/officeDocument/2006/relationships/image" Target="media/image29.png"/><Relationship Id="rId349" Type="http://schemas.openxmlformats.org/officeDocument/2006/relationships/hyperlink" Target="https://www.iso-ne.com/committees/industry-collaborations/consumer-liaison/?document-type=Consumer%20Liaison%20Group%20Annual%20Reports" TargetMode="External"/><Relationship Id="rId88" Type="http://schemas.openxmlformats.org/officeDocument/2006/relationships/hyperlink" Target="https://www.iso-ne.com/system-planning/transmission-planning/transmission-planning-guides" TargetMode="External"/><Relationship Id="rId111" Type="http://schemas.openxmlformats.org/officeDocument/2006/relationships/hyperlink" Target="https://www.iso-ne.com/participate/governing-agreements/transmission-operating-agreements" TargetMode="External"/><Relationship Id="rId132" Type="http://schemas.openxmlformats.org/officeDocument/2006/relationships/hyperlink" Target="https://www.iso-ne.com/system-planning/resource-planning/" TargetMode="External"/><Relationship Id="rId153" Type="http://schemas.openxmlformats.org/officeDocument/2006/relationships/image" Target="media/image16.emf"/><Relationship Id="rId174" Type="http://schemas.openxmlformats.org/officeDocument/2006/relationships/hyperlink" Target="https://www.iso-ne.com/static-assets/documents/regulatory/tariff/sect_2/sch22/sch_22_lgip.pdf" TargetMode="External"/><Relationship Id="rId195" Type="http://schemas.openxmlformats.org/officeDocument/2006/relationships/hyperlink" Target="https://www.nerc.com/pa/RAPA/ra/Reliability%20Assessments%20DL/NERC_LTRA_2020.pdf" TargetMode="External"/><Relationship Id="rId209" Type="http://schemas.openxmlformats.org/officeDocument/2006/relationships/hyperlink" Target="https://www.iso-ne.com/committees/planning/planning-advisory" TargetMode="External"/><Relationship Id="rId190" Type="http://schemas.openxmlformats.org/officeDocument/2006/relationships/hyperlink" Target="https://www.iso-ne.com/static-assets/documents/2020/10/2019-anbaric-economic-study-final.docx" TargetMode="External"/><Relationship Id="rId204" Type="http://schemas.openxmlformats.org/officeDocument/2006/relationships/hyperlink" Target="https://www.iso-ne.com/participate/applications-status-changes/qtps-application-annual-certification" TargetMode="External"/><Relationship Id="rId220" Type="http://schemas.openxmlformats.org/officeDocument/2006/relationships/hyperlink" Target="https://www.iso-ne.com/system-planning/system-plans-studies/rsp/" TargetMode="External"/><Relationship Id="rId225" Type="http://schemas.openxmlformats.org/officeDocument/2006/relationships/hyperlink" Target="https://smd.iso-ne.com/operations-services/ceii/pac/2019/08/draft_ceii_wcma_2029_na_sow.pdf" TargetMode="External"/><Relationship Id="rId241" Type="http://schemas.openxmlformats.org/officeDocument/2006/relationships/hyperlink" Target="https://www.iso-ne.com/system-planning/key-study-areas/sema-ri" TargetMode="External"/><Relationship Id="rId246" Type="http://schemas.openxmlformats.org/officeDocument/2006/relationships/hyperlink" Target="https://www.iso-ne.com/system-planning/system-plans-studies/rsp/" TargetMode="External"/><Relationship Id="rId267" Type="http://schemas.openxmlformats.org/officeDocument/2006/relationships/hyperlink" Target="https://smd.iso-ne.com/operations-services/ceii/pac/2021/03/a11_lower_maine_2030_needs_assessment_ceii.pdf" TargetMode="External"/><Relationship Id="rId288" Type="http://schemas.openxmlformats.org/officeDocument/2006/relationships/hyperlink" Target="https://www.iso-ne.com/static-assets/documents/2021/01/a6_transmission_planning_for_clean_energy_transition_generation_dispatch_details.pdf" TargetMode="External"/><Relationship Id="rId15" Type="http://schemas.openxmlformats.org/officeDocument/2006/relationships/header" Target="header3.xml"/><Relationship Id="rId36" Type="http://schemas.openxmlformats.org/officeDocument/2006/relationships/hyperlink" Target="https://www.iso-ne.com/markets-operations/markets/forward-capacity-market" TargetMode="External"/><Relationship Id="rId57" Type="http://schemas.openxmlformats.org/officeDocument/2006/relationships/hyperlink" Target="https://www.iso-ne.com/system-planning/transmission-planning/met/" TargetMode="External"/><Relationship Id="rId106" Type="http://schemas.openxmlformats.org/officeDocument/2006/relationships/hyperlink" Target="https://www.iso-ne.com/markets-operations/markets-development/wholesale-markets-project-plan" TargetMode="External"/><Relationship Id="rId127" Type="http://schemas.openxmlformats.org/officeDocument/2006/relationships/image" Target="media/image12.emf"/><Relationship Id="rId262" Type="http://schemas.openxmlformats.org/officeDocument/2006/relationships/hyperlink" Target="https://smd.iso-ne.com/operations-services/ceii/pac/2020/03/final_ceii_ume_2029_na.pdf" TargetMode="External"/><Relationship Id="rId283" Type="http://schemas.openxmlformats.org/officeDocument/2006/relationships/hyperlink" Target="https://smd.iso-ne.com/operations-services/ceii/pac/2020/05/a2_eastern_connecticut_2029_preliminary_preferred_solutions_ceii.pdf" TargetMode="External"/><Relationship Id="rId313" Type="http://schemas.openxmlformats.org/officeDocument/2006/relationships/hyperlink" Target="https://www.iso-ne.com/system-planning/system-plans-studies/rsp/" TargetMode="External"/><Relationship Id="rId318" Type="http://schemas.openxmlformats.org/officeDocument/2006/relationships/image" Target="media/image26.png"/><Relationship Id="rId339" Type="http://schemas.openxmlformats.org/officeDocument/2006/relationships/hyperlink" Target="https://www.mass.gov/service-details/global-warming-solutions-act-background" TargetMode="External"/><Relationship Id="rId10" Type="http://schemas.openxmlformats.org/officeDocument/2006/relationships/header" Target="header1.xml"/><Relationship Id="rId31" Type="http://schemas.openxmlformats.org/officeDocument/2006/relationships/hyperlink" Target="https://www.iso-ne.com/static-assets/documents/2021/05/a0_memo_on_elimination_of_mopr.pdf" TargetMode="External"/><Relationship Id="rId52" Type="http://schemas.openxmlformats.org/officeDocument/2006/relationships/hyperlink" Target="https://www.iso-ne.com/static-assets/documents/regulatory/ferc/orders/2013/may/er13_193_er13_196_5_17_13_order_on_order_1000_compliance_filings.pdf" TargetMode="External"/><Relationship Id="rId73" Type="http://schemas.openxmlformats.org/officeDocument/2006/relationships/hyperlink" Target="https://www.npcc.org" TargetMode="External"/><Relationship Id="rId78" Type="http://schemas.openxmlformats.org/officeDocument/2006/relationships/hyperlink" Target="https://www.iso-ne.com/about/what-we-do/three-roles" TargetMode="External"/><Relationship Id="rId94" Type="http://schemas.openxmlformats.org/officeDocument/2006/relationships/hyperlink" Target="http://www.iso-ne.com/participate/governing-agreements/nepool-agreement" TargetMode="External"/><Relationship Id="rId99" Type="http://schemas.openxmlformats.org/officeDocument/2006/relationships/hyperlink" Target="https://www.iso-ne.com/participate/governing-agreements/transmission-operating-agreements/" TargetMode="External"/><Relationship Id="rId101" Type="http://schemas.openxmlformats.org/officeDocument/2006/relationships/hyperlink" Target="https://www.iso-ne.com/participate/rules-procedures/tariff/market-rule-1" TargetMode="External"/><Relationship Id="rId122" Type="http://schemas.openxmlformats.org/officeDocument/2006/relationships/hyperlink" Target="https://www.iso-ne.com/static-assets/documents/2021/03/lf2021_finalecon_fx.pdf" TargetMode="External"/><Relationship Id="rId143" Type="http://schemas.openxmlformats.org/officeDocument/2006/relationships/hyperlink" Target="https://www.iso-ne.com/static-assets/documents/2018/02/fca_obligations.xlsx" TargetMode="External"/><Relationship Id="rId148" Type="http://schemas.openxmlformats.org/officeDocument/2006/relationships/hyperlink" Target="https://www.iso-ne.com/static-assets/documents/2021/03/final_2021_pv_forecast.pdf" TargetMode="External"/><Relationship Id="rId164" Type="http://schemas.openxmlformats.org/officeDocument/2006/relationships/hyperlink" Target="https://www.iso-ne.com/static-assets/documents/2020/10/er20-1567-000_order_rejecting_esi_10-30-2020.pdf" TargetMode="External"/><Relationship Id="rId169" Type="http://schemas.openxmlformats.org/officeDocument/2006/relationships/image" Target="media/image19.emf"/><Relationship Id="rId185" Type="http://schemas.openxmlformats.org/officeDocument/2006/relationships/hyperlink" Target="https://standards.ieee.org/standard/1547-2018.html" TargetMode="External"/><Relationship Id="rId334" Type="http://schemas.openxmlformats.org/officeDocument/2006/relationships/hyperlink" Target="https://emp.lbl.gov/sites/default/files/rps_percentage_targets_feb_2021.xlsx" TargetMode="External"/><Relationship Id="rId350" Type="http://schemas.openxmlformats.org/officeDocument/2006/relationships/hyperlink" Target="http://www.ct.gov/deep/lib/deep/energy/ces/2018_comprehensive_energy_strategy.pdf." TargetMode="External"/><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iso-ne.com/static-assets/documents/2021/01/second-maine-resource-integration-study-report-non-ceii-final.pdf" TargetMode="External"/><Relationship Id="rId210" Type="http://schemas.openxmlformats.org/officeDocument/2006/relationships/hyperlink" Target="https://www.iso-ne.com/static-assets/documents/regulatory/ferc/orders/2013/may/er13_193_er13_196_5_17_13_order_on_order_1000_compliance_filings.pdf" TargetMode="External"/><Relationship Id="rId215" Type="http://schemas.openxmlformats.org/officeDocument/2006/relationships/hyperlink" Target="https://www.iso-ne.com/system-planning/key-study-areas/swct" TargetMode="External"/><Relationship Id="rId236" Type="http://schemas.openxmlformats.org/officeDocument/2006/relationships/hyperlink" Target="https://smd.iso-ne.com/operations-services/ceii/pac/2019/10/ceii_final_boston_2028_solution_study.pdf" TargetMode="External"/><Relationship Id="rId257" Type="http://schemas.openxmlformats.org/officeDocument/2006/relationships/hyperlink" Target="https://www.iso-ne.com/static-assets/documents/2017/09/2026_sema_ri_minimum_load_solutions_study_initiation_pac_notice.docx" TargetMode="External"/><Relationship Id="rId278" Type="http://schemas.openxmlformats.org/officeDocument/2006/relationships/hyperlink" Target="https://www.iso-ne.com/static-assets/documents/2018/06/pac_notice_ect_2027_ss.pdf" TargetMode="External"/><Relationship Id="rId26" Type="http://schemas.openxmlformats.org/officeDocument/2006/relationships/hyperlink" Target="https://www.iso-ne.com/about/corporate-governance/annual-work-plan" TargetMode="External"/><Relationship Id="rId231" Type="http://schemas.openxmlformats.org/officeDocument/2006/relationships/hyperlink" Target="https://www.iso-ne.com/static-assets/documents/2018/09/a10_boston_2028_needs_asssessment_scope_of_work_rev1.pdf" TargetMode="External"/><Relationship Id="rId252" Type="http://schemas.openxmlformats.org/officeDocument/2006/relationships/hyperlink" Target="https://smd.iso-ne.com/operations-services/ceii/pac/2020/04/sema_ri_2029_needs_assessment_update_04232020_v50.pdf" TargetMode="External"/><Relationship Id="rId273" Type="http://schemas.openxmlformats.org/officeDocument/2006/relationships/hyperlink" Target="https://smd.iso-ne.com/operations-services/ceii/pac/2021/02/a5_western_and_central_nh_2029_preferred_solution_ceii.pdf" TargetMode="External"/><Relationship Id="rId294" Type="http://schemas.openxmlformats.org/officeDocument/2006/relationships/hyperlink" Target="https://www.iso-ne.com/committees/planning/topac" TargetMode="External"/><Relationship Id="rId308" Type="http://schemas.openxmlformats.org/officeDocument/2006/relationships/hyperlink" Target="https://smd.iso-ne.com/operations-services/ceii/cluster-studies/final_maine_resource_integration_study_report.pdf" TargetMode="External"/><Relationship Id="rId329" Type="http://schemas.openxmlformats.org/officeDocument/2006/relationships/image" Target="media/image30.png"/><Relationship Id="rId47" Type="http://schemas.openxmlformats.org/officeDocument/2006/relationships/hyperlink" Target="https://www.iso-ne.com/static-assets/documents/regulatory/ferc/orders/2013/may/er13_193_er13_196_5_17_13_order_on_order_1000_compliance_filings.pdf" TargetMode="External"/><Relationship Id="rId68" Type="http://schemas.openxmlformats.org/officeDocument/2006/relationships/hyperlink" Target="https://nescoe.com/" TargetMode="External"/><Relationship Id="rId89" Type="http://schemas.openxmlformats.org/officeDocument/2006/relationships/hyperlink" Target="https://www.iso-ne.com/system-planning/transmission-planning/transmission-planning-guides/" TargetMode="External"/><Relationship Id="rId112" Type="http://schemas.openxmlformats.org/officeDocument/2006/relationships/hyperlink" Target="https://www.iso-ne.com/participate/support/faq/lmp" TargetMode="External"/><Relationship Id="rId133" Type="http://schemas.openxmlformats.org/officeDocument/2006/relationships/image" Target="media/image15.png"/><Relationship Id="rId154" Type="http://schemas.openxmlformats.org/officeDocument/2006/relationships/image" Target="media/image17.emf"/><Relationship Id="rId175" Type="http://schemas.openxmlformats.org/officeDocument/2006/relationships/hyperlink" Target="https://www.iso-ne.com/static-assets/documents/regulatory/tariff/sect_2/sch23/sch_23_sgip.pdf" TargetMode="External"/><Relationship Id="rId340" Type="http://schemas.openxmlformats.org/officeDocument/2006/relationships/hyperlink" Target="https://www.iso-ne.com/about/government-industry-affairs" TargetMode="External"/><Relationship Id="rId196" Type="http://schemas.openxmlformats.org/officeDocument/2006/relationships/hyperlink" Target="https://www.iso-ne.com/system-planning/key-study-areas/" TargetMode="External"/><Relationship Id="rId200" Type="http://schemas.openxmlformats.org/officeDocument/2006/relationships/hyperlink" Target="https://www.iso-ne.com/system-planning/transmission-planning/transmission-planning-guides/" TargetMode="External"/><Relationship Id="rId16" Type="http://schemas.openxmlformats.org/officeDocument/2006/relationships/footer" Target="footer3.xml"/><Relationship Id="rId221" Type="http://schemas.openxmlformats.org/officeDocument/2006/relationships/hyperlink" Target="https://www.iso-ne.com/system-planning/key-study-areas/western-and-central-massachusetts" TargetMode="External"/><Relationship Id="rId242" Type="http://schemas.openxmlformats.org/officeDocument/2006/relationships/hyperlink" Target="https://smd.iso-ne.com/operations-services/ceii/pac/2016/05/final_sema_ri_2026_needs_assessment_presentation_rev2.pdf" TargetMode="External"/><Relationship Id="rId263" Type="http://schemas.openxmlformats.org/officeDocument/2006/relationships/hyperlink" Target="https://smd.iso-ne.com/operations-services/ceii/pac/2021/02/a4_upper_maine_2029_preliminary_preferred_solutions_ceii.pdf" TargetMode="External"/><Relationship Id="rId284" Type="http://schemas.openxmlformats.org/officeDocument/2006/relationships/hyperlink" Target="https://smd.iso-ne.com/operations-services/ceii/pac/2020/06/final_ceii_ect_2029_ss.pdf" TargetMode="External"/><Relationship Id="rId319" Type="http://schemas.openxmlformats.org/officeDocument/2006/relationships/hyperlink" Target="https://www.eia.gov/" TargetMode="External"/><Relationship Id="rId37" Type="http://schemas.openxmlformats.org/officeDocument/2006/relationships/hyperlink" Target="https://www.climate.gov/news-features/understanding-climate/understanding-arctic-polar-vortex" TargetMode="External"/><Relationship Id="rId58" Type="http://schemas.openxmlformats.org/officeDocument/2006/relationships/hyperlink" Target="https://www.iso-ne.com/system-planning/transmission-planning/transmission-owner-asset-management/" TargetMode="External"/><Relationship Id="rId79" Type="http://schemas.openxmlformats.org/officeDocument/2006/relationships/image" Target="media/image6.png"/><Relationship Id="rId102" Type="http://schemas.openxmlformats.org/officeDocument/2006/relationships/hyperlink" Target="https://www.iso-ne.com/committees/planning/ipsac/" TargetMode="External"/><Relationship Id="rId123" Type="http://schemas.openxmlformats.org/officeDocument/2006/relationships/hyperlink" Target="https://www.iso-ne.com/system-planning/system-forecasting/load-forecast/?document-type=Electrification%20Forecasts" TargetMode="External"/><Relationship Id="rId144" Type="http://schemas.openxmlformats.org/officeDocument/2006/relationships/hyperlink" Target="https://www.iso-ne.com/static-assets/documents/2020/03/a06_fca14_auction_results_summary.pptx" TargetMode="External"/><Relationship Id="rId330" Type="http://schemas.openxmlformats.org/officeDocument/2006/relationships/hyperlink" Target="https://mattwjones.co.uk/covid-19/" TargetMode="External"/><Relationship Id="rId90" Type="http://schemas.openxmlformats.org/officeDocument/2006/relationships/hyperlink" Target="https://www.iso-ne.com/static-assets/documents/regulatory/ferc/orders/2013/may/er13_193_er13_196_5_17_13_order_on_order_1000_compliance_filings.pdf" TargetMode="External"/><Relationship Id="rId165" Type="http://schemas.openxmlformats.org/officeDocument/2006/relationships/image" Target="media/image18.png"/><Relationship Id="rId186" Type="http://schemas.openxmlformats.org/officeDocument/2006/relationships/hyperlink" Target="https://www.iso-ne.com/committees/key-projects/order-no-2222-key-project" TargetMode="External"/><Relationship Id="rId351" Type="http://schemas.openxmlformats.org/officeDocument/2006/relationships/hyperlink" Target="https://legislature.vermont.gov/Documents/2022/Docs/CALENDAR/sc210521a.pdf" TargetMode="External"/><Relationship Id="rId211" Type="http://schemas.openxmlformats.org/officeDocument/2006/relationships/hyperlink" Target="https://nescoe.com/" TargetMode="External"/><Relationship Id="rId232" Type="http://schemas.openxmlformats.org/officeDocument/2006/relationships/hyperlink" Target="https://smd.iso-ne.com/operations-services/ceii/pac/2019/03/final_ceii_boston_2028_na_sow.pdf" TargetMode="External"/><Relationship Id="rId253" Type="http://schemas.openxmlformats.org/officeDocument/2006/relationships/hyperlink" Target="https://smd.iso-ne.com/operations-services/ceii/pac/2020/11/revised_sema_ri_2029_needs_assessment_update_pac_presentation_rev1_clean.pdf" TargetMode="External"/><Relationship Id="rId274" Type="http://schemas.openxmlformats.org/officeDocument/2006/relationships/hyperlink" Target="https://smd.iso-ne.com/operations-services/ceii/pac/2021/04/a2_southern_nh_2029_preliminary_preferred_solutions_ceii.pdf" TargetMode="External"/><Relationship Id="rId295" Type="http://schemas.openxmlformats.org/officeDocument/2006/relationships/hyperlink" Target="https://www.iso-ne.com/system-planning/system-plans-studies/rsp" TargetMode="External"/><Relationship Id="rId309" Type="http://schemas.openxmlformats.org/officeDocument/2006/relationships/hyperlink" Target="https://smd.iso-ne.com/operations-services/ceii/cluster-studies/second-maine-resource-integration-study-report-ceii-final.pdf" TargetMode="External"/><Relationship Id="rId27" Type="http://schemas.openxmlformats.org/officeDocument/2006/relationships/hyperlink" Target="https://www.iso-ne.com/committees/planning/planning-advisory" TargetMode="External"/><Relationship Id="rId48" Type="http://schemas.openxmlformats.org/officeDocument/2006/relationships/hyperlink" Target="https://www.iso-ne.com/committees/planning/ipsac" TargetMode="External"/><Relationship Id="rId69" Type="http://schemas.openxmlformats.org/officeDocument/2006/relationships/hyperlink" Target="https://www.coneg.org/" TargetMode="External"/><Relationship Id="rId113" Type="http://schemas.openxmlformats.org/officeDocument/2006/relationships/hyperlink" Target="https://www.iso-ne.com/markets-operations/markets-development/wholesale-markets-project-plan" TargetMode="External"/><Relationship Id="rId134" Type="http://schemas.openxmlformats.org/officeDocument/2006/relationships/hyperlink" Target="https://www.iso-ne.com/markets-operations/markets/forward-capacity-market/fcm-participation-guide/installed-capacity-requirement" TargetMode="External"/><Relationship Id="rId320" Type="http://schemas.openxmlformats.org/officeDocument/2006/relationships/hyperlink" Target="https://www.eia.gov/electricity/data/browser/" TargetMode="External"/><Relationship Id="rId80" Type="http://schemas.openxmlformats.org/officeDocument/2006/relationships/hyperlink" Target="https://www.iso-ne.com/about/what-we-do/three-roles/" TargetMode="External"/><Relationship Id="rId155" Type="http://schemas.openxmlformats.org/officeDocument/2006/relationships/hyperlink" Target="https://www.iso-ne.com/static-assets/documents/rules_proceds/operating/isone/op8/op8_rto_final.pdf" TargetMode="External"/><Relationship Id="rId176" Type="http://schemas.openxmlformats.org/officeDocument/2006/relationships/hyperlink" Target="https://www.iso-ne.com/static-assets/documents/2015/02/sch_25.pdf" TargetMode="External"/><Relationship Id="rId197" Type="http://schemas.openxmlformats.org/officeDocument/2006/relationships/hyperlink" Target="https://www.iso-ne.com/system-planning/system-plans-studies/rsp/?file-type=XLS&amp;file-type=XLSX&amp;file-type=CSV&amp;file-type=xls&amp;file-type=xlsx&amp;file-type=csv" TargetMode="External"/><Relationship Id="rId341" Type="http://schemas.openxmlformats.org/officeDocument/2006/relationships/hyperlink" Target="http://www.nescoe.com/" TargetMode="External"/><Relationship Id="rId201" Type="http://schemas.openxmlformats.org/officeDocument/2006/relationships/hyperlink" Target="https://www.iso-ne.com/static-assets/documents/regulatory/ferc/orders/2013/may/er13_193_er13_196_5_17_13_order_on_order_1000_compliance_filings.pdf" TargetMode="External"/><Relationship Id="rId222" Type="http://schemas.openxmlformats.org/officeDocument/2006/relationships/hyperlink" Target="https://www.iso-ne.com/system-planning/system-plans-studies/rsp/" TargetMode="External"/><Relationship Id="rId243" Type="http://schemas.openxmlformats.org/officeDocument/2006/relationships/hyperlink" Target="https://smd.iso-ne.com/operations-services/ceii/pac/2016/05/final_sema_ri_needs_assessment_report.pdf" TargetMode="External"/><Relationship Id="rId264" Type="http://schemas.openxmlformats.org/officeDocument/2006/relationships/hyperlink" Target="https://smd.iso-ne.com/operations-services/ceii/pac/2021/06/final_ceii_ume_2029_ss.pdf" TargetMode="External"/><Relationship Id="rId285" Type="http://schemas.openxmlformats.org/officeDocument/2006/relationships/hyperlink" Target="https://www.iso-ne.com/static-assets/documents/2020/09/a3_transmission_planning_for_future_grid.pdf" TargetMode="External"/><Relationship Id="rId17" Type="http://schemas.openxmlformats.org/officeDocument/2006/relationships/image" Target="media/image3.jpeg"/><Relationship Id="rId38" Type="http://schemas.openxmlformats.org/officeDocument/2006/relationships/image" Target="media/image5.png"/><Relationship Id="rId59" Type="http://schemas.openxmlformats.org/officeDocument/2006/relationships/hyperlink" Target="https://www.iso-ne.com/static-assets/documents/2021/03/2020_report_of_the_consumer_liaison_group_final.pdf" TargetMode="External"/><Relationship Id="rId103" Type="http://schemas.openxmlformats.org/officeDocument/2006/relationships/hyperlink" Target="https://www.iso-ne.com/system-planning/system-plans-studies/rsp/?file-type=XLS&amp;file-type=XLSX&amp;file-type=CSV&amp;file-type=xls&amp;file-type=xlsx&amp;file-type=csv" TargetMode="External"/><Relationship Id="rId124" Type="http://schemas.openxmlformats.org/officeDocument/2006/relationships/hyperlink" Target="http://www.iso-ne.com/committees/planning/energy-efficiency-forecast" TargetMode="External"/><Relationship Id="rId310" Type="http://schemas.openxmlformats.org/officeDocument/2006/relationships/hyperlink" Target="https://smd.iso-ne.com/operations-services/ceii/pac/2021/03/a7_cape_cod_resource_integration_study_ceii.pdf" TargetMode="External"/><Relationship Id="rId70" Type="http://schemas.openxmlformats.org/officeDocument/2006/relationships/hyperlink" Target="https://www.iso-ne.com/committees/industry-collaborations/consumer-liaison" TargetMode="External"/><Relationship Id="rId91" Type="http://schemas.openxmlformats.org/officeDocument/2006/relationships/hyperlink" Target="https://www.iso-ne.com/participate/applications-status-changes/qtps-application-annual-certification" TargetMode="External"/><Relationship Id="rId145" Type="http://schemas.openxmlformats.org/officeDocument/2006/relationships/hyperlink" Target="https://www.iso-ne.com/static-assets/documents/2021/03/a8_fca15_auction_results.pdf" TargetMode="External"/><Relationship Id="rId166" Type="http://schemas.openxmlformats.org/officeDocument/2006/relationships/hyperlink" Target="https://www.iso-ne.com/system-planning/interconnection-service/interconnection-request-queue/" TargetMode="External"/><Relationship Id="rId187" Type="http://schemas.openxmlformats.org/officeDocument/2006/relationships/hyperlink" Target="https://www.iso-ne.com/static-assets/documents/2019/04/nescoe_2019_economic_study_request.pdf" TargetMode="External"/><Relationship Id="rId331" Type="http://schemas.openxmlformats.org/officeDocument/2006/relationships/chart" Target="charts/chart1.xml"/><Relationship Id="rId352" Type="http://schemas.openxmlformats.org/officeDocument/2006/relationships/hyperlink" Target="https://www.vermontspc.com/assets/documents/2021Plan_publicreviewdraft.pdf" TargetMode="External"/><Relationship Id="rId1" Type="http://schemas.openxmlformats.org/officeDocument/2006/relationships/customXml" Target="../customXml/item1.xml"/><Relationship Id="rId212" Type="http://schemas.openxmlformats.org/officeDocument/2006/relationships/hyperlink" Target="https://www.iso-ne.com/static-assets/documents/2019/10/rsp19_final.docx" TargetMode="External"/><Relationship Id="rId233" Type="http://schemas.openxmlformats.org/officeDocument/2006/relationships/hyperlink" Target="https://smd.iso-ne.com/operations-services/ceii/pac/2019/06/ceii_boston_2028_na.pdf" TargetMode="External"/><Relationship Id="rId254" Type="http://schemas.openxmlformats.org/officeDocument/2006/relationships/hyperlink" Target="https://www.iso-ne.com/static-assets/documents/2020/09/revised_sema_ri_2029_needs_assessment_update_project_status_update_v2_rev1_clean.pdf" TargetMode="External"/><Relationship Id="rId28" Type="http://schemas.openxmlformats.org/officeDocument/2006/relationships/hyperlink" Target="https://www.iso-ne.com/system-planning/system-forecasting/load-forecast/" TargetMode="External"/><Relationship Id="rId49" Type="http://schemas.openxmlformats.org/officeDocument/2006/relationships/hyperlink" Target="https://www.iso-ne.com/static-assets/documents/regulatory/ferc/orders/2013/may/er13_193_er13_196_5_17_13_order_on_order_1000_compliance_filings.pdf" TargetMode="External"/><Relationship Id="rId114" Type="http://schemas.openxmlformats.org/officeDocument/2006/relationships/hyperlink" Target="https://www.iso-ne.com/about/key-stats/maps-and-diagrams" TargetMode="External"/><Relationship Id="rId275" Type="http://schemas.openxmlformats.org/officeDocument/2006/relationships/hyperlink" Target="https://smd.iso-ne.com/operations-services/ceii/pac/2021/04/final_ceii_nh_2029_ss.pdf" TargetMode="External"/><Relationship Id="rId296" Type="http://schemas.openxmlformats.org/officeDocument/2006/relationships/hyperlink" Target="https://www.iso-ne.com/system-planning/system-plans-studies/rsp/" TargetMode="External"/><Relationship Id="rId300" Type="http://schemas.openxmlformats.org/officeDocument/2006/relationships/hyperlink" Target="https://www.iso-ne.com/participate/rules-procedures/planning-procedures" TargetMode="External"/><Relationship Id="rId60" Type="http://schemas.openxmlformats.org/officeDocument/2006/relationships/hyperlink" Target="https://www.iso-ne.com/system-planning/system-plans-studies/economic-studies/" TargetMode="External"/><Relationship Id="rId81" Type="http://schemas.openxmlformats.org/officeDocument/2006/relationships/hyperlink" Target="https://www.iso-ne.com/participate/rules-procedures/tariff/" TargetMode="External"/><Relationship Id="rId135" Type="http://schemas.openxmlformats.org/officeDocument/2006/relationships/hyperlink" Target="https://www.iso-ne.com/markets-operations/markets/forward-capacity-market/fcm-participation-guide/installed-capacity-requirement" TargetMode="External"/><Relationship Id="rId156" Type="http://schemas.openxmlformats.org/officeDocument/2006/relationships/hyperlink" Target="https://www.iso-ne.com/static-assets/documents/rules_proceds/operating/isone/op19/op19_rto_final.pdf" TargetMode="External"/><Relationship Id="rId177" Type="http://schemas.openxmlformats.org/officeDocument/2006/relationships/hyperlink" Target="https://www.iso-ne.com/system-planning/interconnection-service/interconnection-request-queue/" TargetMode="External"/><Relationship Id="rId198" Type="http://schemas.openxmlformats.org/officeDocument/2006/relationships/hyperlink" Target="https://www.iso-ne.com/committees/planning/planning-advisory" TargetMode="External"/><Relationship Id="rId321" Type="http://schemas.openxmlformats.org/officeDocument/2006/relationships/hyperlink" Target="https://www.epa.gov/clean-air-act-overview" TargetMode="External"/><Relationship Id="rId342" Type="http://schemas.openxmlformats.org/officeDocument/2006/relationships/hyperlink" Target="https://nescoe.com/resource-center/2020_annual_report/" TargetMode="External"/><Relationship Id="rId202" Type="http://schemas.openxmlformats.org/officeDocument/2006/relationships/hyperlink" Target="https://smd.iso-ne.com/operations-services/ceii/pac/2019/10/ceii_final_boston_2028_na_update.pdf" TargetMode="External"/><Relationship Id="rId223" Type="http://schemas.openxmlformats.org/officeDocument/2006/relationships/hyperlink" Target="https://www.iso-ne.com/static-assets/documents/2017/06/2027_wcma_needs_assessment_study_initiation_pac_notice.pdf" TargetMode="External"/><Relationship Id="rId244" Type="http://schemas.openxmlformats.org/officeDocument/2006/relationships/hyperlink" Target="https://smd.iso-ne.com/operations-services/ceii/pac/2016/12/a3_sema_ri_2026_preliminary_preferred_solutions.pdf" TargetMode="External"/><Relationship Id="rId18" Type="http://schemas.openxmlformats.org/officeDocument/2006/relationships/image" Target="media/image4.png"/><Relationship Id="rId39" Type="http://schemas.openxmlformats.org/officeDocument/2006/relationships/hyperlink" Target="https://www.climate.gov/news-features/understanding-climate/us-has-cold-february-warm-winter" TargetMode="External"/><Relationship Id="rId265" Type="http://schemas.openxmlformats.org/officeDocument/2006/relationships/hyperlink" Target="https://www.iso-ne.com/static-assets/documents/2020/09/2030_lower_maine_needs_assessment_study_initiation_pac_notice.pdf" TargetMode="External"/><Relationship Id="rId286" Type="http://schemas.openxmlformats.org/officeDocument/2006/relationships/hyperlink" Target="https://www.iso-ne.com/static-assets/documents/2020/11/a6_transmission_planning_for_the_clean_energy_transition_updated_assumptions_and_pilot_study_proposal.pdf" TargetMode="External"/><Relationship Id="rId50" Type="http://schemas.openxmlformats.org/officeDocument/2006/relationships/hyperlink" Target="https://www.iso-ne.com/participate/applications-status-changes/qtps-application-annual-certification" TargetMode="External"/><Relationship Id="rId104" Type="http://schemas.openxmlformats.org/officeDocument/2006/relationships/hyperlink" Target="https://www.iso-ne.com/about/regional-electricity-outlook/" TargetMode="External"/><Relationship Id="rId125" Type="http://schemas.openxmlformats.org/officeDocument/2006/relationships/hyperlink" Target="https://www.iso-ne.com/committees/planning/energy-efficiency-forecast" TargetMode="External"/><Relationship Id="rId146" Type="http://schemas.openxmlformats.org/officeDocument/2006/relationships/hyperlink" Target="https://www.iso-ne.com/isoexpress/web/reports/auctions/-/tree/fca-results" TargetMode="External"/><Relationship Id="rId167" Type="http://schemas.openxmlformats.org/officeDocument/2006/relationships/hyperlink" Target="https://www.iso-ne.com/participate/applications-status-changes/interconnection-process-guide/" TargetMode="External"/><Relationship Id="rId188" Type="http://schemas.openxmlformats.org/officeDocument/2006/relationships/hyperlink" Target="https://www.iso-ne.com/static-assets/documents/2020/06/2019_nescoe_economic_study_final.docx" TargetMode="External"/><Relationship Id="rId311" Type="http://schemas.openxmlformats.org/officeDocument/2006/relationships/hyperlink" Target="https://www.iso-ne.com/system-planning/interconnection-service/interconnection-request-queue/" TargetMode="External"/><Relationship Id="rId332" Type="http://schemas.openxmlformats.org/officeDocument/2006/relationships/hyperlink" Target="https://emp.lbl.gov/sites/default/files/rps_demand_projections_feb_2021.xlsx" TargetMode="External"/><Relationship Id="rId353" Type="http://schemas.openxmlformats.org/officeDocument/2006/relationships/hyperlink" Target="https://www.velco.com/our-work/planning/long-range-plan" TargetMode="External"/><Relationship Id="rId71" Type="http://schemas.openxmlformats.org/officeDocument/2006/relationships/hyperlink" Target="http://nescoe.com/resource-center/vision-stmt-oct2020/" TargetMode="External"/><Relationship Id="rId92" Type="http://schemas.openxmlformats.org/officeDocument/2006/relationships/hyperlink" Target="https://www.iso-ne.com/system-planning/transmission-planning/transmission-planning-guides/" TargetMode="External"/><Relationship Id="rId213" Type="http://schemas.openxmlformats.org/officeDocument/2006/relationships/hyperlink" Target="file:///\\Iso-ne.com\shares\publicaffairs\Corporate%20Communications%20&amp;amp;%20Media\Web%20Content%20Management\Trace\2021%20Projects\Content%20-%20RSP\RSP21_%20Page%2065-to-End_clean.docx" TargetMode="External"/><Relationship Id="rId234" Type="http://schemas.openxmlformats.org/officeDocument/2006/relationships/hyperlink" Target="https://www.iso-ne.com/participate/rules-procedures/tariff/oatt" TargetMode="External"/><Relationship Id="rId2" Type="http://schemas.openxmlformats.org/officeDocument/2006/relationships/numbering" Target="numbering.xml"/><Relationship Id="rId29" Type="http://schemas.openxmlformats.org/officeDocument/2006/relationships/hyperlink" Target="https://www.iso-ne.com/markets-operations/markets/forward-capacity-market/" TargetMode="External"/><Relationship Id="rId255" Type="http://schemas.openxmlformats.org/officeDocument/2006/relationships/hyperlink" Target="https://smd.iso-ne.com/operations-services/ceii/pac/2020/11/revised_sema_ri_2029_needs_assessment_update_report_rev1_clean.pdf" TargetMode="External"/><Relationship Id="rId276" Type="http://schemas.openxmlformats.org/officeDocument/2006/relationships/hyperlink" Target="https://www.iso-ne.com/system-planning/key-study-areas/eastern-connecticut" TargetMode="External"/><Relationship Id="rId297" Type="http://schemas.openxmlformats.org/officeDocument/2006/relationships/hyperlink" Target="https://www.iso-ne.com/system-planning/system-plans-studies/rsp/" TargetMode="External"/><Relationship Id="rId40" Type="http://schemas.openxmlformats.org/officeDocument/2006/relationships/hyperlink" Target="https://smd.iso-ne.com/operations-services/ceii/pac/2021/03/a7_cape_cod_resource_integration_study_ceii.pdf" TargetMode="External"/><Relationship Id="rId115" Type="http://schemas.openxmlformats.org/officeDocument/2006/relationships/hyperlink" Target="https://www.iso-ne.com/system-planning/system-forecasting/" TargetMode="External"/><Relationship Id="rId136" Type="http://schemas.openxmlformats.org/officeDocument/2006/relationships/hyperlink" Target="https://www.iso-ne.com/markets-operations/markets/forward-capacity-market/fcm-participation-guide/capacity-zone-development" TargetMode="External"/><Relationship Id="rId157" Type="http://schemas.openxmlformats.org/officeDocument/2006/relationships/hyperlink" Target="https://www.iso-ne.com/static-assets/documents/2021/03/a8_fca_16_transmission_transfer_capability_and_capacity_zonal_development.pdf" TargetMode="External"/><Relationship Id="rId178" Type="http://schemas.openxmlformats.org/officeDocument/2006/relationships/hyperlink" Target="https://portal.midatlanticocean.org/visualize/" TargetMode="External"/><Relationship Id="rId301" Type="http://schemas.openxmlformats.org/officeDocument/2006/relationships/hyperlink" Target="https://www.iso-ne.com/static-assets/documents/2018/02/tca_application_status.pdf" TargetMode="External"/><Relationship Id="rId322" Type="http://schemas.openxmlformats.org/officeDocument/2006/relationships/image" Target="media/image27.png"/><Relationship Id="rId343" Type="http://schemas.openxmlformats.org/officeDocument/2006/relationships/hyperlink" Target="http://newenglandenergyvision.com" TargetMode="External"/><Relationship Id="rId61" Type="http://schemas.openxmlformats.org/officeDocument/2006/relationships/hyperlink" Target="https://www.iso-ne.com/committees/key-projects/new-englands-future-grid-initiative-key-project/" TargetMode="External"/><Relationship Id="rId82" Type="http://schemas.openxmlformats.org/officeDocument/2006/relationships/hyperlink" Target="https://www.iso-ne.com/participate/rules-procedures/tariff/oatt" TargetMode="External"/><Relationship Id="rId199" Type="http://schemas.openxmlformats.org/officeDocument/2006/relationships/hyperlink" Target="https://www.iso-ne.com/system-planning/transmission-planning/transmission-planning-guides/" TargetMode="External"/><Relationship Id="rId203" Type="http://schemas.openxmlformats.org/officeDocument/2006/relationships/hyperlink" Target="https://www.iso-ne.com/static-assets/documents/2019/10/final_boston_2028_na_addendum.pdf" TargetMode="External"/><Relationship Id="rId19" Type="http://schemas.openxmlformats.org/officeDocument/2006/relationships/hyperlink" Target="https://www.iso-ne.com/system-planning/system-plans-studies/rsp" TargetMode="External"/><Relationship Id="rId224" Type="http://schemas.openxmlformats.org/officeDocument/2006/relationships/hyperlink" Target="https://www.iso-ne.com/static-assets/documents/2018/09/a11_wcma_2028_needs_assessment_scope_of_work_rev1.pdf" TargetMode="External"/><Relationship Id="rId245" Type="http://schemas.openxmlformats.org/officeDocument/2006/relationships/hyperlink" Target="https://smd.iso-ne.com/operations-services/ceii/pac/2017/02/final_sema_ri_2026_solutions_study_report_rev1.pdf" TargetMode="External"/><Relationship Id="rId266" Type="http://schemas.openxmlformats.org/officeDocument/2006/relationships/hyperlink" Target="https://www.iso-ne.com/system-planning/system-plans-studies/celt/" TargetMode="External"/><Relationship Id="rId287" Type="http://schemas.openxmlformats.org/officeDocument/2006/relationships/hyperlink" Target="https://www.iso-ne.com/static-assets/documents/2020/12/a4_transmission_planning_for_the_clean_energy_transition_system_conditions_and_dispatch_assumptions.pdf" TargetMode="External"/><Relationship Id="rId30" Type="http://schemas.openxmlformats.org/officeDocument/2006/relationships/hyperlink" Target="https://www.iso-ne.com/system-planning/resource-planning/installed-capacity-requirements/" TargetMode="External"/><Relationship Id="rId105" Type="http://schemas.openxmlformats.org/officeDocument/2006/relationships/hyperlink" Target="https://www.iso-ne.com/markets-operations/market-performance/performance-reports" TargetMode="External"/><Relationship Id="rId126" Type="http://schemas.openxmlformats.org/officeDocument/2006/relationships/image" Target="media/image11.emf"/><Relationship Id="rId147" Type="http://schemas.openxmlformats.org/officeDocument/2006/relationships/hyperlink" Target="https://www.iso-ne.com/committees/participants/participants-committee" TargetMode="External"/><Relationship Id="rId168" Type="http://schemas.openxmlformats.org/officeDocument/2006/relationships/hyperlink" Target="https://www.iso-ne.com/system-planning/interconnection-service/cluster-interconnection-studies/" TargetMode="External"/><Relationship Id="rId312" Type="http://schemas.openxmlformats.org/officeDocument/2006/relationships/hyperlink" Target="https://www.iso-ne.com/static-assets/documents/2019/10/rsp19_final.docx" TargetMode="External"/><Relationship Id="rId333" Type="http://schemas.openxmlformats.org/officeDocument/2006/relationships/chart" Target="charts/chart2.xml"/><Relationship Id="rId354" Type="http://schemas.openxmlformats.org/officeDocument/2006/relationships/header" Target="header5.xml"/><Relationship Id="rId51" Type="http://schemas.openxmlformats.org/officeDocument/2006/relationships/hyperlink" Target="https://www.iso-ne.com/static-assets/documents/2021/04/a9_boston_2028_rfp_and_order_1000_lessons_learned_update.pdf" TargetMode="External"/><Relationship Id="rId72" Type="http://schemas.openxmlformats.org/officeDocument/2006/relationships/hyperlink" Target="https://www.iso-ne.com/static-assets/documents/2021/02/fca_15_results_filing_2-26-2021.pdf" TargetMode="External"/><Relationship Id="rId93" Type="http://schemas.openxmlformats.org/officeDocument/2006/relationships/image" Target="media/image8.emf"/><Relationship Id="rId189" Type="http://schemas.openxmlformats.org/officeDocument/2006/relationships/hyperlink" Target="https://www.iso-ne.com/static-assets/documents/2019/04/anbaric_2019_economic_study_request.pdf" TargetMode="External"/><Relationship Id="rId3" Type="http://schemas.openxmlformats.org/officeDocument/2006/relationships/styles" Target="styles.xml"/><Relationship Id="rId214" Type="http://schemas.openxmlformats.org/officeDocument/2006/relationships/image" Target="media/image23.emf"/><Relationship Id="rId235" Type="http://schemas.openxmlformats.org/officeDocument/2006/relationships/hyperlink" Target="https://www.iso-ne.com/static-assets/documents/2019/09/bos_2028_sol_study_pref_soln_presentation_clean_rev1.pdf" TargetMode="External"/><Relationship Id="rId256" Type="http://schemas.openxmlformats.org/officeDocument/2006/relationships/hyperlink" Target="https://smd.iso-ne.com/operations-services/ceii/pac/2017/08/ceii_final_sema_ri_min_load_needs_assessment_report.pdf" TargetMode="External"/><Relationship Id="rId277" Type="http://schemas.openxmlformats.org/officeDocument/2006/relationships/hyperlink" Target="https://smd.iso-ne.com/planning/ceii/reports/2010s/final_eastern_ct_2022_needs_assessment_report.pdf" TargetMode="External"/><Relationship Id="rId298" Type="http://schemas.openxmlformats.org/officeDocument/2006/relationships/hyperlink" Target="https://www.iso-ne.com/static-assets/documents/2020/03/transmission_planning_process_guide_3_13_20.pdf" TargetMode="External"/><Relationship Id="rId116" Type="http://schemas.openxmlformats.org/officeDocument/2006/relationships/image" Target="media/image9.png"/><Relationship Id="rId137" Type="http://schemas.openxmlformats.org/officeDocument/2006/relationships/hyperlink" Target="https://www.iso-ne.com/committees/reliability/power-supply-planning" TargetMode="External"/><Relationship Id="rId158" Type="http://schemas.openxmlformats.org/officeDocument/2006/relationships/hyperlink" Target="http://www.iso-ne.com/markets-operations/markets/reserves" TargetMode="External"/><Relationship Id="rId302" Type="http://schemas.openxmlformats.org/officeDocument/2006/relationships/image" Target="media/image24.emf"/><Relationship Id="rId323" Type="http://schemas.openxmlformats.org/officeDocument/2006/relationships/hyperlink" Target="https://www.mjbradley.com/content/client-resources" TargetMode="External"/><Relationship Id="rId344" Type="http://schemas.openxmlformats.org/officeDocument/2006/relationships/hyperlink" Target="http://www.iso-ne.com/committees/consumer-liaison" TargetMode="External"/><Relationship Id="rId20" Type="http://schemas.openxmlformats.org/officeDocument/2006/relationships/hyperlink" Target="https://www.iso-ne.com/static-assets/documents/2020/04/a8-rsp-improvement-suggestions-2020-april-pac-v4.pdf" TargetMode="External"/><Relationship Id="rId41" Type="http://schemas.openxmlformats.org/officeDocument/2006/relationships/hyperlink" Target="https://www.iso-ne.com/committees/key-projects/order-no-2222-key-project" TargetMode="External"/><Relationship Id="rId62" Type="http://schemas.openxmlformats.org/officeDocument/2006/relationships/hyperlink" Target="https://www.iso-ne.com/static-assets/documents/2021/06/a9_transmission_planning_for_the_clean_energy_transition_pilot_study_preliminary_results.pdf" TargetMode="External"/><Relationship Id="rId83" Type="http://schemas.openxmlformats.org/officeDocument/2006/relationships/hyperlink" Target="https://www.iso-ne.com/participate/support/glossary-acronyms/" TargetMode="External"/><Relationship Id="rId179" Type="http://schemas.openxmlformats.org/officeDocument/2006/relationships/hyperlink" Target="https://www.iso-ne.com/static-assets/documents/2018/03/final_maine_resource_integration_study_report_non_ceii.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so-ne.com/system-planning/system-forecasting/load-forecast" TargetMode="External"/><Relationship Id="rId21" Type="http://schemas.openxmlformats.org/officeDocument/2006/relationships/hyperlink" Target="https://www.iso-ne.com/static-assets/documents/2020/09/ld2021_methodology.pdf" TargetMode="External"/><Relationship Id="rId42" Type="http://schemas.openxmlformats.org/officeDocument/2006/relationships/hyperlink" Target="https://www.iso-ne.com/static-assets/documents/2021/04/2021_awp_update_05_06_21_pc.pdf" TargetMode="External"/><Relationship Id="rId47" Type="http://schemas.openxmlformats.org/officeDocument/2006/relationships/hyperlink" Target="https://www.iso-ne.com/static-assets/documents/rules_proceds/operating/isone/op22/op22_rto_final.pdf" TargetMode="External"/><Relationship Id="rId63" Type="http://schemas.openxmlformats.org/officeDocument/2006/relationships/hyperlink" Target="https://www.iso-ne.com/static-assets/documents/2017/06/a3_public_policy_transmission_upgrade_process_june_2017.pdf" TargetMode="External"/><Relationship Id="rId68" Type="http://schemas.openxmlformats.org/officeDocument/2006/relationships/hyperlink" Target="https://www.iso-ne.com/static-assets/documents/2021/02/wcma_solutions_study_notice_of_initiation.pdf" TargetMode="External"/><Relationship Id="rId84" Type="http://schemas.openxmlformats.org/officeDocument/2006/relationships/hyperlink" Target="https://www.epa.gov/ghgemissions/inventory-us-greenhouse-gas-emissions-and-sinks" TargetMode="External"/><Relationship Id="rId89" Type="http://schemas.openxmlformats.org/officeDocument/2006/relationships/hyperlink" Target="https://www.iso-ne.com/committees/planning/environmental-advisory/" TargetMode="External"/><Relationship Id="rId7" Type="http://schemas.openxmlformats.org/officeDocument/2006/relationships/hyperlink" Target="https://www.iso-ne.com/static-assets/documents/regulatory/tariff/sect_2/sch22/sch_22_lgip.pdf" TargetMode="External"/><Relationship Id="rId71" Type="http://schemas.openxmlformats.org/officeDocument/2006/relationships/hyperlink" Target="https://smd.iso-ne.com/committees/comm_wkgrps/prtcpnts_comm/pac/ceii/mtrls/2014/jul152014/a5_sema_ri_area_needs_2_n_1_1_rev1.pdf" TargetMode="External"/><Relationship Id="rId92" Type="http://schemas.openxmlformats.org/officeDocument/2006/relationships/hyperlink" Target="https://www.transportationandclimate.org/" TargetMode="External"/><Relationship Id="rId2" Type="http://schemas.openxmlformats.org/officeDocument/2006/relationships/hyperlink" Target="https://energycommerce.house.gov/sites/democrats.energycommerce.house.gov/files/documents/Witness%20Testimony_Robb_OI_2021.03.24.pdf" TargetMode="External"/><Relationship Id="rId16" Type="http://schemas.openxmlformats.org/officeDocument/2006/relationships/hyperlink" Target="https://www.iso-ne.com/system-planning/key-study-areas/new-england-asset-management" TargetMode="External"/><Relationship Id="rId29" Type="http://schemas.openxmlformats.org/officeDocument/2006/relationships/hyperlink" Target="https://www.iso-ne.com/static-assets/documents/2021/04/final_2021_pv_forecast.pdf" TargetMode="External"/><Relationship Id="rId11" Type="http://schemas.openxmlformats.org/officeDocument/2006/relationships/hyperlink" Target="https://www.iso-ne.com/static-assets/documents/2020/11/a6_transmission_planning_for_the_clean_energy_transition_updated_assumptions_and_pilot_study_proposal.pdf" TargetMode="External"/><Relationship Id="rId24" Type="http://schemas.openxmlformats.org/officeDocument/2006/relationships/hyperlink" Target="https://www.iso-ne.com/static-assets/documents/2021/04/forecast_data_2021.xlsx" TargetMode="External"/><Relationship Id="rId32" Type="http://schemas.openxmlformats.org/officeDocument/2006/relationships/hyperlink" Target="https://www.iso-ne.com/static-assets/documents/2021/06/a6_net_icr_representative_future_net_icr_and_opcap_analysis_for_2021_rsp.pdf" TargetMode="External"/><Relationship Id="rId37" Type="http://schemas.openxmlformats.org/officeDocument/2006/relationships/hyperlink" Target="https://www.iso-ne.com/static-assets/documents/2021/01/er21-371-000.pdf" TargetMode="External"/><Relationship Id="rId40" Type="http://schemas.openxmlformats.org/officeDocument/2006/relationships/hyperlink" Target="https://www.northeastgas.org/pdf/system_enhance1220.pdf" TargetMode="External"/><Relationship Id="rId45" Type="http://schemas.openxmlformats.org/officeDocument/2006/relationships/hyperlink" Target="http://www.ieee-pes.org/nari-hingorani-facts-award" TargetMode="External"/><Relationship Id="rId53" Type="http://schemas.openxmlformats.org/officeDocument/2006/relationships/hyperlink" Target="https://eipconline.com/s/Press-Release-EIPC-Completes-State-of-Grid-Report-FINAL-10-4-18.pdf" TargetMode="External"/><Relationship Id="rId58" Type="http://schemas.openxmlformats.org/officeDocument/2006/relationships/hyperlink" Target="https://www.iso-ne.com/system-planning/system-plans-studies/rsp/?file-type=XLS&amp;file-type=XLSX&amp;file-type=CSV&amp;file-type=xls&amp;file-type=xlsx&amp;file-type=csv" TargetMode="External"/><Relationship Id="rId66" Type="http://schemas.openxmlformats.org/officeDocument/2006/relationships/hyperlink" Target="https://smd.iso-ne.com/operations-services/ceii/pac/2020/07/a2_glenbrook_statcom_asset_condition_replecement.pdf." TargetMode="External"/><Relationship Id="rId74" Type="http://schemas.openxmlformats.org/officeDocument/2006/relationships/hyperlink" Target="https://smd.iso-ne.com/operations-services/ceii/pac/2021/04/a4_sema_ri_2030_minimum_load_needs_assessment_scope_of_work.pdf" TargetMode="External"/><Relationship Id="rId79" Type="http://schemas.openxmlformats.org/officeDocument/2006/relationships/hyperlink" Target="https://www.iso-ne.com/markets-operations/iso-express" TargetMode="External"/><Relationship Id="rId87" Type="http://schemas.openxmlformats.org/officeDocument/2006/relationships/hyperlink" Target="https://www.ncsl.org/research/energy/greenhouse-gas-emissions-reduction-targets-and-market-based-policies.aspx" TargetMode="External"/><Relationship Id="rId102" Type="http://schemas.openxmlformats.org/officeDocument/2006/relationships/hyperlink" Target="http://www.dpuc.state.ct.us/DEEPEnergy.nsf/$EnergyView?OpenForm&amp;Start=44.6&amp;Count=30&amp;Expand=47&amp;Seq=8" TargetMode="External"/><Relationship Id="rId5" Type="http://schemas.openxmlformats.org/officeDocument/2006/relationships/hyperlink" Target="https://www.iso-ne.com/committees/key-projects/energy-security-improvements" TargetMode="External"/><Relationship Id="rId61" Type="http://schemas.openxmlformats.org/officeDocument/2006/relationships/hyperlink" Target="https://www.iso-ne.com/static-assets/documents/2017/05/nescoe_submission_public_policy_transmission_upgrades.pdf" TargetMode="External"/><Relationship Id="rId82" Type="http://schemas.openxmlformats.org/officeDocument/2006/relationships/hyperlink" Target="https://www.epa.gov/criteria-air-pollutants/naaqs-table" TargetMode="External"/><Relationship Id="rId90" Type="http://schemas.openxmlformats.org/officeDocument/2006/relationships/hyperlink" Target="https://www.rggi.org/sites/default/files/Uploads/Press-Releases/TABA_Announcement_2021-03-15.pdf" TargetMode="External"/><Relationship Id="rId95" Type="http://schemas.openxmlformats.org/officeDocument/2006/relationships/hyperlink" Target="https://www.mass.gov/guides/clean-energy-standard-310-cmr-775" TargetMode="External"/><Relationship Id="rId19" Type="http://schemas.openxmlformats.org/officeDocument/2006/relationships/hyperlink" Target="http://www.nmisa.com/documents-2/" TargetMode="External"/><Relationship Id="rId14" Type="http://schemas.openxmlformats.org/officeDocument/2006/relationships/hyperlink" Target="https://www.iso-ne.com/static-assets/documents/2021/02/20210218_envtl_update.pdf" TargetMode="External"/><Relationship Id="rId22" Type="http://schemas.openxmlformats.org/officeDocument/2006/relationships/hyperlink" Target="https://www.iso-ne.com/system-planning/system-forecasting/load-forecast/" TargetMode="External"/><Relationship Id="rId27" Type="http://schemas.openxmlformats.org/officeDocument/2006/relationships/hyperlink" Target="https://www.iso-ne.com/committees/reliability/load-forecast/" TargetMode="External"/><Relationship Id="rId30" Type="http://schemas.openxmlformats.org/officeDocument/2006/relationships/hyperlink" Target="http://www.iso-ne.com/static-assets/documents/rules_proceds/operating/isone/op14/op14_rto_final.pdf" TargetMode="External"/><Relationship Id="rId35" Type="http://schemas.openxmlformats.org/officeDocument/2006/relationships/hyperlink" Target="https://www.iso-ne.com/static-assets/documents/2021/03/a8_fca_16_transmission_transfer_capability_and_capacity_zonal_development.pdf" TargetMode="External"/><Relationship Id="rId43" Type="http://schemas.openxmlformats.org/officeDocument/2006/relationships/hyperlink" Target="https://www.iso-ne.com/static-assets/documents/2021/04/april-2021-coo-report.pdf" TargetMode="External"/><Relationship Id="rId48" Type="http://schemas.openxmlformats.org/officeDocument/2006/relationships/hyperlink" Target="https://www.iso-ne.com/system-planning/system-plans-studies/economic-studies/" TargetMode="External"/><Relationship Id="rId56" Type="http://schemas.openxmlformats.org/officeDocument/2006/relationships/hyperlink" Target="https://www.iso-ne.com/ipsac" TargetMode="External"/><Relationship Id="rId64" Type="http://schemas.openxmlformats.org/officeDocument/2006/relationships/hyperlink" Target="https://www.iso-ne.com/static-assets/documents/2018/04/a5_updating_needs_assessment_to_reflect_latest_forecasts.pdf" TargetMode="External"/><Relationship Id="rId69" Type="http://schemas.openxmlformats.org/officeDocument/2006/relationships/hyperlink" Target="https://smd.iso-ne.com/committees/comm_wkgrps/prtcpnts_comm/pac/ceii/mtrls/2012/oct172012/sema_ri.pdf" TargetMode="External"/><Relationship Id="rId77" Type="http://schemas.openxmlformats.org/officeDocument/2006/relationships/hyperlink" Target="https://www.iso-ne.com/static-assets/documents/2021/02/a6_dynamic_reactive_device_technologies.pdf" TargetMode="External"/><Relationship Id="rId100" Type="http://schemas.openxmlformats.org/officeDocument/2006/relationships/hyperlink" Target="http://www.dpuc.state.ct.us/DEEPEnergy.nsf/$EnergyView?OpenForm&amp;Start=1&amp;Count=30&amp;Expand=18&amp;Seq=4" TargetMode="External"/><Relationship Id="rId105" Type="http://schemas.openxmlformats.org/officeDocument/2006/relationships/hyperlink" Target="https://www.nh.gov/osi/special-projects/offshore-renewable.htm" TargetMode="External"/><Relationship Id="rId8" Type="http://schemas.openxmlformats.org/officeDocument/2006/relationships/hyperlink" Target="https://www.iso-ne.com/static-assets/documents/regulatory/tariff/sect_2/sch23/sch_23_sgip.pdf" TargetMode="External"/><Relationship Id="rId51" Type="http://schemas.openxmlformats.org/officeDocument/2006/relationships/hyperlink" Target="https://www.iso-ne.com/static-assets/documents/2021/06/a7_2021_economic_study_future_grid_reliability_study_phase_1_overview_of_assumptions_part_3_rev1_redline.pdf" TargetMode="External"/><Relationship Id="rId72" Type="http://schemas.openxmlformats.org/officeDocument/2006/relationships/hyperlink" Target="https://www.iso-ne.com/static-assets/documents/2019/03/a6_updating_needs_assessment_to_reflect_latest_assumptions.pdf" TargetMode="External"/><Relationship Id="rId80" Type="http://schemas.openxmlformats.org/officeDocument/2006/relationships/hyperlink" Target="https://www.eia.gov/electricity/data/water/" TargetMode="External"/><Relationship Id="rId85" Type="http://schemas.openxmlformats.org/officeDocument/2006/relationships/hyperlink" Target="https://www.maine.gov/governor/mills/sites/maine.gov.governor.mills/files/inline-files/EO%20Carbon%20Final%201.pdf" TargetMode="External"/><Relationship Id="rId93" Type="http://schemas.openxmlformats.org/officeDocument/2006/relationships/hyperlink" Target="https://www.transportationandclimate.org/sites/default/files/TCI-P-Model-Rule-Summary.pdf" TargetMode="External"/><Relationship Id="rId98" Type="http://schemas.openxmlformats.org/officeDocument/2006/relationships/hyperlink" Target="https://www.eia.gov/analysis/studies/powerplants/capitalcost/pdf/capital_cost_AEO2020.pdf" TargetMode="External"/><Relationship Id="rId3" Type="http://schemas.openxmlformats.org/officeDocument/2006/relationships/hyperlink" Target="https://www.iso-ne.com/static-assets/documents/2019/12/boston_2028_rfp_announcement.pdf" TargetMode="External"/><Relationship Id="rId12" Type="http://schemas.openxmlformats.org/officeDocument/2006/relationships/hyperlink" Target="https://www.iso-ne.com/static-assets/documents/2020/12/a4_transmission_planning_for_the_clean_energy_transition_system_conditions_and_dispatch_assumptions.pdf" TargetMode="External"/><Relationship Id="rId17" Type="http://schemas.openxmlformats.org/officeDocument/2006/relationships/hyperlink" Target="https://www.iso-ne.com/system-planning/planning-models-and-data/ferc-form-no-715-reports/" TargetMode="External"/><Relationship Id="rId25" Type="http://schemas.openxmlformats.org/officeDocument/2006/relationships/hyperlink" Target="https://www.iso-ne.com/static-assets/documents/2021/04/model_details_2021.xlsx" TargetMode="External"/><Relationship Id="rId33" Type="http://schemas.openxmlformats.org/officeDocument/2006/relationships/hyperlink" Target="http://www.iso-ne.com/celt" TargetMode="External"/><Relationship Id="rId38" Type="http://schemas.openxmlformats.org/officeDocument/2006/relationships/hyperlink" Target="https://www.iso-ne.com/isoexpress/web/reports/operations/-/tree/single-src-cont" TargetMode="External"/><Relationship Id="rId46" Type="http://schemas.openxmlformats.org/officeDocument/2006/relationships/hyperlink" Target="https://www.iso-ne.com/committees/key-projects/new-englands-future-grid-initiative-key-project" TargetMode="External"/><Relationship Id="rId59" Type="http://schemas.openxmlformats.org/officeDocument/2006/relationships/hyperlink" Target="file:///C:\Users\csedlacek\Documents\BACKUP%20-%20needed\RSP\RSP21\PAC%20Mtg%202021-08-18\estimates%20of%20the%20hourly%20flows%20and%20limits%20on%20New%20England's%20thermal%20interfaces" TargetMode="External"/><Relationship Id="rId67" Type="http://schemas.openxmlformats.org/officeDocument/2006/relationships/hyperlink" Target="https://www.iso-ne.com/static-assets/documents/2018/04/a5_updating_needs_assessment_to_reflect_latest_forecasts.pdf" TargetMode="External"/><Relationship Id="rId103" Type="http://schemas.openxmlformats.org/officeDocument/2006/relationships/hyperlink" Target="http://legislature.maine.gov/bills/display_ps.asp?PID=1456&amp;snum=129&amp;paper=SP0457" TargetMode="External"/><Relationship Id="rId20" Type="http://schemas.openxmlformats.org/officeDocument/2006/relationships/hyperlink" Target="https://www.iso-ne.com/static-assets/documents/2021/05/forecast_21_itmzd.xlsx" TargetMode="External"/><Relationship Id="rId41" Type="http://schemas.openxmlformats.org/officeDocument/2006/relationships/hyperlink" Target="https://energycommerce.house.gov/sites/democrats.energycommerce.house.gov/files/documents/Witness%20Testimony_Robb_OI_2021.03.24.pdf" TargetMode="External"/><Relationship Id="rId54" Type="http://schemas.openxmlformats.org/officeDocument/2006/relationships/hyperlink" Target="https://www.eipconline.com/" TargetMode="External"/><Relationship Id="rId62" Type="http://schemas.openxmlformats.org/officeDocument/2006/relationships/hyperlink" Target="https://www.iso-ne.com/static-assets/documents/2020/06/a3_public_policy_transmission_upgrade_process_june_2020.pdf" TargetMode="External"/><Relationship Id="rId70" Type="http://schemas.openxmlformats.org/officeDocument/2006/relationships/hyperlink" Target="https://smd.iso-ne.com/committees/comm_wkgrps/prtcpnts_comm/pac/ceii/mtrls/2014/feb192014/a8_sema_ri_needs_assessment.pdf" TargetMode="External"/><Relationship Id="rId75" Type="http://schemas.openxmlformats.org/officeDocument/2006/relationships/hyperlink" Target="https://smd.iso-ne.com/operations-services/ceii/pac/2018/03/final_ceii_2027_ect_needs_assessment_sow_clean.pdf" TargetMode="External"/><Relationship Id="rId83" Type="http://schemas.openxmlformats.org/officeDocument/2006/relationships/hyperlink" Target="https://www.iso-ne.com/system-planning/system-plans-studies/emissions/" TargetMode="External"/><Relationship Id="rId88" Type="http://schemas.openxmlformats.org/officeDocument/2006/relationships/hyperlink" Target="https://www.rggi.org/program-overview-and-design/elements" TargetMode="External"/><Relationship Id="rId91" Type="http://schemas.openxmlformats.org/officeDocument/2006/relationships/hyperlink" Target="https://www.iso-ne.com/static-assets/documents/2021/06/2020-annual-markets-report.pdf" TargetMode="External"/><Relationship Id="rId96" Type="http://schemas.openxmlformats.org/officeDocument/2006/relationships/hyperlink" Target="https://www.eia.gov/outlooks/aeo/pdf/electricity_generation.pdf" TargetMode="External"/><Relationship Id="rId1" Type="http://schemas.openxmlformats.org/officeDocument/2006/relationships/hyperlink" Target="https://www.iso-ne.com/about/regional-electricity-outlook" TargetMode="External"/><Relationship Id="rId6" Type="http://schemas.openxmlformats.org/officeDocument/2006/relationships/hyperlink" Target="https://www.iso-ne.com/static-assets/documents/2020/10/er20-1567-000_order_rejecting_esi_10-30-2020.pdf" TargetMode="External"/><Relationship Id="rId15" Type="http://schemas.openxmlformats.org/officeDocument/2006/relationships/hyperlink" Target="https://www.iso-ne.com/static-assets/documents/regulatory/tariff/sect_2/oatt/sect_ii.pdf" TargetMode="External"/><Relationship Id="rId23" Type="http://schemas.openxmlformats.org/officeDocument/2006/relationships/hyperlink" Target="https://www.iso-ne.com/static-assets/documents/2021/04/modeling_procedure_2021.pdf" TargetMode="External"/><Relationship Id="rId28" Type="http://schemas.openxmlformats.org/officeDocument/2006/relationships/image" Target="media/image10.wmf"/><Relationship Id="rId36" Type="http://schemas.openxmlformats.org/officeDocument/2006/relationships/hyperlink" Target="https://www.iso-ne.com/static-assets/documents/2021/01/er21-496-000.pdf" TargetMode="External"/><Relationship Id="rId49" Type="http://schemas.openxmlformats.org/officeDocument/2006/relationships/hyperlink" Target="https://www.iso-ne.com/static-assets/documents/2021/04/a8_2021_economic_study_request_assumptions_part_1_rev2_clean.pdf" TargetMode="External"/><Relationship Id="rId57" Type="http://schemas.openxmlformats.org/officeDocument/2006/relationships/hyperlink" Target="https://www.iso-ne.com/static-assets/documents/committees/comm_wkgrps/othr/ipsac/rto_plan_prot/planning_protocol.pdf" TargetMode="External"/><Relationship Id="rId10" Type="http://schemas.openxmlformats.org/officeDocument/2006/relationships/hyperlink" Target="https://www.iso-ne.com/static-assets/documents/regulatory/tariff/sect_2/oatt/sect_ii.pdf" TargetMode="External"/><Relationship Id="rId31" Type="http://schemas.openxmlformats.org/officeDocument/2006/relationships/hyperlink" Target="https://www.iso-ne.com/static-assets/documents/2020/04/final_btm_pv_peak_reduction.pdf" TargetMode="External"/><Relationship Id="rId44" Type="http://schemas.openxmlformats.org/officeDocument/2006/relationships/hyperlink" Target="https://standards.ieee.org/standard/1547-2018.html" TargetMode="External"/><Relationship Id="rId52" Type="http://schemas.openxmlformats.org/officeDocument/2006/relationships/hyperlink" Target="https://eipconline.com/s/EIPC-State-of-the-Eastern-Interconnection-10-3-18.pdf" TargetMode="External"/><Relationship Id="rId60" Type="http://schemas.openxmlformats.org/officeDocument/2006/relationships/hyperlink" Target="https://www.iso-ne.com/static-assets/documents/2020/05/nescoe-ppts-submission_5-1-2020.pdf" TargetMode="External"/><Relationship Id="rId65" Type="http://schemas.openxmlformats.org/officeDocument/2006/relationships/hyperlink" Target="https://www.iso-ne.com/static-assets/documents/2019/03/a6_updating_needs_assessment_to_reflect_latest_assumptions.pdf" TargetMode="External"/><Relationship Id="rId73" Type="http://schemas.openxmlformats.org/officeDocument/2006/relationships/hyperlink" Target="https://smd.iso-ne.com/operations-services/ceii/pac/2021/04/a4_sema_ri_2030_minimum_load_needs_assessment_scope_of_work.pdf" TargetMode="External"/><Relationship Id="rId78" Type="http://schemas.openxmlformats.org/officeDocument/2006/relationships/hyperlink" Target="https://www.iso-ne.com/system-planning/system-plans-studies/rsp/" TargetMode="External"/><Relationship Id="rId81" Type="http://schemas.openxmlformats.org/officeDocument/2006/relationships/hyperlink" Target="http://citeseerx.ist.psu.edu/viewdoc/summary?doi=10.1.1.151.9137" TargetMode="External"/><Relationship Id="rId86" Type="http://schemas.openxmlformats.org/officeDocument/2006/relationships/hyperlink" Target="https://malegislature.gov/Bills/192/S9" TargetMode="External"/><Relationship Id="rId94" Type="http://schemas.openxmlformats.org/officeDocument/2006/relationships/hyperlink" Target="https://www.iso-ne.com/markets-operations/system-forecast-status/estimated-impacts-of-covid-19-on-demand/" TargetMode="External"/><Relationship Id="rId99" Type="http://schemas.openxmlformats.org/officeDocument/2006/relationships/hyperlink" Target="http://www.iso-ne.com/about/government-industry-affairs/materials" TargetMode="External"/><Relationship Id="rId101" Type="http://schemas.openxmlformats.org/officeDocument/2006/relationships/hyperlink" Target="http://www.dpuc.state.ct.us/DEEPEnergy.nsf/$EnergyView?OpenForm&amp;Start=1&amp;Count=30&amp;Expand=17&amp;Seq=5" TargetMode="External"/><Relationship Id="rId4" Type="http://schemas.openxmlformats.org/officeDocument/2006/relationships/hyperlink" Target="https://www.climate.gov/news-features/understanding-climate/extreme-event-attribution-climate-versus-weather-blame-game" TargetMode="External"/><Relationship Id="rId9" Type="http://schemas.openxmlformats.org/officeDocument/2006/relationships/hyperlink" Target="https://www.iso-ne.com/static-assets/documents/2015/02/sch_25.pdf" TargetMode="External"/><Relationship Id="rId13" Type="http://schemas.openxmlformats.org/officeDocument/2006/relationships/hyperlink" Target="https://www.iso-ne.com/static-assets/documents/2021/01/a6_transmission_planning_for_clean_energy_transition_generation_dispatch_details.pdf" TargetMode="External"/><Relationship Id="rId18" Type="http://schemas.openxmlformats.org/officeDocument/2006/relationships/hyperlink" Target="http://www.iso-ne.com/static-assets/documents/regulatory/tariff/attach_d/attachment_d.pdf" TargetMode="External"/><Relationship Id="rId39" Type="http://schemas.openxmlformats.org/officeDocument/2006/relationships/hyperlink" Target="http://www.iso-ne.com/regulatory/tariff/sect_3/index.html" TargetMode="External"/><Relationship Id="rId34" Type="http://schemas.openxmlformats.org/officeDocument/2006/relationships/hyperlink" Target="https://www.iso-ne.com/static-assets/documents/2020/10/er20-2869-000.pdf" TargetMode="External"/><Relationship Id="rId50" Type="http://schemas.openxmlformats.org/officeDocument/2006/relationships/hyperlink" Target="https://www.iso-ne.com/static-assets/documents/2021/05/a3_2021_economic_study_future_grid_reliability_study_phase_1_overview_of_assumptions_part_2.pdf" TargetMode="External"/><Relationship Id="rId55" Type="http://schemas.openxmlformats.org/officeDocument/2006/relationships/hyperlink" Target="tps://eipconline.com/s/EIPC-FRWG-2020-Public-Report-FINAL-Approved-by-Ex-Com-on-10-21-20.pdf" TargetMode="External"/><Relationship Id="rId76" Type="http://schemas.openxmlformats.org/officeDocument/2006/relationships/hyperlink" Target="https://smd.iso-ne.com/operations-services/ceii/pac/2018/05/final_ceii_ect_2027_na.pdf" TargetMode="External"/><Relationship Id="rId97" Type="http://schemas.openxmlformats.org/officeDocument/2006/relationships/hyperlink" Target="https://www.eia.gov/analysis/studies/powerplants/capitalcost/pdf/capital_cost_AEO2020.pdf" TargetMode="External"/><Relationship Id="rId104" Type="http://schemas.openxmlformats.org/officeDocument/2006/relationships/hyperlink" Target="https://mpuc-cms.maine.gov/CQM.Public.WebUI/Common/CaseMaster.aspx?CaseNumber=2017-0023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'New Eng total RPS demand'!$A$28</c:f>
              <c:strCache>
                <c:ptCount val="1"/>
                <c:pt idx="0">
                  <c:v>CT</c:v>
                </c:pt>
              </c:strCache>
            </c:strRef>
          </c:tx>
          <c:spPr>
            <a:solidFill>
              <a:schemeClr val="accent1"/>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demand'!$C$28:$AF$28</c:f>
              <c:numCache>
                <c:formatCode>#,##0</c:formatCode>
                <c:ptCount val="30"/>
                <c:pt idx="0">
                  <c:v>7679.7306599513231</c:v>
                </c:pt>
                <c:pt idx="1">
                  <c:v>8122.8689120885474</c:v>
                </c:pt>
                <c:pt idx="2">
                  <c:v>8711.8365759883236</c:v>
                </c:pt>
                <c:pt idx="3">
                  <c:v>9294.8872659655899</c:v>
                </c:pt>
                <c:pt idx="4">
                  <c:v>9859.6945266953917</c:v>
                </c:pt>
                <c:pt idx="5">
                  <c:v>10448.302465100471</c:v>
                </c:pt>
                <c:pt idx="6">
                  <c:v>10999.377482673786</c:v>
                </c:pt>
                <c:pt idx="7">
                  <c:v>11609.489549004635</c:v>
                </c:pt>
                <c:pt idx="8">
                  <c:v>12285.64556274272</c:v>
                </c:pt>
                <c:pt idx="9">
                  <c:v>12952.469000037738</c:v>
                </c:pt>
                <c:pt idx="10">
                  <c:v>13040.29682966596</c:v>
                </c:pt>
                <c:pt idx="11">
                  <c:v>13117.266228907562</c:v>
                </c:pt>
                <c:pt idx="12">
                  <c:v>13181.759216021001</c:v>
                </c:pt>
                <c:pt idx="13">
                  <c:v>13247.405875010161</c:v>
                </c:pt>
                <c:pt idx="14">
                  <c:v>13346.393472239775</c:v>
                </c:pt>
                <c:pt idx="15">
                  <c:v>13435.912772306685</c:v>
                </c:pt>
                <c:pt idx="16">
                  <c:v>13533.871192211449</c:v>
                </c:pt>
                <c:pt idx="17">
                  <c:v>13600.981361266728</c:v>
                </c:pt>
                <c:pt idx="18">
                  <c:v>13674.241091344251</c:v>
                </c:pt>
                <c:pt idx="19">
                  <c:v>13760.970617293227</c:v>
                </c:pt>
                <c:pt idx="20">
                  <c:v>13855.297107218865</c:v>
                </c:pt>
                <c:pt idx="21">
                  <c:v>13949.208727163212</c:v>
                </c:pt>
                <c:pt idx="22">
                  <c:v>14057.883074257996</c:v>
                </c:pt>
                <c:pt idx="23">
                  <c:v>14169.078408044174</c:v>
                </c:pt>
                <c:pt idx="24">
                  <c:v>14283.207585114069</c:v>
                </c:pt>
                <c:pt idx="25">
                  <c:v>14405.024104954073</c:v>
                </c:pt>
                <c:pt idx="26">
                  <c:v>14531.3643742288</c:v>
                </c:pt>
                <c:pt idx="27">
                  <c:v>14670.000298044813</c:v>
                </c:pt>
                <c:pt idx="28">
                  <c:v>14814.531424744089</c:v>
                </c:pt>
                <c:pt idx="29">
                  <c:v>14958.632357334971</c:v>
                </c:pt>
              </c:numCache>
            </c:numRef>
          </c:val>
          <c:extLst>
            <c:ext xmlns:c16="http://schemas.microsoft.com/office/drawing/2014/chart" uri="{C3380CC4-5D6E-409C-BE32-E72D297353CC}">
              <c16:uniqueId val="{00000000-2C61-404B-A33F-6FAB70EC74A0}"/>
            </c:ext>
          </c:extLst>
        </c:ser>
        <c:ser>
          <c:idx val="1"/>
          <c:order val="1"/>
          <c:tx>
            <c:strRef>
              <c:f>'New Eng total RPS demand'!$A$29</c:f>
              <c:strCache>
                <c:ptCount val="1"/>
                <c:pt idx="0">
                  <c:v>MA</c:v>
                </c:pt>
              </c:strCache>
            </c:strRef>
          </c:tx>
          <c:spPr>
            <a:solidFill>
              <a:schemeClr val="accent2"/>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demand'!$C$29:$AF$29</c:f>
              <c:numCache>
                <c:formatCode>#,##0</c:formatCode>
                <c:ptCount val="30"/>
                <c:pt idx="0">
                  <c:v>11429.065373493528</c:v>
                </c:pt>
                <c:pt idx="1">
                  <c:v>12367.130663283115</c:v>
                </c:pt>
                <c:pt idx="2">
                  <c:v>13306.697687899499</c:v>
                </c:pt>
                <c:pt idx="3">
                  <c:v>14237.276935659949</c:v>
                </c:pt>
                <c:pt idx="4">
                  <c:v>15139.860024603597</c:v>
                </c:pt>
                <c:pt idx="5">
                  <c:v>16078.961261401913</c:v>
                </c:pt>
                <c:pt idx="6">
                  <c:v>16960.241573952881</c:v>
                </c:pt>
                <c:pt idx="7">
                  <c:v>17932.553449218558</c:v>
                </c:pt>
                <c:pt idx="8">
                  <c:v>19007.1957915202</c:v>
                </c:pt>
                <c:pt idx="9">
                  <c:v>19597.896280135032</c:v>
                </c:pt>
                <c:pt idx="10">
                  <c:v>20203.882068591454</c:v>
                </c:pt>
                <c:pt idx="11">
                  <c:v>20799.023210668598</c:v>
                </c:pt>
                <c:pt idx="12">
                  <c:v>21379.513680906453</c:v>
                </c:pt>
                <c:pt idx="13">
                  <c:v>21966.596707797798</c:v>
                </c:pt>
                <c:pt idx="14">
                  <c:v>22614.937910337587</c:v>
                </c:pt>
                <c:pt idx="15">
                  <c:v>23254.074411670372</c:v>
                </c:pt>
                <c:pt idx="16">
                  <c:v>23914.618454146319</c:v>
                </c:pt>
                <c:pt idx="17">
                  <c:v>24526.641649166842</c:v>
                </c:pt>
                <c:pt idx="18">
                  <c:v>25154.846908084055</c:v>
                </c:pt>
                <c:pt idx="19">
                  <c:v>25813.63526738315</c:v>
                </c:pt>
                <c:pt idx="20">
                  <c:v>26493.243097279021</c:v>
                </c:pt>
                <c:pt idx="21">
                  <c:v>27178.886842226013</c:v>
                </c:pt>
                <c:pt idx="22">
                  <c:v>27900.644286158727</c:v>
                </c:pt>
                <c:pt idx="23">
                  <c:v>28635.3819104961</c:v>
                </c:pt>
                <c:pt idx="24">
                  <c:v>29384.223448383433</c:v>
                </c:pt>
                <c:pt idx="25">
                  <c:v>30157.439839212831</c:v>
                </c:pt>
                <c:pt idx="26">
                  <c:v>30949.129893034573</c:v>
                </c:pt>
                <c:pt idx="27">
                  <c:v>31776.620657504471</c:v>
                </c:pt>
                <c:pt idx="28">
                  <c:v>32627.154182047725</c:v>
                </c:pt>
                <c:pt idx="29">
                  <c:v>33487.211714199184</c:v>
                </c:pt>
              </c:numCache>
            </c:numRef>
          </c:val>
          <c:extLst>
            <c:ext xmlns:c16="http://schemas.microsoft.com/office/drawing/2014/chart" uri="{C3380CC4-5D6E-409C-BE32-E72D297353CC}">
              <c16:uniqueId val="{00000001-2C61-404B-A33F-6FAB70EC74A0}"/>
            </c:ext>
          </c:extLst>
        </c:ser>
        <c:ser>
          <c:idx val="2"/>
          <c:order val="2"/>
          <c:tx>
            <c:strRef>
              <c:f>'New Eng total RPS demand'!$A$30</c:f>
              <c:strCache>
                <c:ptCount val="1"/>
                <c:pt idx="0">
                  <c:v>ME</c:v>
                </c:pt>
              </c:strCache>
            </c:strRef>
          </c:tx>
          <c:spPr>
            <a:solidFill>
              <a:srgbClr val="7030A0"/>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demand'!$C$30:$AF$30</c:f>
              <c:numCache>
                <c:formatCode>#,##0</c:formatCode>
                <c:ptCount val="30"/>
                <c:pt idx="0">
                  <c:v>5508.5407778844174</c:v>
                </c:pt>
                <c:pt idx="1">
                  <c:v>5883.6681970423879</c:v>
                </c:pt>
                <c:pt idx="2">
                  <c:v>6259.363474229287</c:v>
                </c:pt>
                <c:pt idx="3">
                  <c:v>6754.0062803417386</c:v>
                </c:pt>
                <c:pt idx="4">
                  <c:v>7235.2447868596155</c:v>
                </c:pt>
                <c:pt idx="5">
                  <c:v>7733.9594842040815</c:v>
                </c:pt>
                <c:pt idx="6">
                  <c:v>8204.6841335293357</c:v>
                </c:pt>
                <c:pt idx="7">
                  <c:v>8719.5883304186409</c:v>
                </c:pt>
                <c:pt idx="8">
                  <c:v>9284.8300902394567</c:v>
                </c:pt>
                <c:pt idx="9">
                  <c:v>9968.6886479756304</c:v>
                </c:pt>
                <c:pt idx="10">
                  <c:v>10036.46244341588</c:v>
                </c:pt>
                <c:pt idx="11">
                  <c:v>10095.857151692757</c:v>
                </c:pt>
                <c:pt idx="12">
                  <c:v>10145.624230470174</c:v>
                </c:pt>
                <c:pt idx="13">
                  <c:v>10196.281559206411</c:v>
                </c:pt>
                <c:pt idx="14">
                  <c:v>10272.666973649195</c:v>
                </c:pt>
                <c:pt idx="15">
                  <c:v>10341.746020192548</c:v>
                </c:pt>
                <c:pt idx="16">
                  <c:v>10417.337252953037</c:v>
                </c:pt>
                <c:pt idx="17">
                  <c:v>10469.123923405514</c:v>
                </c:pt>
                <c:pt idx="18">
                  <c:v>10525.656004196986</c:v>
                </c:pt>
                <c:pt idx="19">
                  <c:v>10592.582275461773</c:v>
                </c:pt>
                <c:pt idx="20">
                  <c:v>10665.370869462993</c:v>
                </c:pt>
                <c:pt idx="21">
                  <c:v>10737.839322190483</c:v>
                </c:pt>
                <c:pt idx="22">
                  <c:v>10821.699677168875</c:v>
                </c:pt>
                <c:pt idx="23">
                  <c:v>10907.505393168416</c:v>
                </c:pt>
                <c:pt idx="24">
                  <c:v>10995.575057797972</c:v>
                </c:pt>
                <c:pt idx="25">
                  <c:v>11089.57678745277</c:v>
                </c:pt>
                <c:pt idx="26">
                  <c:v>11187.069343080495</c:v>
                </c:pt>
                <c:pt idx="27">
                  <c:v>11294.050043630077</c:v>
                </c:pt>
                <c:pt idx="28">
                  <c:v>11405.579874859317</c:v>
                </c:pt>
                <c:pt idx="29">
                  <c:v>11516.777739699022</c:v>
                </c:pt>
              </c:numCache>
            </c:numRef>
          </c:val>
          <c:extLst>
            <c:ext xmlns:c16="http://schemas.microsoft.com/office/drawing/2014/chart" uri="{C3380CC4-5D6E-409C-BE32-E72D297353CC}">
              <c16:uniqueId val="{00000002-2C61-404B-A33F-6FAB70EC74A0}"/>
            </c:ext>
          </c:extLst>
        </c:ser>
        <c:ser>
          <c:idx val="3"/>
          <c:order val="3"/>
          <c:tx>
            <c:strRef>
              <c:f>'New Eng total RPS demand'!$A$31</c:f>
              <c:strCache>
                <c:ptCount val="1"/>
                <c:pt idx="0">
                  <c:v>NH</c:v>
                </c:pt>
              </c:strCache>
            </c:strRef>
          </c:tx>
          <c:spPr>
            <a:solidFill>
              <a:schemeClr val="accent4"/>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demand'!$C$31:$AF$31</c:f>
              <c:numCache>
                <c:formatCode>#,##0</c:formatCode>
                <c:ptCount val="30"/>
                <c:pt idx="0">
                  <c:v>2190.0151839079608</c:v>
                </c:pt>
                <c:pt idx="1">
                  <c:v>2269.7974040658778</c:v>
                </c:pt>
                <c:pt idx="2">
                  <c:v>2349.6660769312593</c:v>
                </c:pt>
                <c:pt idx="3">
                  <c:v>2450.0121764541691</c:v>
                </c:pt>
                <c:pt idx="4">
                  <c:v>2545.6236638610912</c:v>
                </c:pt>
                <c:pt idx="5">
                  <c:v>2547.7270158123642</c:v>
                </c:pt>
                <c:pt idx="6">
                  <c:v>2540.9385764864428</c:v>
                </c:pt>
                <c:pt idx="7">
                  <c:v>2547.7850814836061</c:v>
                </c:pt>
                <c:pt idx="8">
                  <c:v>2567.78317091181</c:v>
                </c:pt>
                <c:pt idx="9">
                  <c:v>2584.101342846126</c:v>
                </c:pt>
                <c:pt idx="10">
                  <c:v>2601.6235629325724</c:v>
                </c:pt>
                <c:pt idx="11">
                  <c:v>2616.9794559239167</c:v>
                </c:pt>
                <c:pt idx="12">
                  <c:v>2629.8462239975183</c:v>
                </c:pt>
                <c:pt idx="13">
                  <c:v>2642.9431570723445</c:v>
                </c:pt>
                <c:pt idx="14">
                  <c:v>2662.6918229773091</c:v>
                </c:pt>
                <c:pt idx="15">
                  <c:v>2680.5515023568069</c:v>
                </c:pt>
                <c:pt idx="16">
                  <c:v>2700.0948407286824</c:v>
                </c:pt>
                <c:pt idx="17">
                  <c:v>2713.4837535277693</c:v>
                </c:pt>
                <c:pt idx="18">
                  <c:v>2728.0995435265195</c:v>
                </c:pt>
                <c:pt idx="19">
                  <c:v>2745.4026449250646</c:v>
                </c:pt>
                <c:pt idx="20">
                  <c:v>2764.2213897745669</c:v>
                </c:pt>
                <c:pt idx="21">
                  <c:v>2782.9573653793977</c:v>
                </c:pt>
                <c:pt idx="22">
                  <c:v>2804.6386005369372</c:v>
                </c:pt>
                <c:pt idx="23">
                  <c:v>2826.8227888453016</c:v>
                </c:pt>
                <c:pt idx="24">
                  <c:v>2849.5922978650401</c:v>
                </c:pt>
                <c:pt idx="25">
                  <c:v>2873.8954814896038</c:v>
                </c:pt>
                <c:pt idx="26">
                  <c:v>2899.1011823862759</c:v>
                </c:pt>
                <c:pt idx="27">
                  <c:v>2926.7599458929576</c:v>
                </c:pt>
                <c:pt idx="28">
                  <c:v>2955.5948405053728</c:v>
                </c:pt>
                <c:pt idx="29">
                  <c:v>2984.3439086106418</c:v>
                </c:pt>
              </c:numCache>
            </c:numRef>
          </c:val>
          <c:extLst>
            <c:ext xmlns:c16="http://schemas.microsoft.com/office/drawing/2014/chart" uri="{C3380CC4-5D6E-409C-BE32-E72D297353CC}">
              <c16:uniqueId val="{00000003-2C61-404B-A33F-6FAB70EC74A0}"/>
            </c:ext>
          </c:extLst>
        </c:ser>
        <c:ser>
          <c:idx val="4"/>
          <c:order val="4"/>
          <c:tx>
            <c:strRef>
              <c:f>'New Eng total RPS demand'!$A$32</c:f>
              <c:strCache>
                <c:ptCount val="1"/>
                <c:pt idx="0">
                  <c:v>RI</c:v>
                </c:pt>
              </c:strCache>
            </c:strRef>
          </c:tx>
          <c:spPr>
            <a:solidFill>
              <a:schemeClr val="accent5"/>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demand'!$C$32:$AF$32</c:f>
              <c:numCache>
                <c:formatCode>#,##0</c:formatCode>
                <c:ptCount val="30"/>
                <c:pt idx="0">
                  <c:v>1330.5427937571524</c:v>
                </c:pt>
                <c:pt idx="1">
                  <c:v>1446.0912480022448</c:v>
                </c:pt>
                <c:pt idx="2">
                  <c:v>1561.8272999029871</c:v>
                </c:pt>
                <c:pt idx="3">
                  <c:v>1676.5152674443611</c:v>
                </c:pt>
                <c:pt idx="4">
                  <c:v>1787.8994408317235</c:v>
                </c:pt>
                <c:pt idx="5">
                  <c:v>1903.5922490374712</c:v>
                </c:pt>
                <c:pt idx="6">
                  <c:v>2012.4313187509479</c:v>
                </c:pt>
                <c:pt idx="7">
                  <c:v>2132.0719102209368</c:v>
                </c:pt>
                <c:pt idx="8">
                  <c:v>2263.9216411345533</c:v>
                </c:pt>
                <c:pt idx="9">
                  <c:v>2394.1549930524607</c:v>
                </c:pt>
                <c:pt idx="10">
                  <c:v>2527.0209658048243</c:v>
                </c:pt>
                <c:pt idx="11">
                  <c:v>2659.2566696059966</c:v>
                </c:pt>
                <c:pt idx="12">
                  <c:v>2790.22826899041</c:v>
                </c:pt>
                <c:pt idx="13">
                  <c:v>2922.6080322938747</c:v>
                </c:pt>
                <c:pt idx="14">
                  <c:v>3063.815866408851</c:v>
                </c:pt>
                <c:pt idx="15">
                  <c:v>3084.3660361955654</c:v>
                </c:pt>
                <c:pt idx="16">
                  <c:v>3106.8535015753923</c:v>
                </c:pt>
                <c:pt idx="17">
                  <c:v>3122.2594013921944</c:v>
                </c:pt>
                <c:pt idx="18">
                  <c:v>3139.0770026301025</c:v>
                </c:pt>
                <c:pt idx="19">
                  <c:v>3158.9867481535866</c:v>
                </c:pt>
                <c:pt idx="20">
                  <c:v>3180.6404628487162</c:v>
                </c:pt>
                <c:pt idx="21">
                  <c:v>3202.1989394382244</c:v>
                </c:pt>
                <c:pt idx="22">
                  <c:v>3227.1463673402395</c:v>
                </c:pt>
                <c:pt idx="23">
                  <c:v>3252.6725163057504</c:v>
                </c:pt>
                <c:pt idx="24">
                  <c:v>3278.8721622441267</c:v>
                </c:pt>
                <c:pt idx="25">
                  <c:v>3306.8365248303789</c:v>
                </c:pt>
                <c:pt idx="26">
                  <c:v>3335.8393653636967</c:v>
                </c:pt>
                <c:pt idx="27">
                  <c:v>3367.6648127345698</c:v>
                </c:pt>
                <c:pt idx="28">
                  <c:v>3400.8435707332947</c:v>
                </c:pt>
                <c:pt idx="29">
                  <c:v>3433.9235727993628</c:v>
                </c:pt>
              </c:numCache>
            </c:numRef>
          </c:val>
          <c:extLst>
            <c:ext xmlns:c16="http://schemas.microsoft.com/office/drawing/2014/chart" uri="{C3380CC4-5D6E-409C-BE32-E72D297353CC}">
              <c16:uniqueId val="{00000004-2C61-404B-A33F-6FAB70EC74A0}"/>
            </c:ext>
          </c:extLst>
        </c:ser>
        <c:ser>
          <c:idx val="5"/>
          <c:order val="5"/>
          <c:tx>
            <c:strRef>
              <c:f>'New Eng total RPS demand'!$A$33</c:f>
              <c:strCache>
                <c:ptCount val="1"/>
                <c:pt idx="0">
                  <c:v>VT</c:v>
                </c:pt>
              </c:strCache>
            </c:strRef>
          </c:tx>
          <c:spPr>
            <a:solidFill>
              <a:schemeClr val="accent6"/>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demand'!$C$33:$AF$33</c:f>
              <c:numCache>
                <c:formatCode>#,##0</c:formatCode>
                <c:ptCount val="30"/>
                <c:pt idx="0">
                  <c:v>3285.2084689917851</c:v>
                </c:pt>
                <c:pt idx="1">
                  <c:v>3288.6240764744566</c:v>
                </c:pt>
                <c:pt idx="2">
                  <c:v>3515.1172978238228</c:v>
                </c:pt>
                <c:pt idx="3">
                  <c:v>3515.9727865215646</c:v>
                </c:pt>
                <c:pt idx="4">
                  <c:v>3510.2326330670849</c:v>
                </c:pt>
                <c:pt idx="5">
                  <c:v>3736.1890684885734</c:v>
                </c:pt>
                <c:pt idx="6">
                  <c:v>3726.2339623707708</c:v>
                </c:pt>
                <c:pt idx="7">
                  <c:v>3736.2742205966292</c:v>
                </c:pt>
                <c:pt idx="8">
                  <c:v>3990.4130062139657</c:v>
                </c:pt>
                <c:pt idx="9">
                  <c:v>4015.7719408241678</c:v>
                </c:pt>
                <c:pt idx="10">
                  <c:v>4043.0020028180211</c:v>
                </c:pt>
                <c:pt idx="11">
                  <c:v>4295.9847113406204</c:v>
                </c:pt>
                <c:pt idx="12">
                  <c:v>4317.1065580572358</c:v>
                </c:pt>
                <c:pt idx="13">
                  <c:v>4338.6062393510811</c:v>
                </c:pt>
                <c:pt idx="14">
                  <c:v>4371.0252813137731</c:v>
                </c:pt>
                <c:pt idx="15">
                  <c:v>4400.343398194701</c:v>
                </c:pt>
                <c:pt idx="16">
                  <c:v>4432.4253783050481</c:v>
                </c:pt>
                <c:pt idx="17">
                  <c:v>4454.4043680736322</c:v>
                </c:pt>
                <c:pt idx="18">
                  <c:v>4478.3973765921601</c:v>
                </c:pt>
                <c:pt idx="19">
                  <c:v>4506.8018254305571</c:v>
                </c:pt>
                <c:pt idx="20">
                  <c:v>4537.6943263162921</c:v>
                </c:pt>
                <c:pt idx="21">
                  <c:v>4568.4509547522575</c:v>
                </c:pt>
                <c:pt idx="22">
                  <c:v>4604.0424663894346</c:v>
                </c:pt>
                <c:pt idx="23">
                  <c:v>4640.4596165472249</c:v>
                </c:pt>
                <c:pt idx="24">
                  <c:v>4677.8376182782304</c:v>
                </c:pt>
                <c:pt idx="25">
                  <c:v>4717.7332716627807</c:v>
                </c:pt>
                <c:pt idx="26">
                  <c:v>4759.1104805841624</c:v>
                </c:pt>
                <c:pt idx="27">
                  <c:v>4804.5145913769775</c:v>
                </c:pt>
                <c:pt idx="28">
                  <c:v>4851.8494170775184</c:v>
                </c:pt>
                <c:pt idx="29">
                  <c:v>4899.0433515831764</c:v>
                </c:pt>
              </c:numCache>
            </c:numRef>
          </c:val>
          <c:extLst>
            <c:ext xmlns:c16="http://schemas.microsoft.com/office/drawing/2014/chart" uri="{C3380CC4-5D6E-409C-BE32-E72D297353CC}">
              <c16:uniqueId val="{00000005-2C61-404B-A33F-6FAB70EC74A0}"/>
            </c:ext>
          </c:extLst>
        </c:ser>
        <c:dLbls>
          <c:showLegendKey val="0"/>
          <c:showVal val="0"/>
          <c:showCatName val="0"/>
          <c:showSerName val="0"/>
          <c:showPercent val="0"/>
          <c:showBubbleSize val="0"/>
        </c:dLbls>
        <c:gapWidth val="150"/>
        <c:overlap val="100"/>
        <c:axId val="511821696"/>
        <c:axId val="511822024"/>
      </c:barChart>
      <c:lineChart>
        <c:grouping val="standard"/>
        <c:varyColors val="0"/>
        <c:ser>
          <c:idx val="6"/>
          <c:order val="6"/>
          <c:tx>
            <c:strRef>
              <c:f>'New Eng total RPS demand'!$A$34</c:f>
              <c:strCache>
                <c:ptCount val="1"/>
                <c:pt idx="0">
                  <c:v>2021</c:v>
                </c:pt>
              </c:strCache>
            </c:strRef>
          </c:tx>
          <c:spPr>
            <a:ln w="28575" cap="rnd">
              <a:solidFill>
                <a:srgbClr val="FF0000"/>
              </a:solidFill>
              <a:prstDash val="sysDash"/>
              <a:round/>
            </a:ln>
            <a:effectLst/>
          </c:spPr>
          <c:marker>
            <c:symbol val="none"/>
          </c:marker>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demand'!$C$34:$AF$34</c:f>
              <c:numCache>
                <c:formatCode>#,##0</c:formatCode>
                <c:ptCount val="30"/>
                <c:pt idx="0">
                  <c:v>31423.103257986168</c:v>
                </c:pt>
                <c:pt idx="1">
                  <c:v>33378.180500956631</c:v>
                </c:pt>
                <c:pt idx="2">
                  <c:v>35704.508412775176</c:v>
                </c:pt>
                <c:pt idx="3">
                  <c:v>37928.670712387378</c:v>
                </c:pt>
                <c:pt idx="4">
                  <c:v>40078.555075918506</c:v>
                </c:pt>
                <c:pt idx="5">
                  <c:v>42448.731544044873</c:v>
                </c:pt>
                <c:pt idx="6">
                  <c:v>44443.907047764165</c:v>
                </c:pt>
                <c:pt idx="7">
                  <c:v>46677.762540943011</c:v>
                </c:pt>
                <c:pt idx="8">
                  <c:v>49399.789262762708</c:v>
                </c:pt>
                <c:pt idx="9">
                  <c:v>51513.082204871156</c:v>
                </c:pt>
                <c:pt idx="10">
                  <c:v>52452.287873228721</c:v>
                </c:pt>
                <c:pt idx="11">
                  <c:v>53584.367428139449</c:v>
                </c:pt>
                <c:pt idx="12">
                  <c:v>54444.078178442796</c:v>
                </c:pt>
                <c:pt idx="13">
                  <c:v>55314.441570731666</c:v>
                </c:pt>
                <c:pt idx="14">
                  <c:v>56331.531326926488</c:v>
                </c:pt>
                <c:pt idx="15">
                  <c:v>57196.994140916679</c:v>
                </c:pt>
                <c:pt idx="16">
                  <c:v>58105.200619919939</c:v>
                </c:pt>
                <c:pt idx="17">
                  <c:v>58886.89445683267</c:v>
                </c:pt>
                <c:pt idx="18">
                  <c:v>59700.317926374075</c:v>
                </c:pt>
                <c:pt idx="19">
                  <c:v>60578.379378647354</c:v>
                </c:pt>
                <c:pt idx="20">
                  <c:v>61496.467252900446</c:v>
                </c:pt>
                <c:pt idx="21">
                  <c:v>62419.542151149595</c:v>
                </c:pt>
                <c:pt idx="22">
                  <c:v>63416.054471852214</c:v>
                </c:pt>
                <c:pt idx="23">
                  <c:v>64431.920633406968</c:v>
                </c:pt>
                <c:pt idx="24">
                  <c:v>65469.308169682874</c:v>
                </c:pt>
                <c:pt idx="25">
                  <c:v>66550.506009602454</c:v>
                </c:pt>
                <c:pt idx="26">
                  <c:v>67661.614638678016</c:v>
                </c:pt>
                <c:pt idx="27">
                  <c:v>68839.610349183858</c:v>
                </c:pt>
                <c:pt idx="28">
                  <c:v>70055.553309967319</c:v>
                </c:pt>
                <c:pt idx="29">
                  <c:v>71279.93264422637</c:v>
                </c:pt>
              </c:numCache>
            </c:numRef>
          </c:val>
          <c:smooth val="0"/>
          <c:extLst>
            <c:ext xmlns:c16="http://schemas.microsoft.com/office/drawing/2014/chart" uri="{C3380CC4-5D6E-409C-BE32-E72D297353CC}">
              <c16:uniqueId val="{00000006-2C61-404B-A33F-6FAB70EC74A0}"/>
            </c:ext>
          </c:extLst>
        </c:ser>
        <c:ser>
          <c:idx val="7"/>
          <c:order val="7"/>
          <c:tx>
            <c:strRef>
              <c:f>'New Eng total RPS demand'!$A$35</c:f>
              <c:strCache>
                <c:ptCount val="1"/>
                <c:pt idx="0">
                  <c:v>2016</c:v>
                </c:pt>
              </c:strCache>
            </c:strRef>
          </c:tx>
          <c:spPr>
            <a:ln w="28575" cap="rnd">
              <a:solidFill>
                <a:srgbClr val="00B0F0"/>
              </a:solidFill>
              <a:prstDash val="sysDash"/>
              <a:round/>
            </a:ln>
            <a:effectLst/>
          </c:spPr>
          <c:marker>
            <c:symbol val="none"/>
          </c:marker>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demand'!$C$35:$AF$35</c:f>
              <c:numCache>
                <c:formatCode>#,##0</c:formatCode>
                <c:ptCount val="30"/>
                <c:pt idx="0">
                  <c:v>27067.176980553071</c:v>
                </c:pt>
                <c:pt idx="1">
                  <c:v>27752.136715387038</c:v>
                </c:pt>
                <c:pt idx="2">
                  <c:v>28665.352765747488</c:v>
                </c:pt>
                <c:pt idx="3">
                  <c:v>29367.364835154756</c:v>
                </c:pt>
                <c:pt idx="4">
                  <c:v>30023.50961562356</c:v>
                </c:pt>
                <c:pt idx="5">
                  <c:v>30836.797259290255</c:v>
                </c:pt>
                <c:pt idx="6">
                  <c:v>31435.883969221439</c:v>
                </c:pt>
                <c:pt idx="7">
                  <c:v>32019.062865054701</c:v>
                </c:pt>
                <c:pt idx="8">
                  <c:v>32810.084564868703</c:v>
                </c:pt>
                <c:pt idx="9">
                  <c:v>33300.641707590243</c:v>
                </c:pt>
                <c:pt idx="10">
                  <c:v>33869.76643592208</c:v>
                </c:pt>
                <c:pt idx="11">
                  <c:v>34724.767181313597</c:v>
                </c:pt>
                <c:pt idx="12">
                  <c:v>35412.920444319818</c:v>
                </c:pt>
                <c:pt idx="13">
                  <c:v>36105.629920074185</c:v>
                </c:pt>
                <c:pt idx="14">
                  <c:v>36849.60160190484</c:v>
                </c:pt>
                <c:pt idx="15">
                  <c:v>37588.601116364982</c:v>
                </c:pt>
                <c:pt idx="16">
                  <c:v>38367.870387130897</c:v>
                </c:pt>
                <c:pt idx="17">
                  <c:v>39211.366646079834</c:v>
                </c:pt>
                <c:pt idx="18">
                  <c:v>40052.674363493672</c:v>
                </c:pt>
                <c:pt idx="19">
                  <c:v>40932.816665846163</c:v>
                </c:pt>
              </c:numCache>
            </c:numRef>
          </c:val>
          <c:smooth val="0"/>
          <c:extLst>
            <c:ext xmlns:c16="http://schemas.microsoft.com/office/drawing/2014/chart" uri="{C3380CC4-5D6E-409C-BE32-E72D297353CC}">
              <c16:uniqueId val="{00000007-2C61-404B-A33F-6FAB70EC74A0}"/>
            </c:ext>
          </c:extLst>
        </c:ser>
        <c:dLbls>
          <c:showLegendKey val="0"/>
          <c:showVal val="0"/>
          <c:showCatName val="0"/>
          <c:showSerName val="0"/>
          <c:showPercent val="0"/>
          <c:showBubbleSize val="0"/>
        </c:dLbls>
        <c:marker val="1"/>
        <c:smooth val="0"/>
        <c:axId val="511853512"/>
        <c:axId val="511855808"/>
      </c:lineChart>
      <c:catAx>
        <c:axId val="5118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22024"/>
        <c:crosses val="autoZero"/>
        <c:auto val="1"/>
        <c:lblAlgn val="ctr"/>
        <c:lblOffset val="100"/>
        <c:noMultiLvlLbl val="0"/>
      </c:catAx>
      <c:valAx>
        <c:axId val="511822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State Total RPS Requirements by Year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21696"/>
        <c:crosses val="autoZero"/>
        <c:crossBetween val="between"/>
      </c:valAx>
      <c:valAx>
        <c:axId val="511855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Regional Total Annual RPS Electricity Demand Requirements (Lines)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53512"/>
        <c:crosses val="max"/>
        <c:crossBetween val="between"/>
      </c:valAx>
      <c:catAx>
        <c:axId val="511853512"/>
        <c:scaling>
          <c:orientation val="minMax"/>
        </c:scaling>
        <c:delete val="1"/>
        <c:axPos val="b"/>
        <c:numFmt formatCode="General" sourceLinked="1"/>
        <c:majorTickMark val="out"/>
        <c:minorTickMark val="none"/>
        <c:tickLblPos val="nextTo"/>
        <c:crossAx val="511855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'RPS NE Total RPS %'!$X$137</c:f>
              <c:strCache>
                <c:ptCount val="1"/>
                <c:pt idx="0">
                  <c:v>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%'!$Y$137:$BB$137</c:f>
              <c:numCache>
                <c:formatCode>0%</c:formatCode>
                <c:ptCount val="30"/>
                <c:pt idx="0">
                  <c:v>0.26500000000000001</c:v>
                </c:pt>
                <c:pt idx="1">
                  <c:v>0.27999999999999997</c:v>
                </c:pt>
                <c:pt idx="2">
                  <c:v>0.3</c:v>
                </c:pt>
                <c:pt idx="3">
                  <c:v>0.32</c:v>
                </c:pt>
                <c:pt idx="4">
                  <c:v>0.34</c:v>
                </c:pt>
                <c:pt idx="5">
                  <c:v>0.36000000000000004</c:v>
                </c:pt>
                <c:pt idx="6">
                  <c:v>0.38000000000000006</c:v>
                </c:pt>
                <c:pt idx="7">
                  <c:v>0.40000000000000008</c:v>
                </c:pt>
                <c:pt idx="8">
                  <c:v>0.4200000000000001</c:v>
                </c:pt>
                <c:pt idx="9">
                  <c:v>0.44000000000000011</c:v>
                </c:pt>
                <c:pt idx="10">
                  <c:v>0.44000000000000011</c:v>
                </c:pt>
                <c:pt idx="11">
                  <c:v>0.44000000000000011</c:v>
                </c:pt>
                <c:pt idx="12">
                  <c:v>0.44000000000000011</c:v>
                </c:pt>
                <c:pt idx="13">
                  <c:v>0.44000000000000011</c:v>
                </c:pt>
                <c:pt idx="14">
                  <c:v>0.44000000000000011</c:v>
                </c:pt>
                <c:pt idx="15">
                  <c:v>0.44000000000000011</c:v>
                </c:pt>
                <c:pt idx="16">
                  <c:v>0.44000000000000011</c:v>
                </c:pt>
                <c:pt idx="17">
                  <c:v>0.44000000000000011</c:v>
                </c:pt>
                <c:pt idx="18">
                  <c:v>0.44000000000000011</c:v>
                </c:pt>
                <c:pt idx="19">
                  <c:v>0.44000000000000011</c:v>
                </c:pt>
                <c:pt idx="20">
                  <c:v>0.44000000000000011</c:v>
                </c:pt>
                <c:pt idx="21">
                  <c:v>0.44000000000000011</c:v>
                </c:pt>
                <c:pt idx="22">
                  <c:v>0.44000000000000011</c:v>
                </c:pt>
                <c:pt idx="23">
                  <c:v>0.44000000000000011</c:v>
                </c:pt>
                <c:pt idx="24">
                  <c:v>0.44000000000000011</c:v>
                </c:pt>
                <c:pt idx="25">
                  <c:v>0.44000000000000011</c:v>
                </c:pt>
                <c:pt idx="26">
                  <c:v>0.44000000000000011</c:v>
                </c:pt>
                <c:pt idx="27">
                  <c:v>0.44000000000000011</c:v>
                </c:pt>
                <c:pt idx="28">
                  <c:v>0.44000000000000011</c:v>
                </c:pt>
                <c:pt idx="29">
                  <c:v>0.44000000000000011</c:v>
                </c:pt>
              </c:numCache>
            </c:numRef>
          </c:val>
          <c:smooth val="0"/>
          <c:extLst>
            <c:ext xmlns:c16="http://schemas.microsoft.com/office/drawing/2014/chart" uri="{C3380CC4-5D6E-409C-BE32-E72D297353CC}">
              <c16:uniqueId val="{00000000-D5D1-44E7-A184-A07DA15674C3}"/>
            </c:ext>
          </c:extLst>
        </c:ser>
        <c:ser>
          <c:idx val="1"/>
          <c:order val="1"/>
          <c:tx>
            <c:strRef>
              <c:f>'RPS NE Total RPS %'!$X$138</c:f>
              <c:strCache>
                <c:ptCount val="1"/>
                <c:pt idx="0">
                  <c:v>MA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%'!$Y$138:$BB$138</c:f>
              <c:numCache>
                <c:formatCode>0%</c:formatCode>
                <c:ptCount val="30"/>
                <c:pt idx="0">
                  <c:v>0.247056</c:v>
                </c:pt>
                <c:pt idx="1">
                  <c:v>0.26705599999999996</c:v>
                </c:pt>
                <c:pt idx="2">
                  <c:v>0.28705599999999998</c:v>
                </c:pt>
                <c:pt idx="3">
                  <c:v>0.307056</c:v>
                </c:pt>
                <c:pt idx="4">
                  <c:v>0.32705600000000001</c:v>
                </c:pt>
                <c:pt idx="5">
                  <c:v>0.34705600000000003</c:v>
                </c:pt>
                <c:pt idx="6">
                  <c:v>0.36705600000000005</c:v>
                </c:pt>
                <c:pt idx="7">
                  <c:v>0.38705599999999996</c:v>
                </c:pt>
                <c:pt idx="8">
                  <c:v>0.40705600000000008</c:v>
                </c:pt>
                <c:pt idx="9">
                  <c:v>0.41705599999999998</c:v>
                </c:pt>
                <c:pt idx="10">
                  <c:v>0.4270560000000001</c:v>
                </c:pt>
                <c:pt idx="11">
                  <c:v>0.43705600000000011</c:v>
                </c:pt>
                <c:pt idx="12">
                  <c:v>0.44705600000000012</c:v>
                </c:pt>
                <c:pt idx="13">
                  <c:v>0.45705600000000013</c:v>
                </c:pt>
                <c:pt idx="14">
                  <c:v>0.46705600000000003</c:v>
                </c:pt>
                <c:pt idx="15">
                  <c:v>0.47705600000000015</c:v>
                </c:pt>
                <c:pt idx="16">
                  <c:v>0.48705600000000016</c:v>
                </c:pt>
                <c:pt idx="17">
                  <c:v>0.49705600000000016</c:v>
                </c:pt>
                <c:pt idx="18">
                  <c:v>0.50705600000000017</c:v>
                </c:pt>
                <c:pt idx="19">
                  <c:v>0.51705600000000007</c:v>
                </c:pt>
                <c:pt idx="20">
                  <c:v>0.52705600000000008</c:v>
                </c:pt>
                <c:pt idx="21">
                  <c:v>0.53705600000000009</c:v>
                </c:pt>
                <c:pt idx="22">
                  <c:v>0.54705600000000021</c:v>
                </c:pt>
                <c:pt idx="23">
                  <c:v>0.55705600000000022</c:v>
                </c:pt>
                <c:pt idx="24">
                  <c:v>0.56705600000000023</c:v>
                </c:pt>
                <c:pt idx="25">
                  <c:v>0.57705600000000012</c:v>
                </c:pt>
                <c:pt idx="26">
                  <c:v>0.58705600000000013</c:v>
                </c:pt>
                <c:pt idx="27">
                  <c:v>0.59705600000000014</c:v>
                </c:pt>
                <c:pt idx="28">
                  <c:v>0.60705600000000015</c:v>
                </c:pt>
                <c:pt idx="29">
                  <c:v>0.61705600000000027</c:v>
                </c:pt>
              </c:numCache>
            </c:numRef>
          </c:val>
          <c:smooth val="0"/>
          <c:extLst>
            <c:ext xmlns:c16="http://schemas.microsoft.com/office/drawing/2014/chart" uri="{C3380CC4-5D6E-409C-BE32-E72D297353CC}">
              <c16:uniqueId val="{00000001-D5D1-44E7-A184-A07DA15674C3}"/>
            </c:ext>
          </c:extLst>
        </c:ser>
        <c:ser>
          <c:idx val="2"/>
          <c:order val="2"/>
          <c:tx>
            <c:strRef>
              <c:f>'RPS NE Total RPS %'!$X$139</c:f>
              <c:strCache>
                <c:ptCount val="1"/>
                <c:pt idx="0">
                  <c:v>ME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%'!$Y$139:$BB$139</c:f>
              <c:numCache>
                <c:formatCode>0%</c:formatCode>
                <c:ptCount val="30"/>
                <c:pt idx="0">
                  <c:v>0.45400000000000001</c:v>
                </c:pt>
                <c:pt idx="1">
                  <c:v>0.48799999999999999</c:v>
                </c:pt>
                <c:pt idx="2">
                  <c:v>0.52200000000000002</c:v>
                </c:pt>
                <c:pt idx="3">
                  <c:v>0.56600000000000006</c:v>
                </c:pt>
                <c:pt idx="4">
                  <c:v>0.6100000000000001</c:v>
                </c:pt>
                <c:pt idx="5">
                  <c:v>0.65400000000000003</c:v>
                </c:pt>
                <c:pt idx="6">
                  <c:v>0.69799999999999995</c:v>
                </c:pt>
                <c:pt idx="7">
                  <c:v>0.74199999999999999</c:v>
                </c:pt>
                <c:pt idx="8">
                  <c:v>0.78599999999999992</c:v>
                </c:pt>
                <c:pt idx="9">
                  <c:v>0.84000000000000008</c:v>
                </c:pt>
                <c:pt idx="10">
                  <c:v>0.84000000000000008</c:v>
                </c:pt>
                <c:pt idx="11">
                  <c:v>0.84000000000000008</c:v>
                </c:pt>
                <c:pt idx="12">
                  <c:v>0.84000000000000008</c:v>
                </c:pt>
                <c:pt idx="13">
                  <c:v>0.84000000000000008</c:v>
                </c:pt>
                <c:pt idx="14">
                  <c:v>0.84000000000000008</c:v>
                </c:pt>
                <c:pt idx="15">
                  <c:v>0.84000000000000008</c:v>
                </c:pt>
                <c:pt idx="16">
                  <c:v>0.84000000000000008</c:v>
                </c:pt>
                <c:pt idx="17">
                  <c:v>0.84000000000000008</c:v>
                </c:pt>
                <c:pt idx="18">
                  <c:v>0.84000000000000008</c:v>
                </c:pt>
                <c:pt idx="19">
                  <c:v>0.84000000000000008</c:v>
                </c:pt>
                <c:pt idx="20">
                  <c:v>0.84000000000000008</c:v>
                </c:pt>
                <c:pt idx="21">
                  <c:v>0.84000000000000008</c:v>
                </c:pt>
                <c:pt idx="22">
                  <c:v>0.84000000000000008</c:v>
                </c:pt>
                <c:pt idx="23">
                  <c:v>0.84000000000000008</c:v>
                </c:pt>
                <c:pt idx="24">
                  <c:v>0.84000000000000008</c:v>
                </c:pt>
                <c:pt idx="25">
                  <c:v>0.84000000000000008</c:v>
                </c:pt>
                <c:pt idx="26">
                  <c:v>0.84000000000000008</c:v>
                </c:pt>
                <c:pt idx="27">
                  <c:v>0.84000000000000008</c:v>
                </c:pt>
                <c:pt idx="28">
                  <c:v>0.84000000000000008</c:v>
                </c:pt>
                <c:pt idx="29">
                  <c:v>0.84000000000000008</c:v>
                </c:pt>
              </c:numCache>
            </c:numRef>
          </c:val>
          <c:smooth val="0"/>
          <c:extLst>
            <c:ext xmlns:c16="http://schemas.microsoft.com/office/drawing/2014/chart" uri="{C3380CC4-5D6E-409C-BE32-E72D297353CC}">
              <c16:uniqueId val="{00000002-D5D1-44E7-A184-A07DA15674C3}"/>
            </c:ext>
          </c:extLst>
        </c:ser>
        <c:ser>
          <c:idx val="3"/>
          <c:order val="3"/>
          <c:tx>
            <c:strRef>
              <c:f>'RPS NE Total RPS %'!$X$140</c:f>
              <c:strCache>
                <c:ptCount val="1"/>
                <c:pt idx="0">
                  <c:v>NH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%'!$Y$140:$BB$140</c:f>
              <c:numCache>
                <c:formatCode>0%</c:formatCode>
                <c:ptCount val="30"/>
                <c:pt idx="0">
                  <c:v>0.21600000000000003</c:v>
                </c:pt>
                <c:pt idx="1">
                  <c:v>0.22500000000000003</c:v>
                </c:pt>
                <c:pt idx="2">
                  <c:v>0.23400000000000004</c:v>
                </c:pt>
                <c:pt idx="3">
                  <c:v>0.24299999999999999</c:v>
                </c:pt>
                <c:pt idx="4">
                  <c:v>0.252</c:v>
                </c:pt>
                <c:pt idx="5">
                  <c:v>0.252</c:v>
                </c:pt>
                <c:pt idx="6">
                  <c:v>0.252</c:v>
                </c:pt>
                <c:pt idx="7">
                  <c:v>0.252</c:v>
                </c:pt>
                <c:pt idx="8">
                  <c:v>0.252</c:v>
                </c:pt>
                <c:pt idx="9">
                  <c:v>0.252</c:v>
                </c:pt>
                <c:pt idx="10">
                  <c:v>0.252</c:v>
                </c:pt>
                <c:pt idx="11">
                  <c:v>0.252</c:v>
                </c:pt>
                <c:pt idx="12">
                  <c:v>0.252</c:v>
                </c:pt>
                <c:pt idx="13">
                  <c:v>0.252</c:v>
                </c:pt>
                <c:pt idx="14">
                  <c:v>0.252</c:v>
                </c:pt>
                <c:pt idx="15">
                  <c:v>0.252</c:v>
                </c:pt>
                <c:pt idx="16">
                  <c:v>0.252</c:v>
                </c:pt>
                <c:pt idx="17">
                  <c:v>0.252</c:v>
                </c:pt>
                <c:pt idx="18">
                  <c:v>0.252</c:v>
                </c:pt>
                <c:pt idx="19">
                  <c:v>0.252</c:v>
                </c:pt>
                <c:pt idx="20">
                  <c:v>0.252</c:v>
                </c:pt>
                <c:pt idx="21">
                  <c:v>0.252</c:v>
                </c:pt>
                <c:pt idx="22">
                  <c:v>0.252</c:v>
                </c:pt>
                <c:pt idx="23">
                  <c:v>0.252</c:v>
                </c:pt>
                <c:pt idx="24">
                  <c:v>0.252</c:v>
                </c:pt>
                <c:pt idx="25">
                  <c:v>0.252</c:v>
                </c:pt>
                <c:pt idx="26">
                  <c:v>0.252</c:v>
                </c:pt>
                <c:pt idx="27">
                  <c:v>0.252</c:v>
                </c:pt>
                <c:pt idx="28">
                  <c:v>0.252</c:v>
                </c:pt>
                <c:pt idx="29">
                  <c:v>0.252</c:v>
                </c:pt>
              </c:numCache>
            </c:numRef>
          </c:val>
          <c:smooth val="0"/>
          <c:extLst>
            <c:ext xmlns:c16="http://schemas.microsoft.com/office/drawing/2014/chart" uri="{C3380CC4-5D6E-409C-BE32-E72D297353CC}">
              <c16:uniqueId val="{00000003-D5D1-44E7-A184-A07DA15674C3}"/>
            </c:ext>
          </c:extLst>
        </c:ser>
        <c:ser>
          <c:idx val="4"/>
          <c:order val="4"/>
          <c:tx>
            <c:strRef>
              <c:f>'RPS NE Total RPS %'!$X$141</c:f>
              <c:strCache>
                <c:ptCount val="1"/>
                <c:pt idx="0">
                  <c:v>RI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%'!$Y$141:$BB$141</c:f>
              <c:numCache>
                <c:formatCode>0%</c:formatCode>
                <c:ptCount val="30"/>
                <c:pt idx="0">
                  <c:v>0.17500000000000002</c:v>
                </c:pt>
                <c:pt idx="1">
                  <c:v>0.19000000000000003</c:v>
                </c:pt>
                <c:pt idx="2">
                  <c:v>0.20500000000000004</c:v>
                </c:pt>
                <c:pt idx="3">
                  <c:v>0.22000000000000006</c:v>
                </c:pt>
                <c:pt idx="4">
                  <c:v>0.23500000000000007</c:v>
                </c:pt>
                <c:pt idx="5">
                  <c:v>0.25000000000000011</c:v>
                </c:pt>
                <c:pt idx="6">
                  <c:v>0.26500000000000012</c:v>
                </c:pt>
                <c:pt idx="7">
                  <c:v>0.28000000000000014</c:v>
                </c:pt>
                <c:pt idx="8">
                  <c:v>0.29500000000000015</c:v>
                </c:pt>
                <c:pt idx="9">
                  <c:v>0.31000000000000016</c:v>
                </c:pt>
                <c:pt idx="10">
                  <c:v>0.32500000000000018</c:v>
                </c:pt>
                <c:pt idx="11">
                  <c:v>0.34000000000000019</c:v>
                </c:pt>
                <c:pt idx="12">
                  <c:v>0.3550000000000002</c:v>
                </c:pt>
                <c:pt idx="13">
                  <c:v>0.37000000000000022</c:v>
                </c:pt>
                <c:pt idx="14">
                  <c:v>0.38500000000000023</c:v>
                </c:pt>
                <c:pt idx="15">
                  <c:v>0.38500000000000023</c:v>
                </c:pt>
                <c:pt idx="16">
                  <c:v>0.38500000000000023</c:v>
                </c:pt>
                <c:pt idx="17">
                  <c:v>0.38500000000000023</c:v>
                </c:pt>
                <c:pt idx="18">
                  <c:v>0.38500000000000023</c:v>
                </c:pt>
                <c:pt idx="19">
                  <c:v>0.38500000000000023</c:v>
                </c:pt>
                <c:pt idx="20">
                  <c:v>0.38500000000000023</c:v>
                </c:pt>
                <c:pt idx="21">
                  <c:v>0.38500000000000023</c:v>
                </c:pt>
                <c:pt idx="22">
                  <c:v>0.38500000000000023</c:v>
                </c:pt>
                <c:pt idx="23">
                  <c:v>0.38500000000000023</c:v>
                </c:pt>
                <c:pt idx="24">
                  <c:v>0.38500000000000023</c:v>
                </c:pt>
                <c:pt idx="25">
                  <c:v>0.38500000000000023</c:v>
                </c:pt>
                <c:pt idx="26">
                  <c:v>0.38500000000000023</c:v>
                </c:pt>
                <c:pt idx="27">
                  <c:v>0.38500000000000023</c:v>
                </c:pt>
                <c:pt idx="28">
                  <c:v>0.38500000000000023</c:v>
                </c:pt>
                <c:pt idx="29">
                  <c:v>0.38500000000000023</c:v>
                </c:pt>
              </c:numCache>
            </c:numRef>
          </c:val>
          <c:smooth val="0"/>
          <c:extLst>
            <c:ext xmlns:c16="http://schemas.microsoft.com/office/drawing/2014/chart" uri="{C3380CC4-5D6E-409C-BE32-E72D297353CC}">
              <c16:uniqueId val="{00000004-D5D1-44E7-A184-A07DA15674C3}"/>
            </c:ext>
          </c:extLst>
        </c:ser>
        <c:ser>
          <c:idx val="5"/>
          <c:order val="5"/>
          <c:tx>
            <c:strRef>
              <c:f>'RPS NE Total RPS %'!$X$142</c:f>
              <c:strCache>
                <c:ptCount val="1"/>
                <c:pt idx="0">
                  <c:v>VT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%'!$Y$142:$BB$142</c:f>
              <c:numCache>
                <c:formatCode>0%</c:formatCode>
                <c:ptCount val="30"/>
                <c:pt idx="0">
                  <c:v>0.59000000000000008</c:v>
                </c:pt>
                <c:pt idx="1">
                  <c:v>0.59000000000000008</c:v>
                </c:pt>
                <c:pt idx="2">
                  <c:v>0.63000000000000012</c:v>
                </c:pt>
                <c:pt idx="3">
                  <c:v>0.63000000000000012</c:v>
                </c:pt>
                <c:pt idx="4">
                  <c:v>0.63000000000000012</c:v>
                </c:pt>
                <c:pt idx="5">
                  <c:v>0.67000000000000015</c:v>
                </c:pt>
                <c:pt idx="6">
                  <c:v>0.67000000000000015</c:v>
                </c:pt>
                <c:pt idx="7">
                  <c:v>0.67000000000000015</c:v>
                </c:pt>
                <c:pt idx="8">
                  <c:v>0.71000000000000019</c:v>
                </c:pt>
                <c:pt idx="9">
                  <c:v>0.71000000000000019</c:v>
                </c:pt>
                <c:pt idx="10">
                  <c:v>0.71000000000000019</c:v>
                </c:pt>
                <c:pt idx="11">
                  <c:v>0.75000000000000022</c:v>
                </c:pt>
                <c:pt idx="12">
                  <c:v>0.75000000000000022</c:v>
                </c:pt>
                <c:pt idx="13">
                  <c:v>0.75000000000000022</c:v>
                </c:pt>
                <c:pt idx="14">
                  <c:v>0.75000000000000022</c:v>
                </c:pt>
                <c:pt idx="15">
                  <c:v>0.75</c:v>
                </c:pt>
                <c:pt idx="16">
                  <c:v>0.75</c:v>
                </c:pt>
                <c:pt idx="17">
                  <c:v>0.75</c:v>
                </c:pt>
                <c:pt idx="18">
                  <c:v>0.75</c:v>
                </c:pt>
                <c:pt idx="19">
                  <c:v>0.75</c:v>
                </c:pt>
                <c:pt idx="20">
                  <c:v>0.75</c:v>
                </c:pt>
                <c:pt idx="21">
                  <c:v>0.75</c:v>
                </c:pt>
                <c:pt idx="22">
                  <c:v>0.75</c:v>
                </c:pt>
                <c:pt idx="23">
                  <c:v>0.75</c:v>
                </c:pt>
                <c:pt idx="24">
                  <c:v>0.75</c:v>
                </c:pt>
                <c:pt idx="25">
                  <c:v>0.75</c:v>
                </c:pt>
                <c:pt idx="26">
                  <c:v>0.75</c:v>
                </c:pt>
                <c:pt idx="27">
                  <c:v>0.75</c:v>
                </c:pt>
                <c:pt idx="28">
                  <c:v>0.75</c:v>
                </c:pt>
                <c:pt idx="29">
                  <c:v>0.75</c:v>
                </c:pt>
              </c:numCache>
            </c:numRef>
          </c:val>
          <c:smooth val="0"/>
          <c:extLst>
            <c:ext xmlns:c16="http://schemas.microsoft.com/office/drawing/2014/chart" uri="{C3380CC4-5D6E-409C-BE32-E72D297353CC}">
              <c16:uniqueId val="{00000005-D5D1-44E7-A184-A07DA15674C3}"/>
            </c:ext>
          </c:extLst>
        </c:ser>
        <c:dLbls>
          <c:showLegendKey val="0"/>
          <c:showVal val="0"/>
          <c:showCatName val="0"/>
          <c:showSerName val="0"/>
          <c:showPercent val="0"/>
          <c:showBubbleSize val="0"/>
        </c:dLbls>
        <c:marker val="1"/>
        <c:smooth val="0"/>
        <c:axId val="1006648616"/>
        <c:axId val="1006646320"/>
      </c:lineChart>
      <c:catAx>
        <c:axId val="100664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6320"/>
        <c:crosses val="autoZero"/>
        <c:auto val="1"/>
        <c:lblAlgn val="ctr"/>
        <c:lblOffset val="100"/>
        <c:noMultiLvlLbl val="0"/>
      </c:catAx>
      <c:valAx>
        <c:axId val="100664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State Total RPS Annual Requirement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AF73F-94DE-4F54-8EC1-2B4C1CB6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Pages>
  <Words>55767</Words>
  <Characters>317872</Characters>
  <Application>Microsoft Office Word</Application>
  <DocSecurity>0</DocSecurity>
  <Lines>2648</Lines>
  <Paragraphs>745</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372894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Munns-Haas, Susan</dc:creator>
  <cp:keywords/>
  <dc:description/>
  <cp:lastModifiedBy>Munns-Haas, Susan</cp:lastModifiedBy>
  <cp:revision>19</cp:revision>
  <cp:lastPrinted>2021-07-02T01:21:00Z</cp:lastPrinted>
  <dcterms:created xsi:type="dcterms:W3CDTF">2021-09-02T12:09:00Z</dcterms:created>
  <dcterms:modified xsi:type="dcterms:W3CDTF">2021-09-03T11:43:00Z</dcterms:modified>
</cp:coreProperties>
</file>